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6D5A6" w14:textId="77777777" w:rsidR="000A560C" w:rsidRPr="000A560C" w:rsidRDefault="000A560C" w:rsidP="000A560C">
      <w:pPr>
        <w:autoSpaceDE w:val="0"/>
        <w:autoSpaceDN w:val="0"/>
        <w:adjustRightInd w:val="0"/>
        <w:ind w:right="-426"/>
        <w:rPr>
          <w:rFonts w:ascii="Times New Roman" w:hAnsi="Times New Roman" w:cs="Times New Roman"/>
          <w:b/>
          <w:bCs/>
          <w:kern w:val="0"/>
          <w:lang w:val="en-US"/>
        </w:rPr>
      </w:pPr>
      <w:r w:rsidRPr="000A560C">
        <w:rPr>
          <w:rFonts w:ascii="Times New Roman" w:hAnsi="Times New Roman" w:cs="Times New Roman"/>
          <w:b/>
          <w:bCs/>
          <w:kern w:val="0"/>
          <w:lang w:val="en-US"/>
        </w:rPr>
        <w:t>Promising microRNAs in pre-diagnostic serum associated with lung cancer up to eight years before diagnosis: A HUNT study.</w:t>
      </w:r>
    </w:p>
    <w:p w14:paraId="442F16F3" w14:textId="69552D6D" w:rsidR="000A560C" w:rsidRPr="000A560C" w:rsidRDefault="000A560C" w:rsidP="000A560C">
      <w:pPr>
        <w:autoSpaceDE w:val="0"/>
        <w:autoSpaceDN w:val="0"/>
        <w:adjustRightInd w:val="0"/>
        <w:ind w:right="-426"/>
        <w:rPr>
          <w:rFonts w:ascii="Times New Roman" w:hAnsi="Times New Roman" w:cs="Times New Roman"/>
          <w:b/>
          <w:bCs/>
          <w:kern w:val="0"/>
          <w:sz w:val="20"/>
          <w:szCs w:val="20"/>
          <w:lang w:val="en-US"/>
        </w:rPr>
      </w:pPr>
      <w:r w:rsidRPr="000A560C">
        <w:rPr>
          <w:rFonts w:ascii="Times New Roman" w:hAnsi="Times New Roman" w:cs="Times New Roman"/>
          <w:b/>
          <w:bCs/>
          <w:kern w:val="0"/>
          <w:sz w:val="20"/>
          <w:szCs w:val="20"/>
          <w:lang w:val="en-US"/>
        </w:rPr>
        <w:t xml:space="preserve">Ioannis Fotopoulos, Olav Toai Duc Nguyen, Therese </w:t>
      </w:r>
      <w:proofErr w:type="spellStart"/>
      <w:r w:rsidRPr="000A560C">
        <w:rPr>
          <w:rFonts w:ascii="Times New Roman" w:hAnsi="Times New Roman" w:cs="Times New Roman"/>
          <w:b/>
          <w:bCs/>
          <w:kern w:val="0"/>
          <w:sz w:val="20"/>
          <w:szCs w:val="20"/>
          <w:lang w:val="en-US"/>
        </w:rPr>
        <w:t>Haugdahl</w:t>
      </w:r>
      <w:proofErr w:type="spellEnd"/>
      <w:r w:rsidRPr="000A560C">
        <w:rPr>
          <w:rFonts w:ascii="Times New Roman" w:hAnsi="Times New Roman" w:cs="Times New Roman"/>
          <w:b/>
          <w:bCs/>
          <w:kern w:val="0"/>
          <w:sz w:val="20"/>
          <w:szCs w:val="20"/>
          <w:lang w:val="en-US"/>
        </w:rPr>
        <w:t xml:space="preserve"> </w:t>
      </w:r>
      <w:proofErr w:type="spellStart"/>
      <w:r w:rsidRPr="000A560C">
        <w:rPr>
          <w:rFonts w:ascii="Times New Roman" w:hAnsi="Times New Roman" w:cs="Times New Roman"/>
          <w:b/>
          <w:bCs/>
          <w:kern w:val="0"/>
          <w:sz w:val="20"/>
          <w:szCs w:val="20"/>
          <w:lang w:val="en-US"/>
        </w:rPr>
        <w:t>Nøst</w:t>
      </w:r>
      <w:proofErr w:type="spellEnd"/>
      <w:r w:rsidRPr="000A560C">
        <w:rPr>
          <w:rFonts w:ascii="Times New Roman" w:hAnsi="Times New Roman" w:cs="Times New Roman"/>
          <w:b/>
          <w:bCs/>
          <w:kern w:val="0"/>
          <w:sz w:val="20"/>
          <w:szCs w:val="20"/>
          <w:lang w:val="en-US"/>
        </w:rPr>
        <w:t xml:space="preserve">, Maria </w:t>
      </w:r>
      <w:proofErr w:type="spellStart"/>
      <w:r w:rsidRPr="000A560C">
        <w:rPr>
          <w:rFonts w:ascii="Times New Roman" w:hAnsi="Times New Roman" w:cs="Times New Roman"/>
          <w:b/>
          <w:bCs/>
          <w:kern w:val="0"/>
          <w:sz w:val="20"/>
          <w:szCs w:val="20"/>
          <w:lang w:val="en-US"/>
        </w:rPr>
        <w:t>Markaki</w:t>
      </w:r>
      <w:proofErr w:type="spellEnd"/>
      <w:r w:rsidRPr="000A560C">
        <w:rPr>
          <w:rFonts w:ascii="Times New Roman" w:hAnsi="Times New Roman" w:cs="Times New Roman"/>
          <w:b/>
          <w:bCs/>
          <w:kern w:val="0"/>
          <w:sz w:val="20"/>
          <w:szCs w:val="20"/>
          <w:lang w:val="en-US"/>
        </w:rPr>
        <w:t xml:space="preserve">, Vincenzo </w:t>
      </w:r>
      <w:proofErr w:type="spellStart"/>
      <w:r w:rsidRPr="000A560C">
        <w:rPr>
          <w:rFonts w:ascii="Times New Roman" w:hAnsi="Times New Roman" w:cs="Times New Roman"/>
          <w:b/>
          <w:bCs/>
          <w:kern w:val="0"/>
          <w:sz w:val="20"/>
          <w:szCs w:val="20"/>
          <w:lang w:val="en-US"/>
        </w:rPr>
        <w:t>Lagani</w:t>
      </w:r>
      <w:proofErr w:type="spellEnd"/>
      <w:r w:rsidRPr="000A560C">
        <w:rPr>
          <w:rFonts w:ascii="Times New Roman" w:hAnsi="Times New Roman" w:cs="Times New Roman"/>
          <w:b/>
          <w:bCs/>
          <w:kern w:val="0"/>
          <w:sz w:val="20"/>
          <w:szCs w:val="20"/>
          <w:lang w:val="en-US"/>
        </w:rPr>
        <w:t xml:space="preserve">, Robin </w:t>
      </w:r>
      <w:proofErr w:type="spellStart"/>
      <w:r w:rsidRPr="000A560C">
        <w:rPr>
          <w:rFonts w:ascii="Times New Roman" w:hAnsi="Times New Roman" w:cs="Times New Roman"/>
          <w:b/>
          <w:bCs/>
          <w:kern w:val="0"/>
          <w:sz w:val="20"/>
          <w:szCs w:val="20"/>
          <w:lang w:val="en-US"/>
        </w:rPr>
        <w:t>Mjelle</w:t>
      </w:r>
      <w:proofErr w:type="spellEnd"/>
      <w:r w:rsidRPr="000A560C">
        <w:rPr>
          <w:rFonts w:ascii="Times New Roman" w:hAnsi="Times New Roman" w:cs="Times New Roman"/>
          <w:b/>
          <w:bCs/>
          <w:kern w:val="0"/>
          <w:sz w:val="20"/>
          <w:szCs w:val="20"/>
          <w:lang w:val="en-US"/>
        </w:rPr>
        <w:t xml:space="preserve">, </w:t>
      </w:r>
      <w:proofErr w:type="spellStart"/>
      <w:r w:rsidRPr="000A560C">
        <w:rPr>
          <w:rFonts w:ascii="Times New Roman" w:hAnsi="Times New Roman" w:cs="Times New Roman"/>
          <w:b/>
          <w:bCs/>
          <w:kern w:val="0"/>
          <w:sz w:val="20"/>
          <w:szCs w:val="20"/>
          <w:lang w:val="en-US"/>
        </w:rPr>
        <w:t>Torkjell</w:t>
      </w:r>
      <w:proofErr w:type="spellEnd"/>
      <w:r w:rsidRPr="000A560C">
        <w:rPr>
          <w:rFonts w:ascii="Times New Roman" w:hAnsi="Times New Roman" w:cs="Times New Roman"/>
          <w:b/>
          <w:bCs/>
          <w:kern w:val="0"/>
          <w:sz w:val="20"/>
          <w:szCs w:val="20"/>
          <w:lang w:val="en-US"/>
        </w:rPr>
        <w:t xml:space="preserve"> </w:t>
      </w:r>
      <w:proofErr w:type="spellStart"/>
      <w:r w:rsidRPr="000A560C">
        <w:rPr>
          <w:rFonts w:ascii="Times New Roman" w:hAnsi="Times New Roman" w:cs="Times New Roman"/>
          <w:b/>
          <w:bCs/>
          <w:kern w:val="0"/>
          <w:sz w:val="20"/>
          <w:szCs w:val="20"/>
          <w:lang w:val="en-US"/>
        </w:rPr>
        <w:t>Sandanger</w:t>
      </w:r>
      <w:proofErr w:type="spellEnd"/>
      <w:r w:rsidRPr="000A560C">
        <w:rPr>
          <w:rFonts w:ascii="Times New Roman" w:hAnsi="Times New Roman" w:cs="Times New Roman"/>
          <w:b/>
          <w:bCs/>
          <w:kern w:val="0"/>
          <w:sz w:val="20"/>
          <w:szCs w:val="20"/>
          <w:lang w:val="en-US"/>
        </w:rPr>
        <w:t xml:space="preserve">, </w:t>
      </w:r>
      <w:proofErr w:type="spellStart"/>
      <w:r w:rsidRPr="000A560C">
        <w:rPr>
          <w:rFonts w:ascii="Times New Roman" w:hAnsi="Times New Roman" w:cs="Times New Roman"/>
          <w:b/>
          <w:bCs/>
          <w:kern w:val="0"/>
          <w:sz w:val="20"/>
          <w:szCs w:val="20"/>
          <w:lang w:val="en-US"/>
        </w:rPr>
        <w:t>Pål</w:t>
      </w:r>
      <w:proofErr w:type="spellEnd"/>
      <w:r w:rsidRPr="000A560C">
        <w:rPr>
          <w:rFonts w:ascii="Times New Roman" w:hAnsi="Times New Roman" w:cs="Times New Roman"/>
          <w:b/>
          <w:bCs/>
          <w:kern w:val="0"/>
          <w:sz w:val="20"/>
          <w:szCs w:val="20"/>
          <w:lang w:val="en-US"/>
        </w:rPr>
        <w:t xml:space="preserve"> </w:t>
      </w:r>
      <w:proofErr w:type="spellStart"/>
      <w:r w:rsidRPr="000A560C">
        <w:rPr>
          <w:rFonts w:ascii="Times New Roman" w:hAnsi="Times New Roman" w:cs="Times New Roman"/>
          <w:b/>
          <w:bCs/>
          <w:kern w:val="0"/>
          <w:sz w:val="20"/>
          <w:szCs w:val="20"/>
          <w:lang w:val="en-US"/>
        </w:rPr>
        <w:t>Sætrom</w:t>
      </w:r>
      <w:proofErr w:type="spellEnd"/>
      <w:r w:rsidRPr="000A560C">
        <w:rPr>
          <w:rFonts w:ascii="Times New Roman" w:hAnsi="Times New Roman" w:cs="Times New Roman"/>
          <w:b/>
          <w:bCs/>
          <w:kern w:val="0"/>
          <w:sz w:val="20"/>
          <w:szCs w:val="20"/>
          <w:lang w:val="en-US"/>
        </w:rPr>
        <w:t xml:space="preserve">, Ioannis </w:t>
      </w:r>
      <w:proofErr w:type="spellStart"/>
      <w:r w:rsidRPr="000A560C">
        <w:rPr>
          <w:rFonts w:ascii="Times New Roman" w:hAnsi="Times New Roman" w:cs="Times New Roman"/>
          <w:b/>
          <w:bCs/>
          <w:kern w:val="0"/>
          <w:sz w:val="20"/>
          <w:szCs w:val="20"/>
          <w:lang w:val="en-US"/>
        </w:rPr>
        <w:t>Tsamardinos</w:t>
      </w:r>
      <w:proofErr w:type="spellEnd"/>
      <w:r w:rsidRPr="000A560C">
        <w:rPr>
          <w:rFonts w:ascii="Times New Roman" w:hAnsi="Times New Roman" w:cs="Times New Roman"/>
          <w:b/>
          <w:bCs/>
          <w:kern w:val="0"/>
          <w:sz w:val="20"/>
          <w:szCs w:val="20"/>
          <w:lang w:val="en-US"/>
        </w:rPr>
        <w:t xml:space="preserve">, </w:t>
      </w:r>
      <w:proofErr w:type="spellStart"/>
      <w:r w:rsidRPr="000A560C">
        <w:rPr>
          <w:rFonts w:ascii="Times New Roman" w:hAnsi="Times New Roman" w:cs="Times New Roman"/>
          <w:b/>
          <w:bCs/>
          <w:kern w:val="0"/>
          <w:sz w:val="20"/>
          <w:szCs w:val="20"/>
          <w:lang w:val="en-US"/>
        </w:rPr>
        <w:t>Oluf</w:t>
      </w:r>
      <w:proofErr w:type="spellEnd"/>
      <w:r w:rsidRPr="000A560C">
        <w:rPr>
          <w:rFonts w:ascii="Times New Roman" w:hAnsi="Times New Roman" w:cs="Times New Roman"/>
          <w:b/>
          <w:bCs/>
          <w:kern w:val="0"/>
          <w:sz w:val="20"/>
          <w:szCs w:val="20"/>
          <w:lang w:val="en-US"/>
        </w:rPr>
        <w:t xml:space="preserve"> Dimitri </w:t>
      </w:r>
      <w:proofErr w:type="spellStart"/>
      <w:r w:rsidRPr="000A560C">
        <w:rPr>
          <w:rFonts w:ascii="Times New Roman" w:hAnsi="Times New Roman" w:cs="Times New Roman"/>
          <w:b/>
          <w:bCs/>
          <w:kern w:val="0"/>
          <w:sz w:val="20"/>
          <w:szCs w:val="20"/>
          <w:lang w:val="en-US"/>
        </w:rPr>
        <w:t>Røe</w:t>
      </w:r>
      <w:proofErr w:type="spellEnd"/>
    </w:p>
    <w:p w14:paraId="2492202E" w14:textId="77777777" w:rsidR="000A560C" w:rsidRPr="000A560C" w:rsidRDefault="000A560C" w:rsidP="000A560C">
      <w:pPr>
        <w:autoSpaceDE w:val="0"/>
        <w:autoSpaceDN w:val="0"/>
        <w:adjustRightInd w:val="0"/>
        <w:ind w:right="-846"/>
        <w:rPr>
          <w:rFonts w:ascii="Times New Roman" w:hAnsi="Times New Roman" w:cs="Times New Roman"/>
          <w:b/>
          <w:bCs/>
          <w:kern w:val="0"/>
          <w:lang w:val="en-US"/>
        </w:rPr>
      </w:pPr>
    </w:p>
    <w:p w14:paraId="3AA63E3E" w14:textId="77777777" w:rsidR="000A560C" w:rsidRPr="000A560C" w:rsidRDefault="000A560C" w:rsidP="000A560C">
      <w:pPr>
        <w:autoSpaceDE w:val="0"/>
        <w:autoSpaceDN w:val="0"/>
        <w:adjustRightInd w:val="0"/>
        <w:ind w:right="-846"/>
        <w:jc w:val="center"/>
        <w:rPr>
          <w:rFonts w:ascii="Times New Roman" w:hAnsi="Times New Roman" w:cs="Times New Roman"/>
          <w:kern w:val="0"/>
          <w:sz w:val="20"/>
          <w:szCs w:val="20"/>
          <w:lang w:val="en-US"/>
        </w:rPr>
      </w:pPr>
      <w:r w:rsidRPr="000A560C">
        <w:rPr>
          <w:rFonts w:ascii="Times New Roman" w:hAnsi="Times New Roman" w:cs="Times New Roman"/>
          <w:b/>
          <w:bCs/>
          <w:kern w:val="0"/>
          <w:lang w:val="en-US"/>
        </w:rPr>
        <w:t>Supplementary Materials</w:t>
      </w:r>
    </w:p>
    <w:p w14:paraId="16AEAD23" w14:textId="77777777" w:rsidR="000A560C" w:rsidRPr="000A560C" w:rsidRDefault="000A560C" w:rsidP="000A560C">
      <w:pPr>
        <w:autoSpaceDE w:val="0"/>
        <w:autoSpaceDN w:val="0"/>
        <w:adjustRightInd w:val="0"/>
        <w:spacing w:before="360" w:after="80"/>
        <w:ind w:right="-426"/>
        <w:rPr>
          <w:rFonts w:ascii="Times New Roman" w:hAnsi="Times New Roman" w:cs="Times New Roman"/>
          <w:b/>
          <w:bCs/>
          <w:kern w:val="0"/>
          <w:u w:val="single"/>
          <w:lang w:val="en-US"/>
        </w:rPr>
      </w:pPr>
      <w:r w:rsidRPr="000A560C">
        <w:rPr>
          <w:rFonts w:ascii="Times New Roman" w:hAnsi="Times New Roman" w:cs="Times New Roman"/>
          <w:b/>
          <w:bCs/>
          <w:kern w:val="0"/>
          <w:lang w:val="en-US"/>
        </w:rPr>
        <w:t xml:space="preserve">Supplementary Methods </w:t>
      </w:r>
    </w:p>
    <w:p w14:paraId="4634DEAC" w14:textId="77777777" w:rsidR="000A560C" w:rsidRPr="000A560C" w:rsidRDefault="000A560C" w:rsidP="000A560C">
      <w:pPr>
        <w:autoSpaceDE w:val="0"/>
        <w:autoSpaceDN w:val="0"/>
        <w:adjustRightInd w:val="0"/>
        <w:spacing w:before="280" w:after="80"/>
        <w:ind w:right="-426"/>
        <w:rPr>
          <w:rFonts w:ascii="Times New Roman" w:hAnsi="Times New Roman" w:cs="Times New Roman"/>
          <w:b/>
          <w:bCs/>
          <w:kern w:val="0"/>
          <w:sz w:val="20"/>
          <w:szCs w:val="20"/>
          <w:lang w:val="en-US"/>
        </w:rPr>
      </w:pPr>
      <w:r w:rsidRPr="000A560C">
        <w:rPr>
          <w:rFonts w:ascii="Times New Roman" w:hAnsi="Times New Roman" w:cs="Times New Roman"/>
          <w:b/>
          <w:bCs/>
          <w:kern w:val="0"/>
          <w:sz w:val="20"/>
          <w:szCs w:val="20"/>
          <w:lang w:val="en-US"/>
        </w:rPr>
        <w:t>Differential Expression Analysis</w:t>
      </w:r>
    </w:p>
    <w:p w14:paraId="754F46D8" w14:textId="2ADDD1FB"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We employed a widely known RNA-seq analysis pipeline</w:t>
      </w:r>
      <w:r w:rsidR="00977AFC">
        <w:rPr>
          <w:rFonts w:ascii="Times New Roman" w:hAnsi="Times New Roman" w:cs="Times New Roman"/>
          <w:kern w:val="0"/>
          <w:sz w:val="20"/>
          <w:szCs w:val="20"/>
          <w:lang w:val="en-US"/>
        </w:rPr>
        <w:t xml:space="preserve"> </w:t>
      </w:r>
      <w:r w:rsidRPr="000A560C">
        <w:rPr>
          <w:rFonts w:ascii="Times New Roman" w:hAnsi="Times New Roman" w:cs="Times New Roman"/>
          <w:kern w:val="0"/>
          <w:sz w:val="20"/>
          <w:szCs w:val="20"/>
          <w:lang w:val="en-US"/>
        </w:rPr>
        <w:t>(Law et al. 2016)</w:t>
      </w:r>
      <w:r w:rsidR="00977AFC">
        <w:rPr>
          <w:rFonts w:ascii="Times New Roman" w:hAnsi="Times New Roman" w:cs="Times New Roman"/>
          <w:kern w:val="0"/>
          <w:sz w:val="20"/>
          <w:szCs w:val="20"/>
          <w:lang w:val="en-US"/>
        </w:rPr>
        <w:t xml:space="preserve"> </w:t>
      </w:r>
      <w:r w:rsidRPr="000A560C">
        <w:rPr>
          <w:rFonts w:ascii="Times New Roman" w:hAnsi="Times New Roman" w:cs="Times New Roman"/>
          <w:kern w:val="0"/>
          <w:sz w:val="20"/>
          <w:szCs w:val="20"/>
          <w:lang w:val="en-US"/>
        </w:rPr>
        <w:t>to perform univariate differential expression analysis. At its core, the pipeline utilizes a moderated t-test and linear models to identify deregulated quantities, adjusting for the variations of exogenous factors (e.g., batch effects), and over-under expressions due to technically biological laboratory effects. The pipeline is constituted of five successive steps (Supplementary Schema 1): (</w:t>
      </w:r>
      <w:proofErr w:type="spellStart"/>
      <w:r w:rsidRPr="000A560C">
        <w:rPr>
          <w:rFonts w:ascii="Times New Roman" w:hAnsi="Times New Roman" w:cs="Times New Roman"/>
          <w:kern w:val="0"/>
          <w:sz w:val="20"/>
          <w:szCs w:val="20"/>
          <w:lang w:val="en-US"/>
        </w:rPr>
        <w:t>i</w:t>
      </w:r>
      <w:proofErr w:type="spellEnd"/>
      <w:r w:rsidRPr="000A560C">
        <w:rPr>
          <w:rFonts w:ascii="Times New Roman" w:hAnsi="Times New Roman" w:cs="Times New Roman"/>
          <w:kern w:val="0"/>
          <w:sz w:val="20"/>
          <w:szCs w:val="20"/>
          <w:lang w:val="en-US"/>
        </w:rPr>
        <w:t xml:space="preserve">) filtering of non-expressed microRNAs, (ii) within-sample </w:t>
      </w:r>
      <w:proofErr w:type="spellStart"/>
      <w:r w:rsidRPr="000A560C">
        <w:rPr>
          <w:rFonts w:ascii="Times New Roman" w:hAnsi="Times New Roman" w:cs="Times New Roman"/>
          <w:kern w:val="0"/>
          <w:sz w:val="20"/>
          <w:szCs w:val="20"/>
          <w:lang w:val="en-US"/>
        </w:rPr>
        <w:t>normalisation</w:t>
      </w:r>
      <w:proofErr w:type="spellEnd"/>
      <w:r w:rsidRPr="000A560C">
        <w:rPr>
          <w:rFonts w:ascii="Times New Roman" w:hAnsi="Times New Roman" w:cs="Times New Roman"/>
          <w:kern w:val="0"/>
          <w:sz w:val="20"/>
          <w:szCs w:val="20"/>
          <w:lang w:val="en-US"/>
        </w:rPr>
        <w:t xml:space="preserve"> (Robinson and </w:t>
      </w:r>
      <w:proofErr w:type="spellStart"/>
      <w:r w:rsidRPr="000A560C">
        <w:rPr>
          <w:rFonts w:ascii="Times New Roman" w:hAnsi="Times New Roman" w:cs="Times New Roman"/>
          <w:kern w:val="0"/>
          <w:sz w:val="20"/>
          <w:szCs w:val="20"/>
          <w:lang w:val="en-US"/>
        </w:rPr>
        <w:t>Oshlack</w:t>
      </w:r>
      <w:proofErr w:type="spellEnd"/>
      <w:r w:rsidRPr="000A560C">
        <w:rPr>
          <w:rFonts w:ascii="Times New Roman" w:hAnsi="Times New Roman" w:cs="Times New Roman"/>
          <w:kern w:val="0"/>
          <w:sz w:val="20"/>
          <w:szCs w:val="20"/>
          <w:lang w:val="en-US"/>
        </w:rPr>
        <w:t xml:space="preserve"> 2010) (iii) estimation of gene-specific mean-variance correlations (Law et al. 2014; Liu et al. 2015), (iv) linear modelling with Bayesian modelling of gene-wise variations</w:t>
      </w:r>
      <w:r w:rsidR="00977AFC">
        <w:rPr>
          <w:rFonts w:ascii="Times New Roman" w:hAnsi="Times New Roman" w:cs="Times New Roman"/>
          <w:kern w:val="0"/>
          <w:sz w:val="20"/>
          <w:szCs w:val="20"/>
          <w:lang w:val="en-US"/>
        </w:rPr>
        <w:t xml:space="preserve"> </w:t>
      </w:r>
      <w:r w:rsidRPr="000A560C">
        <w:rPr>
          <w:rFonts w:ascii="Times New Roman" w:hAnsi="Times New Roman" w:cs="Times New Roman"/>
          <w:kern w:val="0"/>
          <w:sz w:val="20"/>
          <w:szCs w:val="20"/>
          <w:lang w:val="en-US"/>
        </w:rPr>
        <w:t>(Ritchie et al. 2015), (v) multiple hypotheses testing correction.</w:t>
      </w:r>
    </w:p>
    <w:p w14:paraId="7D5DCEEA"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 xml:space="preserve">  </w:t>
      </w:r>
    </w:p>
    <w:p w14:paraId="012C8497" w14:textId="6E3F6D5A"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We consider a microRNA as statistically differentially expressed (SDE) in discovery cohorts at 0.25 FDR level. The differential expression analysis results obtained in the discovery dataset (HUNT2, N=238) are validated in an external validation dataset (HUNT3, N=72).</w:t>
      </w:r>
    </w:p>
    <w:p w14:paraId="23E74ACE" w14:textId="6846F80C" w:rsidR="000A560C" w:rsidRPr="000A560C" w:rsidRDefault="007B0827" w:rsidP="007B0827">
      <w:pPr>
        <w:autoSpaceDE w:val="0"/>
        <w:autoSpaceDN w:val="0"/>
        <w:adjustRightInd w:val="0"/>
        <w:ind w:right="-426"/>
        <w:rPr>
          <w:rFonts w:ascii="Times New Roman" w:hAnsi="Times New Roman" w:cs="Times New Roman"/>
          <w:kern w:val="0"/>
          <w:sz w:val="20"/>
          <w:szCs w:val="20"/>
          <w:lang w:val="en-US"/>
        </w:rPr>
      </w:pPr>
      <w:r>
        <w:rPr>
          <w:rFonts w:ascii="Times New Roman" w:eastAsia="Times New Roman" w:hAnsi="Times New Roman" w:cs="Times New Roman"/>
          <w:noProof/>
          <w:sz w:val="20"/>
          <w:szCs w:val="20"/>
        </w:rPr>
        <w:drawing>
          <wp:inline distT="114300" distB="114300" distL="114300" distR="114300" wp14:anchorId="05A6CE29" wp14:editId="3D7C8D24">
            <wp:extent cx="4924425" cy="1190625"/>
            <wp:effectExtent l="0" t="0" r="0" b="0"/>
            <wp:docPr id="23" name="image6.png" descr="Et bilde som inneholder tekst, skjermbilde, Font, nummer&#10;&#10;Automatisk generert beskrivelse"/>
            <wp:cNvGraphicFramePr/>
            <a:graphic xmlns:a="http://schemas.openxmlformats.org/drawingml/2006/main">
              <a:graphicData uri="http://schemas.openxmlformats.org/drawingml/2006/picture">
                <pic:pic xmlns:pic="http://schemas.openxmlformats.org/drawingml/2006/picture">
                  <pic:nvPicPr>
                    <pic:cNvPr id="23" name="image6.png" descr="Et bilde som inneholder tekst, skjermbilde, Font, nummer&#10;&#10;Automatisk generert beskrivelse"/>
                    <pic:cNvPicPr preferRelativeResize="0"/>
                  </pic:nvPicPr>
                  <pic:blipFill>
                    <a:blip r:embed="rId5"/>
                    <a:srcRect/>
                    <a:stretch>
                      <a:fillRect/>
                    </a:stretch>
                  </pic:blipFill>
                  <pic:spPr>
                    <a:xfrm>
                      <a:off x="0" y="0"/>
                      <a:ext cx="4924425" cy="1190625"/>
                    </a:xfrm>
                    <a:prstGeom prst="rect">
                      <a:avLst/>
                    </a:prstGeom>
                    <a:ln/>
                  </pic:spPr>
                </pic:pic>
              </a:graphicData>
            </a:graphic>
          </wp:inline>
        </w:drawing>
      </w:r>
    </w:p>
    <w:p w14:paraId="7B2D9248" w14:textId="77777777" w:rsidR="000A560C" w:rsidRPr="000A560C" w:rsidRDefault="000A560C" w:rsidP="000A560C">
      <w:pPr>
        <w:autoSpaceDE w:val="0"/>
        <w:autoSpaceDN w:val="0"/>
        <w:adjustRightInd w:val="0"/>
        <w:spacing w:after="200"/>
        <w:ind w:right="-426"/>
        <w:rPr>
          <w:rFonts w:ascii="Times New Roman" w:hAnsi="Times New Roman" w:cs="Times New Roman"/>
          <w:i/>
          <w:iCs/>
          <w:kern w:val="0"/>
          <w:sz w:val="20"/>
          <w:szCs w:val="20"/>
          <w:lang w:val="en-US"/>
        </w:rPr>
      </w:pPr>
      <w:r w:rsidRPr="000A560C">
        <w:rPr>
          <w:rFonts w:ascii="Times New Roman" w:hAnsi="Times New Roman" w:cs="Times New Roman"/>
          <w:b/>
          <w:bCs/>
          <w:kern w:val="0"/>
          <w:sz w:val="20"/>
          <w:szCs w:val="20"/>
          <w:lang w:val="en-US"/>
        </w:rPr>
        <w:t xml:space="preserve">Supplementary Schema 1. </w:t>
      </w:r>
      <w:r w:rsidRPr="000A560C">
        <w:rPr>
          <w:rFonts w:ascii="Times New Roman" w:hAnsi="Times New Roman" w:cs="Times New Roman"/>
          <w:kern w:val="0"/>
          <w:sz w:val="20"/>
          <w:szCs w:val="20"/>
          <w:lang w:val="en-US"/>
        </w:rPr>
        <w:t>The five-step statistical modeling pipeline is considered for the current microRNA statistical analysis.</w:t>
      </w:r>
    </w:p>
    <w:p w14:paraId="1E51CA82" w14:textId="77777777" w:rsidR="000A560C" w:rsidRPr="000A560C" w:rsidRDefault="000A560C" w:rsidP="000A560C">
      <w:pPr>
        <w:autoSpaceDE w:val="0"/>
        <w:autoSpaceDN w:val="0"/>
        <w:adjustRightInd w:val="0"/>
        <w:spacing w:before="240" w:after="40"/>
        <w:ind w:right="-426"/>
        <w:rPr>
          <w:rFonts w:ascii="Times New Roman" w:hAnsi="Times New Roman" w:cs="Times New Roman"/>
          <w:b/>
          <w:bCs/>
          <w:kern w:val="0"/>
          <w:sz w:val="20"/>
          <w:szCs w:val="20"/>
          <w:lang w:val="en-US"/>
        </w:rPr>
      </w:pPr>
      <w:r w:rsidRPr="000A560C">
        <w:rPr>
          <w:rFonts w:ascii="Times New Roman" w:hAnsi="Times New Roman" w:cs="Times New Roman"/>
          <w:i/>
          <w:iCs/>
          <w:kern w:val="0"/>
          <w:sz w:val="20"/>
          <w:szCs w:val="20"/>
          <w:lang w:val="en-US"/>
        </w:rPr>
        <w:t xml:space="preserve">Filtering out lowly and non-expressed microRNAs: </w:t>
      </w:r>
      <w:r w:rsidRPr="00977AFC">
        <w:rPr>
          <w:rFonts w:ascii="Times New Roman" w:hAnsi="Times New Roman" w:cs="Times New Roman"/>
          <w:color w:val="000000" w:themeColor="text1"/>
          <w:kern w:val="0"/>
          <w:sz w:val="20"/>
          <w:szCs w:val="20"/>
          <w:lang w:val="en-US"/>
        </w:rPr>
        <w:t>w</w:t>
      </w:r>
      <w:r w:rsidRPr="000A560C">
        <w:rPr>
          <w:rFonts w:ascii="Times New Roman" w:hAnsi="Times New Roman" w:cs="Times New Roman"/>
          <w:color w:val="222222"/>
          <w:kern w:val="0"/>
          <w:sz w:val="20"/>
          <w:szCs w:val="20"/>
          <w:lang w:val="en-US"/>
        </w:rPr>
        <w:t>e require each microRNA to have 1 read count in at least 39 samples out of 238 in the discovery cohort and in at least 12 samples out 72 in the big validation Cohort (I).</w:t>
      </w:r>
    </w:p>
    <w:p w14:paraId="42D2A023" w14:textId="77777777" w:rsidR="000A560C" w:rsidRPr="000A560C" w:rsidRDefault="000A560C" w:rsidP="000A560C">
      <w:pPr>
        <w:autoSpaceDE w:val="0"/>
        <w:autoSpaceDN w:val="0"/>
        <w:adjustRightInd w:val="0"/>
        <w:spacing w:before="240" w:after="40"/>
        <w:ind w:right="-426"/>
        <w:rPr>
          <w:rFonts w:ascii="Times New Roman" w:hAnsi="Times New Roman" w:cs="Times New Roman"/>
          <w:kern w:val="0"/>
          <w:sz w:val="20"/>
          <w:szCs w:val="20"/>
          <w:lang w:val="en-US"/>
        </w:rPr>
      </w:pPr>
      <w:r w:rsidRPr="000A560C">
        <w:rPr>
          <w:rFonts w:ascii="Times New Roman" w:hAnsi="Times New Roman" w:cs="Times New Roman"/>
          <w:i/>
          <w:iCs/>
          <w:kern w:val="0"/>
          <w:sz w:val="20"/>
          <w:szCs w:val="20"/>
          <w:lang w:val="en-US"/>
        </w:rPr>
        <w:t xml:space="preserve">Within sample </w:t>
      </w:r>
      <w:proofErr w:type="spellStart"/>
      <w:r w:rsidRPr="000A560C">
        <w:rPr>
          <w:rFonts w:ascii="Times New Roman" w:hAnsi="Times New Roman" w:cs="Times New Roman"/>
          <w:i/>
          <w:iCs/>
          <w:kern w:val="0"/>
          <w:sz w:val="20"/>
          <w:szCs w:val="20"/>
          <w:lang w:val="en-US"/>
        </w:rPr>
        <w:t>normalisation</w:t>
      </w:r>
      <w:proofErr w:type="spellEnd"/>
      <w:r w:rsidRPr="000A560C">
        <w:rPr>
          <w:rFonts w:ascii="Times New Roman" w:hAnsi="Times New Roman" w:cs="Times New Roman"/>
          <w:i/>
          <w:iCs/>
          <w:kern w:val="0"/>
          <w:sz w:val="20"/>
          <w:szCs w:val="20"/>
          <w:lang w:val="en-US"/>
        </w:rPr>
        <w:t xml:space="preserve">: </w:t>
      </w:r>
      <w:r w:rsidRPr="000A560C">
        <w:rPr>
          <w:rFonts w:ascii="Times New Roman" w:hAnsi="Times New Roman" w:cs="Times New Roman"/>
          <w:kern w:val="0"/>
          <w:sz w:val="20"/>
          <w:szCs w:val="20"/>
          <w:lang w:val="en-US"/>
        </w:rPr>
        <w:t xml:space="preserve">we apply the </w:t>
      </w:r>
      <w:proofErr w:type="spellStart"/>
      <w:r w:rsidRPr="000A560C">
        <w:rPr>
          <w:rFonts w:ascii="Times New Roman" w:hAnsi="Times New Roman" w:cs="Times New Roman"/>
          <w:kern w:val="0"/>
          <w:sz w:val="20"/>
          <w:szCs w:val="20"/>
          <w:lang w:val="en-US"/>
        </w:rPr>
        <w:t>TMM</w:t>
      </w:r>
      <w:proofErr w:type="spellEnd"/>
      <w:r w:rsidRPr="000A560C">
        <w:rPr>
          <w:rFonts w:ascii="Times New Roman" w:hAnsi="Times New Roman" w:cs="Times New Roman"/>
          <w:kern w:val="0"/>
          <w:sz w:val="20"/>
          <w:szCs w:val="20"/>
          <w:lang w:val="en-US"/>
        </w:rPr>
        <w:t xml:space="preserve"> method as presented in </w:t>
      </w:r>
      <w:proofErr w:type="spellStart"/>
      <w:proofErr w:type="gramStart"/>
      <w:r w:rsidRPr="000A560C">
        <w:rPr>
          <w:rFonts w:ascii="Times New Roman" w:hAnsi="Times New Roman" w:cs="Times New Roman"/>
          <w:kern w:val="0"/>
          <w:sz w:val="20"/>
          <w:szCs w:val="20"/>
          <w:lang w:val="en-US"/>
        </w:rPr>
        <w:t>it</w:t>
      </w:r>
      <w:proofErr w:type="spellEnd"/>
      <w:proofErr w:type="gramEnd"/>
      <w:r w:rsidRPr="000A560C">
        <w:rPr>
          <w:rFonts w:ascii="Times New Roman" w:hAnsi="Times New Roman" w:cs="Times New Roman"/>
          <w:kern w:val="0"/>
          <w:sz w:val="20"/>
          <w:szCs w:val="20"/>
          <w:lang w:val="en-US"/>
        </w:rPr>
        <w:t xml:space="preserve"> original publication (Robinson et al. 2010; Robinson and </w:t>
      </w:r>
      <w:proofErr w:type="spellStart"/>
      <w:r w:rsidRPr="000A560C">
        <w:rPr>
          <w:rFonts w:ascii="Times New Roman" w:hAnsi="Times New Roman" w:cs="Times New Roman"/>
          <w:kern w:val="0"/>
          <w:sz w:val="20"/>
          <w:szCs w:val="20"/>
          <w:lang w:val="en-US"/>
        </w:rPr>
        <w:t>Oshlack</w:t>
      </w:r>
      <w:proofErr w:type="spellEnd"/>
      <w:r w:rsidRPr="000A560C">
        <w:rPr>
          <w:rFonts w:ascii="Times New Roman" w:hAnsi="Times New Roman" w:cs="Times New Roman"/>
          <w:kern w:val="0"/>
          <w:sz w:val="20"/>
          <w:szCs w:val="20"/>
          <w:lang w:val="en-US"/>
        </w:rPr>
        <w:t xml:space="preserve"> 2010).  </w:t>
      </w:r>
    </w:p>
    <w:p w14:paraId="2556406C"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p>
    <w:p w14:paraId="78F243AD"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i/>
          <w:iCs/>
          <w:kern w:val="0"/>
          <w:sz w:val="20"/>
          <w:szCs w:val="20"/>
          <w:lang w:val="en-US"/>
        </w:rPr>
        <w:t xml:space="preserve">Estimation of gene-specific mean-variance correlations: </w:t>
      </w:r>
      <w:r w:rsidRPr="000A560C">
        <w:rPr>
          <w:rFonts w:ascii="Times New Roman" w:hAnsi="Times New Roman" w:cs="Times New Roman"/>
          <w:kern w:val="0"/>
          <w:sz w:val="20"/>
          <w:szCs w:val="20"/>
          <w:lang w:val="en-US"/>
        </w:rPr>
        <w:t xml:space="preserve">the Voom framework (Liu et al. 2015) addresses the heteroscedasticity between the variance and mean expression present in (micro)RNA-seq data, accounting also for sample variabilities, by estimating gene and sample specific weights that are used in the subsequent linear modelling step. </w:t>
      </w:r>
    </w:p>
    <w:p w14:paraId="011B38E4"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p>
    <w:p w14:paraId="0C622BD1" w14:textId="1252F648"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i/>
          <w:iCs/>
          <w:kern w:val="0"/>
          <w:sz w:val="20"/>
          <w:szCs w:val="20"/>
          <w:lang w:val="en-US"/>
        </w:rPr>
        <w:t>Linear modelling</w:t>
      </w:r>
      <w:r w:rsidRPr="000A560C">
        <w:rPr>
          <w:rFonts w:ascii="Times New Roman" w:hAnsi="Times New Roman" w:cs="Times New Roman"/>
          <w:kern w:val="0"/>
          <w:sz w:val="20"/>
          <w:szCs w:val="20"/>
          <w:lang w:val="en-US"/>
        </w:rPr>
        <w:t xml:space="preserve">: the </w:t>
      </w:r>
      <w:proofErr w:type="spellStart"/>
      <w:r w:rsidRPr="000A560C">
        <w:rPr>
          <w:rFonts w:ascii="Times New Roman" w:hAnsi="Times New Roman" w:cs="Times New Roman"/>
          <w:kern w:val="0"/>
          <w:sz w:val="20"/>
          <w:szCs w:val="20"/>
          <w:lang w:val="en-US"/>
        </w:rPr>
        <w:t>limma</w:t>
      </w:r>
      <w:proofErr w:type="spellEnd"/>
      <w:r w:rsidRPr="000A560C">
        <w:rPr>
          <w:rFonts w:ascii="Times New Roman" w:hAnsi="Times New Roman" w:cs="Times New Roman"/>
          <w:kern w:val="0"/>
          <w:sz w:val="20"/>
          <w:szCs w:val="20"/>
          <w:lang w:val="en-US"/>
        </w:rPr>
        <w:t xml:space="preserve"> package (Ritchie et al. 2015) models log-transformed expressions values according to the experimental design and accounting for the </w:t>
      </w:r>
      <w:proofErr w:type="spellStart"/>
      <w:r w:rsidRPr="000A560C">
        <w:rPr>
          <w:rFonts w:ascii="Times New Roman" w:hAnsi="Times New Roman" w:cs="Times New Roman"/>
          <w:kern w:val="0"/>
          <w:sz w:val="20"/>
          <w:szCs w:val="20"/>
          <w:lang w:val="en-US"/>
        </w:rPr>
        <w:t>voom</w:t>
      </w:r>
      <w:proofErr w:type="spellEnd"/>
      <w:r w:rsidRPr="000A560C">
        <w:rPr>
          <w:rFonts w:ascii="Times New Roman" w:hAnsi="Times New Roman" w:cs="Times New Roman"/>
          <w:kern w:val="0"/>
          <w:sz w:val="20"/>
          <w:szCs w:val="20"/>
          <w:lang w:val="en-US"/>
        </w:rPr>
        <w:t xml:space="preserve"> sample and gene specific weights. Bayesian inference is further used for robustly estimate gene variances.</w:t>
      </w:r>
    </w:p>
    <w:p w14:paraId="2D37B21E"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p>
    <w:p w14:paraId="4CB8E8ED" w14:textId="6DF48D6A"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Multiple testing correction:  all p-values were adjusted with the Hochberg-Bonferroni procedure (</w:t>
      </w:r>
      <w:proofErr w:type="spellStart"/>
      <w:r w:rsidRPr="000A560C">
        <w:rPr>
          <w:rFonts w:ascii="Times New Roman" w:hAnsi="Times New Roman" w:cs="Times New Roman"/>
          <w:kern w:val="0"/>
          <w:sz w:val="20"/>
          <w:szCs w:val="20"/>
          <w:lang w:val="en-US"/>
        </w:rPr>
        <w:t>Benjamini</w:t>
      </w:r>
      <w:proofErr w:type="spellEnd"/>
      <w:r w:rsidRPr="000A560C">
        <w:rPr>
          <w:rFonts w:ascii="Times New Roman" w:hAnsi="Times New Roman" w:cs="Times New Roman"/>
          <w:kern w:val="0"/>
          <w:sz w:val="20"/>
          <w:szCs w:val="20"/>
          <w:lang w:val="en-US"/>
        </w:rPr>
        <w:t xml:space="preserve"> and Hochberg 1995).  </w:t>
      </w:r>
    </w:p>
    <w:p w14:paraId="6CCC9AE2" w14:textId="77777777" w:rsidR="000A560C" w:rsidRPr="000A560C" w:rsidRDefault="000A560C" w:rsidP="000A560C">
      <w:pPr>
        <w:autoSpaceDE w:val="0"/>
        <w:autoSpaceDN w:val="0"/>
        <w:adjustRightInd w:val="0"/>
        <w:spacing w:before="240" w:after="40"/>
        <w:ind w:right="-426"/>
        <w:rPr>
          <w:rFonts w:ascii="Times New Roman" w:hAnsi="Times New Roman" w:cs="Times New Roman"/>
          <w:b/>
          <w:bCs/>
          <w:kern w:val="0"/>
          <w:sz w:val="20"/>
          <w:szCs w:val="20"/>
          <w:lang w:val="en-US"/>
        </w:rPr>
      </w:pPr>
      <w:r w:rsidRPr="000A560C">
        <w:rPr>
          <w:rFonts w:ascii="Times New Roman" w:hAnsi="Times New Roman" w:cs="Times New Roman"/>
          <w:b/>
          <w:bCs/>
          <w:kern w:val="0"/>
          <w:sz w:val="20"/>
          <w:szCs w:val="20"/>
          <w:lang w:val="en-US"/>
        </w:rPr>
        <w:t>Validation Procedure</w:t>
      </w:r>
    </w:p>
    <w:p w14:paraId="005EBCE7" w14:textId="04704D2D"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 xml:space="preserve">For each contrast, we aim at identifying statistically significant differentially expressed (DE) microRNA in the discovery cohort. Furthermore, we want to validate them in the external independent validation cohort. First, we identify DE microRNAs in the discovery cohort with false discovery rate (FDR) &lt;0.25. Out of these groups, we keep only the DE </w:t>
      </w:r>
      <w:r w:rsidRPr="000A560C">
        <w:rPr>
          <w:rFonts w:ascii="Times New Roman" w:hAnsi="Times New Roman" w:cs="Times New Roman"/>
          <w:kern w:val="0"/>
          <w:sz w:val="20"/>
          <w:szCs w:val="20"/>
          <w:lang w:val="en-US"/>
        </w:rPr>
        <w:lastRenderedPageBreak/>
        <w:t>microRNAs which have identical log fold change (</w:t>
      </w:r>
      <w:proofErr w:type="spellStart"/>
      <w:r w:rsidRPr="000A560C">
        <w:rPr>
          <w:rFonts w:ascii="Times New Roman" w:hAnsi="Times New Roman" w:cs="Times New Roman"/>
          <w:kern w:val="0"/>
          <w:sz w:val="20"/>
          <w:szCs w:val="20"/>
          <w:lang w:val="en-US"/>
        </w:rPr>
        <w:t>logFC</w:t>
      </w:r>
      <w:proofErr w:type="spellEnd"/>
      <w:r w:rsidRPr="000A560C">
        <w:rPr>
          <w:rFonts w:ascii="Times New Roman" w:hAnsi="Times New Roman" w:cs="Times New Roman"/>
          <w:kern w:val="0"/>
          <w:sz w:val="20"/>
          <w:szCs w:val="20"/>
          <w:lang w:val="en-US"/>
        </w:rPr>
        <w:t>) sign in both discovery and validation cohort. We define this set of N microRNAs as candidate biomarkers. These candidate biomarkers are further filtered as follows:</w:t>
      </w:r>
    </w:p>
    <w:p w14:paraId="4D819381" w14:textId="59E203F5" w:rsidR="000A560C" w:rsidRPr="000A560C" w:rsidRDefault="000A560C" w:rsidP="000A560C">
      <w:pPr>
        <w:tabs>
          <w:tab w:val="left" w:pos="360"/>
          <w:tab w:val="left" w:pos="1080"/>
        </w:tabs>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ab/>
      </w:r>
      <w:r w:rsidRPr="000A560C">
        <w:rPr>
          <w:rFonts w:ascii="Times New Roman" w:hAnsi="Times New Roman" w:cs="Times New Roman"/>
          <w:kern w:val="0"/>
          <w:sz w:val="20"/>
          <w:szCs w:val="20"/>
          <w:lang w:val="en-US"/>
        </w:rPr>
        <w:t>-</w:t>
      </w:r>
      <w:r>
        <w:rPr>
          <w:rFonts w:ascii="Times New Roman" w:hAnsi="Times New Roman" w:cs="Times New Roman"/>
          <w:kern w:val="0"/>
          <w:sz w:val="20"/>
          <w:szCs w:val="20"/>
          <w:lang w:val="en-US"/>
        </w:rPr>
        <w:t xml:space="preserve"> </w:t>
      </w:r>
      <w:r w:rsidRPr="000A560C">
        <w:rPr>
          <w:rFonts w:ascii="Times New Roman" w:hAnsi="Times New Roman" w:cs="Times New Roman"/>
          <w:kern w:val="0"/>
          <w:sz w:val="20"/>
          <w:szCs w:val="20"/>
          <w:lang w:val="en-US"/>
        </w:rPr>
        <w:t>AUC on discovery cohort &gt;0.6</w:t>
      </w:r>
    </w:p>
    <w:p w14:paraId="634E7EE7" w14:textId="4EBEAFEF" w:rsidR="000A560C" w:rsidRDefault="000A560C" w:rsidP="000A560C">
      <w:pPr>
        <w:tabs>
          <w:tab w:val="left" w:pos="360"/>
          <w:tab w:val="left" w:pos="1080"/>
        </w:tabs>
        <w:autoSpaceDE w:val="0"/>
        <w:autoSpaceDN w:val="0"/>
        <w:adjustRightInd w:val="0"/>
        <w:ind w:left="708" w:right="-426" w:hanging="708"/>
        <w:rPr>
          <w:rFonts w:ascii="Times New Roman" w:hAnsi="Times New Roman" w:cs="Times New Roman"/>
          <w:kern w:val="0"/>
          <w:sz w:val="20"/>
          <w:szCs w:val="20"/>
          <w:lang w:val="en-US"/>
        </w:rPr>
      </w:pPr>
      <w:r>
        <w:rPr>
          <w:rFonts w:ascii="Times New Roman" w:hAnsi="Times New Roman" w:cs="Times New Roman"/>
          <w:kern w:val="0"/>
          <w:sz w:val="20"/>
          <w:szCs w:val="20"/>
          <w:lang w:val="en-US"/>
        </w:rPr>
        <w:tab/>
      </w:r>
      <w:r w:rsidRPr="000A560C">
        <w:rPr>
          <w:rFonts w:ascii="Times New Roman" w:hAnsi="Times New Roman" w:cs="Times New Roman"/>
          <w:kern w:val="0"/>
          <w:sz w:val="20"/>
          <w:szCs w:val="20"/>
          <w:lang w:val="en-US"/>
        </w:rPr>
        <w:t>-</w:t>
      </w:r>
      <w:r>
        <w:rPr>
          <w:rFonts w:ascii="Times New Roman" w:hAnsi="Times New Roman" w:cs="Times New Roman"/>
          <w:kern w:val="0"/>
          <w:sz w:val="20"/>
          <w:szCs w:val="20"/>
          <w:lang w:val="en-US"/>
        </w:rPr>
        <w:t xml:space="preserve"> </w:t>
      </w:r>
      <w:r w:rsidRPr="000A560C">
        <w:rPr>
          <w:rFonts w:ascii="Times New Roman" w:hAnsi="Times New Roman" w:cs="Times New Roman"/>
          <w:kern w:val="0"/>
          <w:sz w:val="20"/>
          <w:szCs w:val="20"/>
          <w:lang w:val="en-US"/>
        </w:rPr>
        <w:t>Restricted FDR on validation cohort &lt;0.25. “Restricted” means that the FDR is computed only over the N p-values</w:t>
      </w:r>
      <w:r>
        <w:rPr>
          <w:rFonts w:ascii="Times New Roman" w:hAnsi="Times New Roman" w:cs="Times New Roman"/>
          <w:kern w:val="0"/>
          <w:sz w:val="20"/>
          <w:szCs w:val="20"/>
          <w:lang w:val="en-US"/>
        </w:rPr>
        <w:t xml:space="preserve"> </w:t>
      </w:r>
    </w:p>
    <w:p w14:paraId="06FF4ACB" w14:textId="55675B34" w:rsidR="000A560C" w:rsidRPr="000A560C" w:rsidRDefault="000A560C" w:rsidP="000A560C">
      <w:pPr>
        <w:tabs>
          <w:tab w:val="left" w:pos="360"/>
          <w:tab w:val="left" w:pos="1080"/>
        </w:tabs>
        <w:autoSpaceDE w:val="0"/>
        <w:autoSpaceDN w:val="0"/>
        <w:adjustRightInd w:val="0"/>
        <w:ind w:left="708" w:right="-426" w:hanging="708"/>
        <w:rPr>
          <w:rFonts w:ascii="Times New Roman" w:hAnsi="Times New Roman" w:cs="Times New Roman"/>
          <w:kern w:val="0"/>
          <w:sz w:val="20"/>
          <w:szCs w:val="20"/>
          <w:lang w:val="en-US"/>
        </w:rPr>
      </w:pPr>
      <w:r>
        <w:rPr>
          <w:rFonts w:ascii="Times New Roman" w:hAnsi="Times New Roman" w:cs="Times New Roman"/>
          <w:kern w:val="0"/>
          <w:sz w:val="20"/>
          <w:szCs w:val="20"/>
          <w:lang w:val="en-US"/>
        </w:rPr>
        <w:tab/>
      </w:r>
      <w:r w:rsidRPr="000A560C">
        <w:rPr>
          <w:rFonts w:ascii="Times New Roman" w:hAnsi="Times New Roman" w:cs="Times New Roman"/>
          <w:kern w:val="0"/>
          <w:sz w:val="20"/>
          <w:szCs w:val="20"/>
          <w:lang w:val="en-US"/>
        </w:rPr>
        <w:t>of the candidate biomarkers</w:t>
      </w:r>
    </w:p>
    <w:p w14:paraId="6CD926FE" w14:textId="659457F5" w:rsidR="000A560C" w:rsidRPr="000A560C" w:rsidRDefault="000A560C" w:rsidP="000A560C">
      <w:pPr>
        <w:tabs>
          <w:tab w:val="left" w:pos="360"/>
          <w:tab w:val="left" w:pos="1080"/>
        </w:tabs>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Only the candidate biomarkers that satisfy all these conditions are considered validated.</w:t>
      </w:r>
    </w:p>
    <w:p w14:paraId="2D43B4A5" w14:textId="77777777" w:rsidR="000A560C" w:rsidRDefault="000A560C" w:rsidP="000A560C">
      <w:pPr>
        <w:autoSpaceDE w:val="0"/>
        <w:autoSpaceDN w:val="0"/>
        <w:adjustRightInd w:val="0"/>
        <w:ind w:right="-426"/>
        <w:rPr>
          <w:rFonts w:ascii="Times New Roman" w:hAnsi="Times New Roman" w:cs="Times New Roman"/>
          <w:kern w:val="0"/>
          <w:sz w:val="20"/>
          <w:szCs w:val="20"/>
          <w:lang w:val="en-US"/>
        </w:rPr>
      </w:pPr>
    </w:p>
    <w:p w14:paraId="04C9FD06"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AD98570"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3C11B718"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27C93B99"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61862BB"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0026C36B"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7193921B"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055806B8"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DEB0578"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0AE89F5"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33C8651D"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73ABE2AD"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46058C9"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CEA6226"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09980E26"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693DE229"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36BFE198"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2B17965"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341A408"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24CF1AE4"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23C0C7EC"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7FD92CF0"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886F7FE"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6B9EEFB2"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0014DF2A"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A20199F"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4AB0CAE"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649AB420"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496AFE6"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76E9C101"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52CC60D6"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2ACD8ED8"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7DC05902"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0DB47174"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33B48B4E"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30A02C19"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26962F79"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8448836"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59246CCA"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590FA473"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54ED8BF"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697EEF9C"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391571CF"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6F1972CE"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100BCD12"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7DE77148"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031093E6"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4E0BA3D9" w14:textId="77777777" w:rsidR="007B0827" w:rsidRDefault="007B0827" w:rsidP="000A560C">
      <w:pPr>
        <w:autoSpaceDE w:val="0"/>
        <w:autoSpaceDN w:val="0"/>
        <w:adjustRightInd w:val="0"/>
        <w:ind w:right="-426"/>
        <w:rPr>
          <w:rFonts w:ascii="Times New Roman" w:hAnsi="Times New Roman" w:cs="Times New Roman"/>
          <w:kern w:val="0"/>
          <w:sz w:val="20"/>
          <w:szCs w:val="20"/>
          <w:lang w:val="en-US"/>
        </w:rPr>
      </w:pPr>
    </w:p>
    <w:p w14:paraId="302CCEE2" w14:textId="77777777" w:rsidR="007B0827" w:rsidRPr="000A560C" w:rsidRDefault="007B0827" w:rsidP="000A560C">
      <w:pPr>
        <w:autoSpaceDE w:val="0"/>
        <w:autoSpaceDN w:val="0"/>
        <w:adjustRightInd w:val="0"/>
        <w:ind w:right="-426"/>
        <w:rPr>
          <w:rFonts w:ascii="Times New Roman" w:hAnsi="Times New Roman" w:cs="Times New Roman"/>
          <w:kern w:val="0"/>
          <w:sz w:val="20"/>
          <w:szCs w:val="20"/>
          <w:lang w:val="en-US"/>
        </w:rPr>
      </w:pPr>
    </w:p>
    <w:p w14:paraId="1975E307" w14:textId="77777777" w:rsidR="000A560C" w:rsidRPr="000A560C" w:rsidRDefault="000A560C" w:rsidP="000A560C">
      <w:pPr>
        <w:autoSpaceDE w:val="0"/>
        <w:autoSpaceDN w:val="0"/>
        <w:adjustRightInd w:val="0"/>
        <w:ind w:right="-426"/>
        <w:rPr>
          <w:rFonts w:ascii="Times New Roman" w:hAnsi="Times New Roman" w:cs="Times New Roman"/>
          <w:b/>
          <w:bCs/>
          <w:kern w:val="0"/>
          <w:lang w:val="en-US"/>
        </w:rPr>
      </w:pPr>
      <w:r w:rsidRPr="000A560C">
        <w:rPr>
          <w:rFonts w:ascii="Times New Roman" w:hAnsi="Times New Roman" w:cs="Times New Roman"/>
          <w:b/>
          <w:bCs/>
          <w:kern w:val="0"/>
          <w:lang w:val="en-US"/>
        </w:rPr>
        <w:lastRenderedPageBreak/>
        <w:t>Supplementary Results</w:t>
      </w:r>
    </w:p>
    <w:p w14:paraId="194688A9" w14:textId="41F58546" w:rsidR="000A560C" w:rsidRPr="000A560C" w:rsidRDefault="000A560C" w:rsidP="000A560C">
      <w:pPr>
        <w:autoSpaceDE w:val="0"/>
        <w:autoSpaceDN w:val="0"/>
        <w:adjustRightInd w:val="0"/>
        <w:spacing w:before="240" w:after="40"/>
        <w:ind w:right="-426"/>
        <w:rPr>
          <w:rFonts w:ascii="Times New Roman" w:hAnsi="Times New Roman" w:cs="Times New Roman"/>
          <w:b/>
          <w:bCs/>
          <w:kern w:val="0"/>
          <w:sz w:val="20"/>
          <w:szCs w:val="20"/>
          <w:lang w:val="en-US"/>
        </w:rPr>
      </w:pPr>
      <w:r w:rsidRPr="000A560C">
        <w:rPr>
          <w:rFonts w:ascii="Times New Roman" w:hAnsi="Times New Roman" w:cs="Times New Roman"/>
          <w:b/>
          <w:bCs/>
          <w:kern w:val="0"/>
          <w:sz w:val="20"/>
          <w:szCs w:val="20"/>
          <w:lang w:val="en-US"/>
        </w:rPr>
        <w:t>Staging Information</w:t>
      </w:r>
    </w:p>
    <w:tbl>
      <w:tblPr>
        <w:tblW w:w="9180" w:type="dxa"/>
        <w:tblInd w:w="-5"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4A0" w:firstRow="1" w:lastRow="0" w:firstColumn="1" w:lastColumn="0" w:noHBand="0" w:noVBand="1"/>
      </w:tblPr>
      <w:tblGrid>
        <w:gridCol w:w="810"/>
        <w:gridCol w:w="6585"/>
        <w:gridCol w:w="1785"/>
      </w:tblGrid>
      <w:tr w:rsidR="000A560C" w14:paraId="3FA226B3" w14:textId="77777777" w:rsidTr="000A560C">
        <w:tc>
          <w:tcPr>
            <w:tcW w:w="810" w:type="dxa"/>
            <w:tcBorders>
              <w:top w:val="single" w:sz="4" w:space="0" w:color="auto"/>
              <w:left w:val="single" w:sz="4" w:space="0" w:color="auto"/>
              <w:bottom w:val="single" w:sz="4" w:space="0" w:color="000000"/>
            </w:tcBorders>
            <w:shd w:val="clear" w:color="auto" w:fill="BFBFBF"/>
          </w:tcPr>
          <w:p w14:paraId="5E795E49"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Code</w:t>
            </w:r>
          </w:p>
        </w:tc>
        <w:tc>
          <w:tcPr>
            <w:tcW w:w="6585" w:type="dxa"/>
            <w:tcBorders>
              <w:top w:val="single" w:sz="4" w:space="0" w:color="auto"/>
              <w:bottom w:val="single" w:sz="4" w:space="0" w:color="000000"/>
            </w:tcBorders>
            <w:shd w:val="clear" w:color="auto" w:fill="BFBFBF"/>
          </w:tcPr>
          <w:p w14:paraId="7122F36E"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Definition</w:t>
            </w:r>
          </w:p>
        </w:tc>
        <w:tc>
          <w:tcPr>
            <w:tcW w:w="1785" w:type="dxa"/>
            <w:tcBorders>
              <w:top w:val="single" w:sz="4" w:space="0" w:color="auto"/>
              <w:bottom w:val="single" w:sz="4" w:space="0" w:color="000000"/>
              <w:right w:val="single" w:sz="4" w:space="0" w:color="auto"/>
            </w:tcBorders>
            <w:shd w:val="clear" w:color="auto" w:fill="BFBFBF"/>
          </w:tcPr>
          <w:p w14:paraId="64E1A5CA"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Stage </w:t>
            </w:r>
            <w:proofErr w:type="spellStart"/>
            <w:r>
              <w:rPr>
                <w:rFonts w:ascii="Times New Roman" w:eastAsia="Times New Roman" w:hAnsi="Times New Roman" w:cs="Times New Roman"/>
                <w:sz w:val="20"/>
                <w:szCs w:val="20"/>
              </w:rPr>
              <w:t>definition</w:t>
            </w:r>
            <w:proofErr w:type="spellEnd"/>
          </w:p>
        </w:tc>
      </w:tr>
      <w:tr w:rsidR="000A560C" w:rsidRPr="000A560C" w14:paraId="25C31C27" w14:textId="77777777" w:rsidTr="000A560C">
        <w:tc>
          <w:tcPr>
            <w:tcW w:w="810" w:type="dxa"/>
            <w:tcBorders>
              <w:top w:val="single" w:sz="4" w:space="0" w:color="000000"/>
              <w:left w:val="single" w:sz="4" w:space="0" w:color="auto"/>
            </w:tcBorders>
          </w:tcPr>
          <w:p w14:paraId="4AB38595"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585" w:type="dxa"/>
            <w:tcBorders>
              <w:top w:val="single" w:sz="4" w:space="0" w:color="000000"/>
            </w:tcBorders>
          </w:tcPr>
          <w:p w14:paraId="641875D3"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No invasion to the neighboring tissues or organs, no lymph nodes or organ metastasis. </w:t>
            </w:r>
          </w:p>
          <w:p w14:paraId="196D118C"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Metastasis in the same organ as the origin of the primary tumor. </w:t>
            </w:r>
          </w:p>
        </w:tc>
        <w:tc>
          <w:tcPr>
            <w:tcW w:w="1785" w:type="dxa"/>
            <w:vMerge w:val="restart"/>
            <w:tcBorders>
              <w:top w:val="single" w:sz="4" w:space="0" w:color="000000"/>
              <w:right w:val="single" w:sz="4" w:space="0" w:color="auto"/>
            </w:tcBorders>
          </w:tcPr>
          <w:p w14:paraId="0846DEEF"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Non-metastatic</w:t>
            </w:r>
          </w:p>
          <w:p w14:paraId="21E33DB5"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Stage I-IIB</w:t>
            </w:r>
          </w:p>
        </w:tc>
      </w:tr>
      <w:tr w:rsidR="000A560C" w:rsidRPr="000A560C" w14:paraId="1C865B0F" w14:textId="77777777" w:rsidTr="000A560C">
        <w:tc>
          <w:tcPr>
            <w:tcW w:w="810" w:type="dxa"/>
            <w:tcBorders>
              <w:left w:val="single" w:sz="4" w:space="0" w:color="auto"/>
            </w:tcBorders>
          </w:tcPr>
          <w:p w14:paraId="491BBE03"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585" w:type="dxa"/>
          </w:tcPr>
          <w:p w14:paraId="48555B9F"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Lymph node metastasis in the same body section as the primary tumor.</w:t>
            </w:r>
          </w:p>
        </w:tc>
        <w:tc>
          <w:tcPr>
            <w:tcW w:w="1785" w:type="dxa"/>
            <w:vMerge/>
            <w:tcBorders>
              <w:top w:val="single" w:sz="4" w:space="0" w:color="000000"/>
              <w:right w:val="single" w:sz="4" w:space="0" w:color="auto"/>
            </w:tcBorders>
          </w:tcPr>
          <w:p w14:paraId="0DA8B722" w14:textId="77777777" w:rsidR="000A560C" w:rsidRPr="000A560C" w:rsidRDefault="000A560C" w:rsidP="0022705D">
            <w:pPr>
              <w:widowControl w:val="0"/>
              <w:spacing w:line="276" w:lineRule="auto"/>
              <w:rPr>
                <w:rFonts w:ascii="Times New Roman" w:eastAsia="Times New Roman" w:hAnsi="Times New Roman" w:cs="Times New Roman"/>
                <w:sz w:val="20"/>
                <w:szCs w:val="20"/>
                <w:lang w:val="en-US"/>
              </w:rPr>
            </w:pPr>
          </w:p>
        </w:tc>
      </w:tr>
      <w:tr w:rsidR="000A560C" w14:paraId="35A1C803" w14:textId="77777777" w:rsidTr="000A560C">
        <w:tc>
          <w:tcPr>
            <w:tcW w:w="810" w:type="dxa"/>
            <w:tcBorders>
              <w:left w:val="single" w:sz="4" w:space="0" w:color="auto"/>
            </w:tcBorders>
          </w:tcPr>
          <w:p w14:paraId="696021C4"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585" w:type="dxa"/>
          </w:tcPr>
          <w:p w14:paraId="27FC5BCF"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Lymph node metastasis to a different body section than the primary tumor.</w:t>
            </w:r>
          </w:p>
        </w:tc>
        <w:tc>
          <w:tcPr>
            <w:tcW w:w="1785" w:type="dxa"/>
            <w:vMerge w:val="restart"/>
            <w:tcBorders>
              <w:right w:val="single" w:sz="4" w:space="0" w:color="auto"/>
            </w:tcBorders>
          </w:tcPr>
          <w:p w14:paraId="175AD47E" w14:textId="77777777" w:rsidR="000A560C" w:rsidRDefault="000A560C" w:rsidP="0022705D">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Metastatic</w:t>
            </w:r>
            <w:proofErr w:type="spellEnd"/>
          </w:p>
          <w:p w14:paraId="12969368"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Stage III-IV</w:t>
            </w:r>
          </w:p>
        </w:tc>
      </w:tr>
      <w:tr w:rsidR="000A560C" w:rsidRPr="000A560C" w14:paraId="05AA728E" w14:textId="77777777" w:rsidTr="000A560C">
        <w:tc>
          <w:tcPr>
            <w:tcW w:w="810" w:type="dxa"/>
            <w:tcBorders>
              <w:left w:val="single" w:sz="4" w:space="0" w:color="auto"/>
            </w:tcBorders>
          </w:tcPr>
          <w:p w14:paraId="1A82DCA8"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585" w:type="dxa"/>
          </w:tcPr>
          <w:p w14:paraId="2957CA09"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Organ metastasis in the same body section as the primary tumor</w:t>
            </w:r>
          </w:p>
        </w:tc>
        <w:tc>
          <w:tcPr>
            <w:tcW w:w="1785" w:type="dxa"/>
            <w:vMerge/>
            <w:tcBorders>
              <w:right w:val="single" w:sz="4" w:space="0" w:color="auto"/>
            </w:tcBorders>
          </w:tcPr>
          <w:p w14:paraId="27EE8D2B" w14:textId="77777777" w:rsidR="000A560C" w:rsidRPr="000A560C" w:rsidRDefault="000A560C" w:rsidP="0022705D">
            <w:pPr>
              <w:widowControl w:val="0"/>
              <w:spacing w:line="276" w:lineRule="auto"/>
              <w:rPr>
                <w:rFonts w:ascii="Times New Roman" w:eastAsia="Times New Roman" w:hAnsi="Times New Roman" w:cs="Times New Roman"/>
                <w:sz w:val="20"/>
                <w:szCs w:val="20"/>
                <w:lang w:val="en-US"/>
              </w:rPr>
            </w:pPr>
          </w:p>
        </w:tc>
      </w:tr>
      <w:tr w:rsidR="000A560C" w:rsidRPr="000A560C" w14:paraId="05729B97" w14:textId="77777777" w:rsidTr="000A560C">
        <w:tc>
          <w:tcPr>
            <w:tcW w:w="810" w:type="dxa"/>
            <w:tcBorders>
              <w:left w:val="single" w:sz="4" w:space="0" w:color="auto"/>
              <w:bottom w:val="single" w:sz="4" w:space="0" w:color="auto"/>
            </w:tcBorders>
          </w:tcPr>
          <w:p w14:paraId="76F97372" w14:textId="77777777" w:rsidR="000A560C" w:rsidRDefault="000A560C" w:rsidP="0022705D">
            <w:pP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585" w:type="dxa"/>
            <w:tcBorders>
              <w:bottom w:val="single" w:sz="4" w:space="0" w:color="auto"/>
            </w:tcBorders>
          </w:tcPr>
          <w:p w14:paraId="5ACECFA7" w14:textId="77777777" w:rsidR="000A560C" w:rsidRPr="000A560C" w:rsidRDefault="000A560C" w:rsidP="0022705D">
            <w:pPr>
              <w:rPr>
                <w:rFonts w:ascii="Times New Roman" w:eastAsia="Times New Roman" w:hAnsi="Times New Roman" w:cs="Times New Roman"/>
                <w:sz w:val="20"/>
                <w:szCs w:val="20"/>
                <w:lang w:val="en-US"/>
              </w:rPr>
            </w:pPr>
            <w:r w:rsidRPr="000A560C">
              <w:rPr>
                <w:rFonts w:ascii="Times New Roman" w:eastAsia="Times New Roman" w:hAnsi="Times New Roman" w:cs="Times New Roman"/>
                <w:sz w:val="20"/>
                <w:szCs w:val="20"/>
                <w:lang w:val="en-US"/>
              </w:rPr>
              <w:t>Organ metastasis to a different body section than the primary tumor.</w:t>
            </w:r>
          </w:p>
        </w:tc>
        <w:tc>
          <w:tcPr>
            <w:tcW w:w="1785" w:type="dxa"/>
            <w:vMerge/>
            <w:tcBorders>
              <w:bottom w:val="single" w:sz="4" w:space="0" w:color="auto"/>
              <w:right w:val="single" w:sz="4" w:space="0" w:color="auto"/>
            </w:tcBorders>
          </w:tcPr>
          <w:p w14:paraId="4B012198" w14:textId="77777777" w:rsidR="000A560C" w:rsidRPr="000A560C" w:rsidRDefault="000A560C" w:rsidP="0022705D">
            <w:pPr>
              <w:widowControl w:val="0"/>
              <w:spacing w:line="276" w:lineRule="auto"/>
              <w:rPr>
                <w:rFonts w:ascii="Times New Roman" w:eastAsia="Times New Roman" w:hAnsi="Times New Roman" w:cs="Times New Roman"/>
                <w:sz w:val="20"/>
                <w:szCs w:val="20"/>
                <w:lang w:val="en-US"/>
              </w:rPr>
            </w:pPr>
          </w:p>
        </w:tc>
      </w:tr>
    </w:tbl>
    <w:p w14:paraId="5F6A2D31" w14:textId="18C79B64"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p>
    <w:p w14:paraId="241B09C6"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b/>
          <w:bCs/>
          <w:kern w:val="0"/>
          <w:sz w:val="20"/>
          <w:szCs w:val="20"/>
          <w:lang w:val="en-US"/>
        </w:rPr>
        <w:t>Supplementary Table 1.</w:t>
      </w:r>
      <w:r w:rsidRPr="000A560C">
        <w:rPr>
          <w:rFonts w:ascii="Times New Roman" w:hAnsi="Times New Roman" w:cs="Times New Roman"/>
          <w:i/>
          <w:iCs/>
          <w:kern w:val="0"/>
          <w:sz w:val="20"/>
          <w:szCs w:val="20"/>
          <w:lang w:val="en-US"/>
        </w:rPr>
        <w:t xml:space="preserve"> </w:t>
      </w:r>
      <w:r w:rsidRPr="000A560C">
        <w:rPr>
          <w:rFonts w:ascii="Times New Roman" w:hAnsi="Times New Roman" w:cs="Times New Roman"/>
          <w:kern w:val="0"/>
          <w:sz w:val="20"/>
          <w:szCs w:val="20"/>
          <w:lang w:val="en-US"/>
        </w:rPr>
        <w:t>Metastasis codes of the Norwegian Cancer Registry with general definitions used from 01.01.1986. Code 0-1 is a surrogate for Stage I-IIB and Code 2-4 for Stage III-IV. Code 0 also may include few cases with metastasis in the same organ, but no other metastases. </w:t>
      </w:r>
    </w:p>
    <w:p w14:paraId="4E81C184"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p>
    <w:p w14:paraId="62E9B98C" w14:textId="77777777" w:rsidR="000A560C" w:rsidRPr="000A560C" w:rsidRDefault="000A560C" w:rsidP="000A560C">
      <w:pPr>
        <w:autoSpaceDE w:val="0"/>
        <w:autoSpaceDN w:val="0"/>
        <w:adjustRightInd w:val="0"/>
        <w:spacing w:before="240" w:after="40"/>
        <w:ind w:right="-426"/>
        <w:rPr>
          <w:rFonts w:ascii="Times New Roman" w:hAnsi="Times New Roman" w:cs="Times New Roman"/>
          <w:b/>
          <w:bCs/>
          <w:kern w:val="0"/>
          <w:sz w:val="20"/>
          <w:szCs w:val="20"/>
          <w:lang w:val="en-US"/>
        </w:rPr>
      </w:pPr>
      <w:r w:rsidRPr="000A560C">
        <w:rPr>
          <w:rFonts w:ascii="Times New Roman" w:hAnsi="Times New Roman" w:cs="Times New Roman"/>
          <w:b/>
          <w:bCs/>
          <w:kern w:val="0"/>
          <w:sz w:val="20"/>
          <w:szCs w:val="20"/>
          <w:lang w:val="en-US"/>
        </w:rPr>
        <w:t>Descriptive Statistics on Clinical Data</w:t>
      </w:r>
    </w:p>
    <w:p w14:paraId="3B800C79" w14:textId="2E4118B8"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 xml:space="preserve">We examine if there are any distributional differences in the clinical risk factors related to lung cancer development between discovery and validation cohorts (see Supplementary Fig. 1). According to </w:t>
      </w:r>
      <w:proofErr w:type="spellStart"/>
      <w:r w:rsidRPr="000A560C">
        <w:rPr>
          <w:rFonts w:ascii="Times New Roman" w:hAnsi="Times New Roman" w:cs="Times New Roman"/>
          <w:kern w:val="0"/>
          <w:sz w:val="20"/>
          <w:szCs w:val="20"/>
          <w:lang w:val="en-US"/>
        </w:rPr>
        <w:t>Markaki</w:t>
      </w:r>
      <w:proofErr w:type="spellEnd"/>
      <w:r w:rsidRPr="000A560C">
        <w:rPr>
          <w:rFonts w:ascii="Times New Roman" w:hAnsi="Times New Roman" w:cs="Times New Roman"/>
          <w:kern w:val="0"/>
          <w:sz w:val="20"/>
          <w:szCs w:val="20"/>
          <w:lang w:val="en-US"/>
        </w:rPr>
        <w:t xml:space="preserve"> et al. </w:t>
      </w:r>
      <w:r w:rsidR="007B0827">
        <w:rPr>
          <w:rFonts w:ascii="Times New Roman" w:hAnsi="Times New Roman" w:cs="Times New Roman"/>
          <w:kern w:val="0"/>
          <w:sz w:val="20"/>
          <w:szCs w:val="20"/>
          <w:lang w:val="en-US"/>
        </w:rPr>
        <w:t>(</w:t>
      </w:r>
      <w:r w:rsidRPr="000A560C">
        <w:rPr>
          <w:rFonts w:ascii="Times New Roman" w:hAnsi="Times New Roman" w:cs="Times New Roman"/>
          <w:kern w:val="0"/>
          <w:sz w:val="20"/>
          <w:szCs w:val="20"/>
          <w:lang w:val="en-US"/>
        </w:rPr>
        <w:t>2018) the clinical variables that are significantly associated with lung cancer development are gender, age, smoking habits (pack-years, smoking cut years, smoking status), and body mass index (BMI). The clinical variables that gauge the hours of exposure in a smoky room (</w:t>
      </w:r>
      <w:proofErr w:type="spellStart"/>
      <w:r w:rsidRPr="000A560C">
        <w:rPr>
          <w:rFonts w:ascii="Times New Roman" w:hAnsi="Times New Roman" w:cs="Times New Roman"/>
          <w:kern w:val="0"/>
          <w:sz w:val="20"/>
          <w:szCs w:val="20"/>
          <w:lang w:val="en-US"/>
        </w:rPr>
        <w:t>SmoExpH</w:t>
      </w:r>
      <w:proofErr w:type="spellEnd"/>
      <w:r w:rsidRPr="000A560C">
        <w:rPr>
          <w:rFonts w:ascii="Times New Roman" w:hAnsi="Times New Roman" w:cs="Times New Roman"/>
          <w:kern w:val="0"/>
          <w:sz w:val="20"/>
          <w:szCs w:val="20"/>
          <w:lang w:val="en-US"/>
        </w:rPr>
        <w:t>) and the indication of cough daily (</w:t>
      </w:r>
      <w:proofErr w:type="spellStart"/>
      <w:r w:rsidRPr="000A560C">
        <w:rPr>
          <w:rFonts w:ascii="Times New Roman" w:hAnsi="Times New Roman" w:cs="Times New Roman"/>
          <w:kern w:val="0"/>
          <w:sz w:val="20"/>
          <w:szCs w:val="20"/>
          <w:lang w:val="en-US"/>
        </w:rPr>
        <w:t>CougDy</w:t>
      </w:r>
      <w:proofErr w:type="spellEnd"/>
      <w:r w:rsidRPr="000A560C">
        <w:rPr>
          <w:rFonts w:ascii="Times New Roman" w:hAnsi="Times New Roman" w:cs="Times New Roman"/>
          <w:kern w:val="0"/>
          <w:sz w:val="20"/>
          <w:szCs w:val="20"/>
          <w:lang w:val="en-US"/>
        </w:rPr>
        <w:t xml:space="preserve">) on yearly basis have not been included in the descriptive analysis due to their absence in the validation cohort. </w:t>
      </w:r>
      <w:r w:rsidR="009063CF" w:rsidRPr="000A560C">
        <w:rPr>
          <w:rFonts w:ascii="Times New Roman" w:hAnsi="Times New Roman" w:cs="Times New Roman"/>
          <w:kern w:val="0"/>
          <w:sz w:val="20"/>
          <w:szCs w:val="20"/>
          <w:lang w:val="en-US"/>
        </w:rPr>
        <w:t>Therefore,</w:t>
      </w:r>
      <w:r w:rsidRPr="000A560C">
        <w:rPr>
          <w:rFonts w:ascii="Times New Roman" w:hAnsi="Times New Roman" w:cs="Times New Roman"/>
          <w:kern w:val="0"/>
          <w:sz w:val="20"/>
          <w:szCs w:val="20"/>
          <w:lang w:val="en-US"/>
        </w:rPr>
        <w:t xml:space="preserve"> we conducted the Tukey’s and chi-square statistical tests for the continuous and binomial variables respectively.</w:t>
      </w:r>
    </w:p>
    <w:p w14:paraId="3A6B44EA"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lang w:val="en-US"/>
        </w:rPr>
      </w:pPr>
      <w:r w:rsidRPr="000A560C">
        <w:rPr>
          <w:rFonts w:ascii="Times New Roman" w:hAnsi="Times New Roman" w:cs="Times New Roman"/>
          <w:kern w:val="0"/>
          <w:sz w:val="20"/>
          <w:szCs w:val="20"/>
          <w:lang w:val="en-US"/>
        </w:rPr>
        <w:t>The results showed statistically significant heterogeneity in 3 out of the 6 examined variables across the discovery and validation cohorts at 0.05 significance level (Supplementary Table 2).  Particularly, we observe that age is significantly different between cohorts, with the participants in the discovery dataset being five years older on average. There is also an unbalanced distribution in terms of gender, with 64.7% and 44.4% men in the discovery and validation cohort populations respectively.</w:t>
      </w:r>
    </w:p>
    <w:p w14:paraId="551C65A1" w14:textId="77777777" w:rsidR="000A560C" w:rsidRDefault="000A560C" w:rsidP="000A560C">
      <w:pPr>
        <w:rPr>
          <w:rFonts w:ascii="Times New Roman" w:eastAsia="Times New Roman" w:hAnsi="Times New Roman" w:cs="Times New Roman"/>
          <w:sz w:val="20"/>
          <w:szCs w:val="20"/>
        </w:rPr>
      </w:pPr>
    </w:p>
    <w:tbl>
      <w:tblPr>
        <w:tblW w:w="8100" w:type="dxa"/>
        <w:tblInd w:w="-5"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600" w:firstRow="0" w:lastRow="0" w:firstColumn="0" w:lastColumn="0" w:noHBand="1" w:noVBand="1"/>
      </w:tblPr>
      <w:tblGrid>
        <w:gridCol w:w="1650"/>
        <w:gridCol w:w="450"/>
        <w:gridCol w:w="2040"/>
        <w:gridCol w:w="2235"/>
        <w:gridCol w:w="1725"/>
      </w:tblGrid>
      <w:tr w:rsidR="000A560C" w14:paraId="1A0A80FC" w14:textId="77777777" w:rsidTr="000A560C">
        <w:trPr>
          <w:trHeight w:val="256"/>
        </w:trPr>
        <w:tc>
          <w:tcPr>
            <w:tcW w:w="8100" w:type="dxa"/>
            <w:gridSpan w:val="5"/>
            <w:tcBorders>
              <w:top w:val="single" w:sz="4" w:space="0" w:color="auto"/>
              <w:left w:val="single" w:sz="4" w:space="0" w:color="auto"/>
              <w:bottom w:val="single" w:sz="4" w:space="0" w:color="000000"/>
              <w:right w:val="single" w:sz="4" w:space="0" w:color="auto"/>
            </w:tcBorders>
            <w:shd w:val="clear" w:color="auto" w:fill="BFBFBF"/>
          </w:tcPr>
          <w:p w14:paraId="3D73AEED" w14:textId="77777777" w:rsidR="000A560C" w:rsidRDefault="000A560C" w:rsidP="0022705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Multiple </w:t>
            </w:r>
            <w:proofErr w:type="spellStart"/>
            <w:r>
              <w:rPr>
                <w:rFonts w:ascii="Times New Roman" w:eastAsia="Times New Roman" w:hAnsi="Times New Roman" w:cs="Times New Roman"/>
                <w:b/>
                <w:sz w:val="20"/>
                <w:szCs w:val="20"/>
              </w:rPr>
              <w:t>pairwise</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Tukey</w:t>
            </w:r>
            <w:proofErr w:type="spellEnd"/>
            <w:r>
              <w:rPr>
                <w:rFonts w:ascii="Times New Roman" w:eastAsia="Times New Roman" w:hAnsi="Times New Roman" w:cs="Times New Roman"/>
                <w:b/>
                <w:sz w:val="20"/>
                <w:szCs w:val="20"/>
              </w:rPr>
              <w:t xml:space="preserve"> test</w:t>
            </w:r>
          </w:p>
        </w:tc>
      </w:tr>
      <w:tr w:rsidR="000A560C" w14:paraId="2DDB0ADD" w14:textId="77777777" w:rsidTr="000A560C">
        <w:trPr>
          <w:trHeight w:val="220"/>
        </w:trPr>
        <w:tc>
          <w:tcPr>
            <w:tcW w:w="1650" w:type="dxa"/>
            <w:tcBorders>
              <w:top w:val="single" w:sz="4" w:space="0" w:color="000000"/>
              <w:left w:val="single" w:sz="4" w:space="0" w:color="auto"/>
              <w:bottom w:val="single" w:sz="4" w:space="0" w:color="000000"/>
            </w:tcBorders>
            <w:shd w:val="clear" w:color="auto" w:fill="BFBFBF"/>
          </w:tcPr>
          <w:p w14:paraId="2002F095" w14:textId="77777777" w:rsidR="000A560C" w:rsidRDefault="000A560C" w:rsidP="0022705D">
            <w:pPr>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Continuous</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trait</w:t>
            </w:r>
            <w:proofErr w:type="spellEnd"/>
          </w:p>
        </w:tc>
        <w:tc>
          <w:tcPr>
            <w:tcW w:w="2490" w:type="dxa"/>
            <w:gridSpan w:val="2"/>
            <w:tcBorders>
              <w:top w:val="single" w:sz="4" w:space="0" w:color="000000"/>
              <w:bottom w:val="single" w:sz="4" w:space="0" w:color="000000"/>
            </w:tcBorders>
            <w:shd w:val="clear" w:color="auto" w:fill="BFBFBF"/>
          </w:tcPr>
          <w:p w14:paraId="2BD43DFA" w14:textId="77777777" w:rsidR="000A560C" w:rsidRDefault="000A560C" w:rsidP="0022705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p-value</w:t>
            </w:r>
          </w:p>
        </w:tc>
        <w:tc>
          <w:tcPr>
            <w:tcW w:w="2235" w:type="dxa"/>
            <w:tcBorders>
              <w:top w:val="single" w:sz="4" w:space="0" w:color="000000"/>
              <w:bottom w:val="single" w:sz="4" w:space="0" w:color="000000"/>
            </w:tcBorders>
            <w:shd w:val="clear" w:color="auto" w:fill="BFBFBF"/>
          </w:tcPr>
          <w:p w14:paraId="085A5BFE" w14:textId="77777777" w:rsidR="000A560C" w:rsidRDefault="000A560C" w:rsidP="0022705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95% CI</w:t>
            </w:r>
          </w:p>
        </w:tc>
        <w:tc>
          <w:tcPr>
            <w:tcW w:w="1725" w:type="dxa"/>
            <w:tcBorders>
              <w:top w:val="single" w:sz="4" w:space="0" w:color="000000"/>
              <w:bottom w:val="single" w:sz="4" w:space="0" w:color="000000"/>
              <w:right w:val="single" w:sz="4" w:space="0" w:color="auto"/>
            </w:tcBorders>
            <w:shd w:val="clear" w:color="auto" w:fill="BFBFBF"/>
          </w:tcPr>
          <w:p w14:paraId="0D87CD48" w14:textId="77777777" w:rsidR="000A560C" w:rsidRDefault="000A560C" w:rsidP="0022705D">
            <w:pPr>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statistic</w:t>
            </w:r>
            <w:proofErr w:type="spellEnd"/>
          </w:p>
        </w:tc>
      </w:tr>
      <w:tr w:rsidR="000A560C" w14:paraId="3E2D9176" w14:textId="77777777" w:rsidTr="000A560C">
        <w:trPr>
          <w:trHeight w:val="360"/>
        </w:trPr>
        <w:tc>
          <w:tcPr>
            <w:tcW w:w="1650" w:type="dxa"/>
            <w:tcBorders>
              <w:top w:val="single" w:sz="4" w:space="0" w:color="000000"/>
              <w:left w:val="single" w:sz="4" w:space="0" w:color="auto"/>
            </w:tcBorders>
          </w:tcPr>
          <w:p w14:paraId="473C939B" w14:textId="77777777" w:rsidR="000A560C" w:rsidRDefault="000A560C" w:rsidP="0022705D">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PartAg</w:t>
            </w:r>
            <w:proofErr w:type="spellEnd"/>
          </w:p>
        </w:tc>
        <w:tc>
          <w:tcPr>
            <w:tcW w:w="2490" w:type="dxa"/>
            <w:gridSpan w:val="2"/>
            <w:tcBorders>
              <w:top w:val="single" w:sz="4" w:space="0" w:color="000000"/>
            </w:tcBorders>
          </w:tcPr>
          <w:p w14:paraId="79F77A8C"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0.000213</w:t>
            </w:r>
          </w:p>
        </w:tc>
        <w:tc>
          <w:tcPr>
            <w:tcW w:w="2235" w:type="dxa"/>
            <w:tcBorders>
              <w:top w:val="single" w:sz="4" w:space="0" w:color="000000"/>
            </w:tcBorders>
          </w:tcPr>
          <w:p w14:paraId="26253383" w14:textId="125E19E5"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[2.17 - 8.167]</w:t>
            </w:r>
          </w:p>
        </w:tc>
        <w:tc>
          <w:tcPr>
            <w:tcW w:w="1725" w:type="dxa"/>
            <w:tcBorders>
              <w:top w:val="single" w:sz="4" w:space="0" w:color="000000"/>
              <w:right w:val="single" w:sz="4" w:space="0" w:color="auto"/>
            </w:tcBorders>
          </w:tcPr>
          <w:p w14:paraId="7C35FCBB"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5.169</w:t>
            </w:r>
          </w:p>
        </w:tc>
      </w:tr>
      <w:tr w:rsidR="000A560C" w14:paraId="79DE1BEA" w14:textId="77777777" w:rsidTr="000A560C">
        <w:trPr>
          <w:trHeight w:val="330"/>
        </w:trPr>
        <w:tc>
          <w:tcPr>
            <w:tcW w:w="1650" w:type="dxa"/>
            <w:tcBorders>
              <w:left w:val="single" w:sz="4" w:space="0" w:color="auto"/>
            </w:tcBorders>
          </w:tcPr>
          <w:p w14:paraId="75323BB3" w14:textId="77777777" w:rsidR="000A560C" w:rsidRDefault="000A560C" w:rsidP="0022705D">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SmoPackYrs</w:t>
            </w:r>
            <w:proofErr w:type="spellEnd"/>
          </w:p>
        </w:tc>
        <w:tc>
          <w:tcPr>
            <w:tcW w:w="2490" w:type="dxa"/>
            <w:gridSpan w:val="2"/>
          </w:tcPr>
          <w:p w14:paraId="23292815"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0.101739</w:t>
            </w:r>
          </w:p>
        </w:tc>
        <w:tc>
          <w:tcPr>
            <w:tcW w:w="2235" w:type="dxa"/>
          </w:tcPr>
          <w:p w14:paraId="7CF37063"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[-0.42 -8.94]  </w:t>
            </w:r>
          </w:p>
        </w:tc>
        <w:tc>
          <w:tcPr>
            <w:tcW w:w="1725" w:type="dxa"/>
            <w:tcBorders>
              <w:right w:val="single" w:sz="4" w:space="0" w:color="auto"/>
            </w:tcBorders>
          </w:tcPr>
          <w:p w14:paraId="222B801A"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4.259</w:t>
            </w:r>
          </w:p>
        </w:tc>
      </w:tr>
      <w:tr w:rsidR="000A560C" w14:paraId="7D472BE4" w14:textId="77777777" w:rsidTr="000A560C">
        <w:trPr>
          <w:trHeight w:val="500"/>
        </w:trPr>
        <w:tc>
          <w:tcPr>
            <w:tcW w:w="1650" w:type="dxa"/>
            <w:tcBorders>
              <w:left w:val="single" w:sz="4" w:space="0" w:color="auto"/>
            </w:tcBorders>
          </w:tcPr>
          <w:p w14:paraId="58E1E23B"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Smoking </w:t>
            </w:r>
            <w:proofErr w:type="spellStart"/>
            <w:r>
              <w:rPr>
                <w:rFonts w:ascii="Times New Roman" w:eastAsia="Times New Roman" w:hAnsi="Times New Roman" w:cs="Times New Roman"/>
                <w:sz w:val="20"/>
                <w:szCs w:val="20"/>
              </w:rPr>
              <w:t>Cessation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Years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SmoDyCesDu</w:t>
            </w:r>
            <w:proofErr w:type="spellEnd"/>
            <w:r>
              <w:rPr>
                <w:rFonts w:ascii="Times New Roman" w:eastAsia="Times New Roman" w:hAnsi="Times New Roman" w:cs="Times New Roman"/>
                <w:sz w:val="20"/>
                <w:szCs w:val="20"/>
              </w:rPr>
              <w:t>)</w:t>
            </w:r>
          </w:p>
        </w:tc>
        <w:tc>
          <w:tcPr>
            <w:tcW w:w="2490" w:type="dxa"/>
            <w:gridSpan w:val="2"/>
          </w:tcPr>
          <w:p w14:paraId="6CB0E5F2"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0.047808</w:t>
            </w:r>
          </w:p>
        </w:tc>
        <w:tc>
          <w:tcPr>
            <w:tcW w:w="2235" w:type="dxa"/>
          </w:tcPr>
          <w:p w14:paraId="5972600F"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[-0.362 - 4.816]</w:t>
            </w:r>
          </w:p>
        </w:tc>
        <w:tc>
          <w:tcPr>
            <w:tcW w:w="1725" w:type="dxa"/>
            <w:tcBorders>
              <w:right w:val="single" w:sz="4" w:space="0" w:color="auto"/>
            </w:tcBorders>
          </w:tcPr>
          <w:p w14:paraId="13DC1610"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2.22</w:t>
            </w:r>
          </w:p>
        </w:tc>
      </w:tr>
      <w:tr w:rsidR="000A560C" w14:paraId="74B90BFC" w14:textId="77777777" w:rsidTr="000A560C">
        <w:trPr>
          <w:trHeight w:val="330"/>
        </w:trPr>
        <w:tc>
          <w:tcPr>
            <w:tcW w:w="1650" w:type="dxa"/>
            <w:tcBorders>
              <w:left w:val="single" w:sz="4" w:space="0" w:color="auto"/>
              <w:bottom w:val="single" w:sz="4" w:space="0" w:color="666666"/>
            </w:tcBorders>
          </w:tcPr>
          <w:p w14:paraId="2E6BBFFE" w14:textId="77777777" w:rsidR="000A560C" w:rsidRDefault="000A560C" w:rsidP="0022705D">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BMI</w:t>
            </w:r>
            <w:proofErr w:type="spellEnd"/>
          </w:p>
        </w:tc>
        <w:tc>
          <w:tcPr>
            <w:tcW w:w="2490" w:type="dxa"/>
            <w:gridSpan w:val="2"/>
            <w:tcBorders>
              <w:bottom w:val="single" w:sz="4" w:space="0" w:color="666666"/>
            </w:tcBorders>
          </w:tcPr>
          <w:p w14:paraId="76B137FB"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0.336068</w:t>
            </w:r>
          </w:p>
        </w:tc>
        <w:tc>
          <w:tcPr>
            <w:tcW w:w="2235" w:type="dxa"/>
            <w:tcBorders>
              <w:bottom w:val="single" w:sz="4" w:space="0" w:color="666666"/>
            </w:tcBorders>
          </w:tcPr>
          <w:p w14:paraId="07BD87AE"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[-1.594 - 0.546]</w:t>
            </w:r>
          </w:p>
        </w:tc>
        <w:tc>
          <w:tcPr>
            <w:tcW w:w="1725" w:type="dxa"/>
            <w:tcBorders>
              <w:bottom w:val="single" w:sz="4" w:space="0" w:color="666666"/>
              <w:right w:val="single" w:sz="4" w:space="0" w:color="auto"/>
            </w:tcBorders>
          </w:tcPr>
          <w:p w14:paraId="0D0ADC7B"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-0.524</w:t>
            </w:r>
          </w:p>
        </w:tc>
      </w:tr>
      <w:tr w:rsidR="000A560C" w14:paraId="7A31F14F" w14:textId="77777777" w:rsidTr="000A560C">
        <w:trPr>
          <w:trHeight w:val="310"/>
        </w:trPr>
        <w:tc>
          <w:tcPr>
            <w:tcW w:w="8100" w:type="dxa"/>
            <w:gridSpan w:val="5"/>
            <w:tcBorders>
              <w:top w:val="single" w:sz="4" w:space="0" w:color="666666"/>
              <w:left w:val="single" w:sz="4" w:space="0" w:color="auto"/>
              <w:bottom w:val="single" w:sz="4" w:space="0" w:color="000000"/>
              <w:right w:val="single" w:sz="4" w:space="0" w:color="auto"/>
            </w:tcBorders>
            <w:shd w:val="clear" w:color="auto" w:fill="BFBFBF"/>
          </w:tcPr>
          <w:p w14:paraId="7A0DB050" w14:textId="77777777" w:rsidR="000A560C" w:rsidRDefault="000A560C" w:rsidP="0022705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Chi-</w:t>
            </w:r>
            <w:proofErr w:type="spellStart"/>
            <w:r>
              <w:rPr>
                <w:rFonts w:ascii="Times New Roman" w:eastAsia="Times New Roman" w:hAnsi="Times New Roman" w:cs="Times New Roman"/>
                <w:b/>
                <w:sz w:val="20"/>
                <w:szCs w:val="20"/>
              </w:rPr>
              <w:t>square</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statistical</w:t>
            </w:r>
            <w:proofErr w:type="spellEnd"/>
            <w:r>
              <w:rPr>
                <w:rFonts w:ascii="Times New Roman" w:eastAsia="Times New Roman" w:hAnsi="Times New Roman" w:cs="Times New Roman"/>
                <w:b/>
                <w:sz w:val="20"/>
                <w:szCs w:val="20"/>
              </w:rPr>
              <w:t xml:space="preserve"> test</w:t>
            </w:r>
          </w:p>
        </w:tc>
      </w:tr>
      <w:tr w:rsidR="000A560C" w14:paraId="7B8D873B" w14:textId="77777777" w:rsidTr="000A560C">
        <w:trPr>
          <w:gridAfter w:val="1"/>
          <w:wAfter w:w="1725" w:type="dxa"/>
          <w:trHeight w:val="256"/>
        </w:trPr>
        <w:tc>
          <w:tcPr>
            <w:tcW w:w="2100" w:type="dxa"/>
            <w:gridSpan w:val="2"/>
            <w:tcBorders>
              <w:left w:val="single" w:sz="4" w:space="0" w:color="auto"/>
              <w:bottom w:val="single" w:sz="4" w:space="0" w:color="000000"/>
            </w:tcBorders>
            <w:shd w:val="clear" w:color="auto" w:fill="BFBFBF"/>
          </w:tcPr>
          <w:p w14:paraId="69035477" w14:textId="77777777" w:rsidR="000A560C" w:rsidRDefault="000A560C" w:rsidP="0022705D">
            <w:pPr>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 xml:space="preserve">Nominal  </w:t>
            </w:r>
            <w:proofErr w:type="spellStart"/>
            <w:r>
              <w:rPr>
                <w:rFonts w:ascii="Times New Roman" w:eastAsia="Times New Roman" w:hAnsi="Times New Roman" w:cs="Times New Roman"/>
                <w:b/>
                <w:sz w:val="20"/>
                <w:szCs w:val="20"/>
              </w:rPr>
              <w:t>trait</w:t>
            </w:r>
            <w:proofErr w:type="spellEnd"/>
            <w:proofErr w:type="gramEnd"/>
          </w:p>
        </w:tc>
        <w:tc>
          <w:tcPr>
            <w:tcW w:w="2040" w:type="dxa"/>
            <w:tcBorders>
              <w:bottom w:val="single" w:sz="4" w:space="0" w:color="000000"/>
            </w:tcBorders>
            <w:shd w:val="clear" w:color="auto" w:fill="BFBFBF"/>
          </w:tcPr>
          <w:p w14:paraId="3FCC414E" w14:textId="77777777" w:rsidR="000A560C" w:rsidRDefault="000A560C" w:rsidP="0022705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p-value</w:t>
            </w:r>
          </w:p>
        </w:tc>
        <w:tc>
          <w:tcPr>
            <w:tcW w:w="2235" w:type="dxa"/>
            <w:tcBorders>
              <w:top w:val="single" w:sz="4" w:space="0" w:color="000000"/>
              <w:bottom w:val="single" w:sz="4" w:space="0" w:color="000000"/>
              <w:right w:val="single" w:sz="4" w:space="0" w:color="auto"/>
            </w:tcBorders>
            <w:shd w:val="clear" w:color="auto" w:fill="BFBFBF"/>
          </w:tcPr>
          <w:p w14:paraId="19F232A4" w14:textId="77777777" w:rsidR="000A560C" w:rsidRDefault="000A560C" w:rsidP="0022705D">
            <w:pPr>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statistic</w:t>
            </w:r>
            <w:proofErr w:type="spellEnd"/>
          </w:p>
        </w:tc>
      </w:tr>
      <w:tr w:rsidR="000A560C" w14:paraId="6692F600" w14:textId="77777777" w:rsidTr="000A560C">
        <w:trPr>
          <w:gridAfter w:val="1"/>
          <w:wAfter w:w="1725" w:type="dxa"/>
          <w:trHeight w:val="500"/>
        </w:trPr>
        <w:tc>
          <w:tcPr>
            <w:tcW w:w="2100" w:type="dxa"/>
            <w:gridSpan w:val="2"/>
            <w:tcBorders>
              <w:top w:val="single" w:sz="4" w:space="0" w:color="000000"/>
              <w:left w:val="single" w:sz="4" w:space="0" w:color="auto"/>
            </w:tcBorders>
          </w:tcPr>
          <w:p w14:paraId="7F89D179"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Sex</w:t>
            </w:r>
          </w:p>
        </w:tc>
        <w:tc>
          <w:tcPr>
            <w:tcW w:w="2040" w:type="dxa"/>
            <w:tcBorders>
              <w:top w:val="single" w:sz="4" w:space="0" w:color="000000"/>
            </w:tcBorders>
          </w:tcPr>
          <w:p w14:paraId="653616A6"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0.0033</w:t>
            </w:r>
          </w:p>
        </w:tc>
        <w:tc>
          <w:tcPr>
            <w:tcW w:w="2235" w:type="dxa"/>
            <w:tcBorders>
              <w:top w:val="single" w:sz="4" w:space="0" w:color="000000"/>
              <w:right w:val="single" w:sz="4" w:space="0" w:color="auto"/>
            </w:tcBorders>
          </w:tcPr>
          <w:p w14:paraId="670FDCB5"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8.629</w:t>
            </w:r>
          </w:p>
        </w:tc>
      </w:tr>
      <w:tr w:rsidR="000A560C" w14:paraId="633A25AD" w14:textId="77777777" w:rsidTr="000A560C">
        <w:trPr>
          <w:gridAfter w:val="1"/>
          <w:wAfter w:w="1725" w:type="dxa"/>
          <w:trHeight w:val="500"/>
        </w:trPr>
        <w:tc>
          <w:tcPr>
            <w:tcW w:w="2100" w:type="dxa"/>
            <w:gridSpan w:val="2"/>
            <w:tcBorders>
              <w:left w:val="single" w:sz="4" w:space="0" w:color="auto"/>
              <w:bottom w:val="single" w:sz="4" w:space="0" w:color="auto"/>
            </w:tcBorders>
          </w:tcPr>
          <w:p w14:paraId="2EF44D92"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Smoking </w:t>
            </w:r>
            <w:proofErr w:type="spellStart"/>
            <w:r>
              <w:rPr>
                <w:rFonts w:ascii="Times New Roman" w:eastAsia="Times New Roman" w:hAnsi="Times New Roman" w:cs="Times New Roman"/>
                <w:sz w:val="20"/>
                <w:szCs w:val="20"/>
              </w:rPr>
              <w:t>Exposure</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at  </w:t>
            </w:r>
            <w:proofErr w:type="spellStart"/>
            <w:r>
              <w:rPr>
                <w:rFonts w:ascii="Times New Roman" w:eastAsia="Times New Roman" w:hAnsi="Times New Roman" w:cs="Times New Roman"/>
                <w:sz w:val="20"/>
                <w:szCs w:val="20"/>
              </w:rPr>
              <w:t>Childhood</w:t>
            </w:r>
            <w:proofErr w:type="spellEnd"/>
            <w:proofErr w:type="gramEnd"/>
          </w:p>
        </w:tc>
        <w:tc>
          <w:tcPr>
            <w:tcW w:w="2040" w:type="dxa"/>
            <w:tcBorders>
              <w:bottom w:val="single" w:sz="4" w:space="0" w:color="auto"/>
            </w:tcBorders>
          </w:tcPr>
          <w:p w14:paraId="6D509F45"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0.835</w:t>
            </w:r>
          </w:p>
        </w:tc>
        <w:tc>
          <w:tcPr>
            <w:tcW w:w="2235" w:type="dxa"/>
            <w:tcBorders>
              <w:bottom w:val="single" w:sz="4" w:space="0" w:color="auto"/>
              <w:right w:val="single" w:sz="4" w:space="0" w:color="auto"/>
            </w:tcBorders>
          </w:tcPr>
          <w:p w14:paraId="48FB13F9" w14:textId="77777777" w:rsidR="000A560C" w:rsidRDefault="000A560C" w:rsidP="0022705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0.0431</w:t>
            </w:r>
          </w:p>
        </w:tc>
      </w:tr>
    </w:tbl>
    <w:p w14:paraId="56AC6DFC" w14:textId="66EE92E4" w:rsidR="000A560C" w:rsidRDefault="000A560C" w:rsidP="000A560C">
      <w:pPr>
        <w:autoSpaceDE w:val="0"/>
        <w:autoSpaceDN w:val="0"/>
        <w:adjustRightInd w:val="0"/>
        <w:ind w:right="-426"/>
        <w:rPr>
          <w:rFonts w:ascii="Times New Roman" w:hAnsi="Times New Roman" w:cs="Times New Roman"/>
          <w:kern w:val="0"/>
          <w:sz w:val="20"/>
          <w:szCs w:val="20"/>
        </w:rPr>
      </w:pPr>
      <w:bookmarkStart w:id="0" w:name="_heading=h.om9cs0pvv9f8" w:colFirst="0" w:colLast="0"/>
      <w:bookmarkEnd w:id="0"/>
      <w:r>
        <w:rPr>
          <w:rFonts w:ascii="Times New Roman" w:eastAsia="Times New Roman" w:hAnsi="Times New Roman" w:cs="Times New Roman"/>
          <w:b/>
          <w:sz w:val="20"/>
          <w:szCs w:val="20"/>
        </w:rPr>
        <w:br/>
      </w:r>
      <w:r w:rsidRPr="000A560C">
        <w:rPr>
          <w:rFonts w:ascii="Times New Roman" w:hAnsi="Times New Roman" w:cs="Times New Roman"/>
          <w:b/>
          <w:bCs/>
          <w:kern w:val="0"/>
          <w:sz w:val="20"/>
          <w:szCs w:val="20"/>
          <w:lang w:val="en-US"/>
        </w:rPr>
        <w:t>Supplementary Table 2.</w:t>
      </w:r>
      <w:r w:rsidRPr="000A560C">
        <w:rPr>
          <w:rFonts w:ascii="Times New Roman" w:hAnsi="Times New Roman" w:cs="Times New Roman"/>
          <w:kern w:val="0"/>
          <w:sz w:val="20"/>
          <w:szCs w:val="20"/>
          <w:lang w:val="en-US"/>
        </w:rPr>
        <w:t xml:space="preserve"> Tukey’s and chi-square statistical tests for the continuous and binomial variables in discovery and validation dataset. </w:t>
      </w:r>
      <w:r>
        <w:rPr>
          <w:rFonts w:ascii="Times New Roman" w:hAnsi="Times New Roman" w:cs="Times New Roman"/>
          <w:kern w:val="0"/>
          <w:sz w:val="20"/>
          <w:szCs w:val="20"/>
        </w:rPr>
        <w:t xml:space="preserve">P&lt;0.05 for </w:t>
      </w:r>
      <w:proofErr w:type="spellStart"/>
      <w:r>
        <w:rPr>
          <w:rFonts w:ascii="Times New Roman" w:hAnsi="Times New Roman" w:cs="Times New Roman"/>
          <w:kern w:val="0"/>
          <w:sz w:val="20"/>
          <w:szCs w:val="20"/>
        </w:rPr>
        <w:t>statistically</w:t>
      </w:r>
      <w:proofErr w:type="spellEnd"/>
      <w:r>
        <w:rPr>
          <w:rFonts w:ascii="Times New Roman" w:hAnsi="Times New Roman" w:cs="Times New Roman"/>
          <w:kern w:val="0"/>
          <w:sz w:val="20"/>
          <w:szCs w:val="20"/>
        </w:rPr>
        <w:t xml:space="preserve"> </w:t>
      </w:r>
      <w:proofErr w:type="spellStart"/>
      <w:r>
        <w:rPr>
          <w:rFonts w:ascii="Times New Roman" w:hAnsi="Times New Roman" w:cs="Times New Roman"/>
          <w:kern w:val="0"/>
          <w:sz w:val="20"/>
          <w:szCs w:val="20"/>
        </w:rPr>
        <w:t>significant</w:t>
      </w:r>
      <w:proofErr w:type="spellEnd"/>
      <w:r>
        <w:rPr>
          <w:rFonts w:ascii="Times New Roman" w:hAnsi="Times New Roman" w:cs="Times New Roman"/>
          <w:kern w:val="0"/>
          <w:sz w:val="20"/>
          <w:szCs w:val="20"/>
        </w:rPr>
        <w:t xml:space="preserve"> </w:t>
      </w:r>
      <w:proofErr w:type="spellStart"/>
      <w:r>
        <w:rPr>
          <w:rFonts w:ascii="Times New Roman" w:hAnsi="Times New Roman" w:cs="Times New Roman"/>
          <w:kern w:val="0"/>
          <w:sz w:val="20"/>
          <w:szCs w:val="20"/>
        </w:rPr>
        <w:t>differences</w:t>
      </w:r>
      <w:proofErr w:type="spellEnd"/>
      <w:r>
        <w:rPr>
          <w:rFonts w:ascii="Times New Roman" w:hAnsi="Times New Roman" w:cs="Times New Roman"/>
          <w:kern w:val="0"/>
          <w:sz w:val="20"/>
          <w:szCs w:val="20"/>
        </w:rPr>
        <w:t xml:space="preserve"> </w:t>
      </w:r>
      <w:proofErr w:type="spellStart"/>
      <w:r>
        <w:rPr>
          <w:rFonts w:ascii="Times New Roman" w:hAnsi="Times New Roman" w:cs="Times New Roman"/>
          <w:kern w:val="0"/>
          <w:sz w:val="20"/>
          <w:szCs w:val="20"/>
        </w:rPr>
        <w:t>among</w:t>
      </w:r>
      <w:proofErr w:type="spellEnd"/>
      <w:r>
        <w:rPr>
          <w:rFonts w:ascii="Times New Roman" w:hAnsi="Times New Roman" w:cs="Times New Roman"/>
          <w:kern w:val="0"/>
          <w:sz w:val="20"/>
          <w:szCs w:val="20"/>
        </w:rPr>
        <w:t xml:space="preserve"> variables.</w:t>
      </w:r>
    </w:p>
    <w:p w14:paraId="30042E85" w14:textId="77777777" w:rsidR="000A560C" w:rsidRDefault="000A560C" w:rsidP="000A560C">
      <w:pPr>
        <w:autoSpaceDE w:val="0"/>
        <w:autoSpaceDN w:val="0"/>
        <w:adjustRightInd w:val="0"/>
        <w:ind w:right="-426"/>
        <w:rPr>
          <w:rFonts w:ascii="Times New Roman" w:hAnsi="Times New Roman" w:cs="Times New Roman"/>
          <w:color w:val="1155CC"/>
          <w:kern w:val="0"/>
          <w:sz w:val="20"/>
          <w:szCs w:val="20"/>
          <w:u w:val="single" w:color="1155CC"/>
        </w:rPr>
      </w:pPr>
    </w:p>
    <w:p w14:paraId="2E0BBE3F" w14:textId="53C4FD03" w:rsidR="000A560C" w:rsidRPr="000A560C" w:rsidRDefault="000A560C" w:rsidP="000A560C">
      <w:pPr>
        <w:autoSpaceDE w:val="0"/>
        <w:autoSpaceDN w:val="0"/>
        <w:adjustRightInd w:val="0"/>
        <w:ind w:right="-426"/>
        <w:rPr>
          <w:rFonts w:ascii="Times New Roman" w:hAnsi="Times New Roman" w:cs="Times New Roman"/>
          <w:color w:val="1155CC"/>
          <w:kern w:val="0"/>
          <w:sz w:val="20"/>
          <w:szCs w:val="20"/>
          <w:u w:val="single" w:color="1155CC"/>
        </w:rPr>
      </w:pPr>
      <w:r>
        <w:rPr>
          <w:noProof/>
          <w:sz w:val="22"/>
          <w:szCs w:val="22"/>
        </w:rPr>
        <w:lastRenderedPageBreak/>
        <w:drawing>
          <wp:inline distT="114300" distB="114300" distL="114300" distR="114300" wp14:anchorId="382FFE42" wp14:editId="5E2886B7">
            <wp:extent cx="5760410" cy="1066800"/>
            <wp:effectExtent l="0" t="0" r="0" b="0"/>
            <wp:docPr id="21" name="image2.png" descr="Et bilde som inneholder tekst, skjermbilde, Font, nummer&#10;&#10;Automatisk generert beskrivelse"/>
            <wp:cNvGraphicFramePr/>
            <a:graphic xmlns:a="http://schemas.openxmlformats.org/drawingml/2006/main">
              <a:graphicData uri="http://schemas.openxmlformats.org/drawingml/2006/picture">
                <pic:pic xmlns:pic="http://schemas.openxmlformats.org/drawingml/2006/picture">
                  <pic:nvPicPr>
                    <pic:cNvPr id="21" name="image2.png" descr="Et bilde som inneholder tekst, skjermbilde, Font, nummer&#10;&#10;Automatisk generert beskrivelse"/>
                    <pic:cNvPicPr preferRelativeResize="0"/>
                  </pic:nvPicPr>
                  <pic:blipFill>
                    <a:blip r:embed="rId6"/>
                    <a:srcRect r="1766" b="7725"/>
                    <a:stretch>
                      <a:fillRect/>
                    </a:stretch>
                  </pic:blipFill>
                  <pic:spPr>
                    <a:xfrm>
                      <a:off x="0" y="0"/>
                      <a:ext cx="5760410" cy="1066800"/>
                    </a:xfrm>
                    <a:prstGeom prst="rect">
                      <a:avLst/>
                    </a:prstGeom>
                    <a:ln/>
                  </pic:spPr>
                </pic:pic>
              </a:graphicData>
            </a:graphic>
          </wp:inline>
        </w:drawing>
      </w:r>
    </w:p>
    <w:p w14:paraId="138E34DB" w14:textId="77777777" w:rsidR="000A560C" w:rsidRPr="000A560C" w:rsidRDefault="000A560C" w:rsidP="000A560C">
      <w:pPr>
        <w:autoSpaceDE w:val="0"/>
        <w:autoSpaceDN w:val="0"/>
        <w:adjustRightInd w:val="0"/>
        <w:ind w:right="-426"/>
        <w:rPr>
          <w:rFonts w:ascii="Times New Roman" w:hAnsi="Times New Roman" w:cs="Times New Roman"/>
          <w:color w:val="000000" w:themeColor="text1"/>
          <w:kern w:val="0"/>
          <w:sz w:val="20"/>
          <w:szCs w:val="20"/>
          <w:u w:color="1155CC"/>
        </w:rPr>
      </w:pPr>
      <w:r w:rsidRPr="000A560C">
        <w:rPr>
          <w:rFonts w:ascii="Times New Roman" w:hAnsi="Times New Roman" w:cs="Times New Roman"/>
          <w:b/>
          <w:bCs/>
          <w:color w:val="000000" w:themeColor="text1"/>
          <w:kern w:val="0"/>
          <w:sz w:val="20"/>
          <w:szCs w:val="20"/>
          <w:u w:color="1155CC"/>
          <w:lang w:val="en-US"/>
        </w:rPr>
        <w:t xml:space="preserve">Supplementary Table 3. </w:t>
      </w:r>
      <w:r w:rsidRPr="000A560C">
        <w:rPr>
          <w:rFonts w:ascii="Times New Roman" w:hAnsi="Times New Roman" w:cs="Times New Roman"/>
          <w:color w:val="000000" w:themeColor="text1"/>
          <w:kern w:val="0"/>
          <w:sz w:val="20"/>
          <w:szCs w:val="20"/>
          <w:u w:color="1155CC"/>
          <w:lang w:val="en-US"/>
        </w:rPr>
        <w:t xml:space="preserve">Number of non-metastatic (“Non-met”; Stage I-IIB) and metastatic (“Met.”; Stage III-IV) cases across the different types of lung cancer under examination. </w:t>
      </w:r>
      <w:proofErr w:type="spellStart"/>
      <w:r w:rsidRPr="000A560C">
        <w:rPr>
          <w:rFonts w:ascii="Times New Roman" w:hAnsi="Times New Roman" w:cs="Times New Roman"/>
          <w:color w:val="000000" w:themeColor="text1"/>
          <w:kern w:val="0"/>
          <w:sz w:val="20"/>
          <w:szCs w:val="20"/>
          <w:u w:color="1155CC"/>
        </w:rPr>
        <w:t>Some</w:t>
      </w:r>
      <w:proofErr w:type="spellEnd"/>
      <w:r w:rsidRPr="000A560C">
        <w:rPr>
          <w:rFonts w:ascii="Times New Roman" w:hAnsi="Times New Roman" w:cs="Times New Roman"/>
          <w:color w:val="000000" w:themeColor="text1"/>
          <w:kern w:val="0"/>
          <w:sz w:val="20"/>
          <w:szCs w:val="20"/>
          <w:u w:color="1155CC"/>
        </w:rPr>
        <w:t xml:space="preserve"> </w:t>
      </w:r>
      <w:proofErr w:type="gramStart"/>
      <w:r w:rsidRPr="000A560C">
        <w:rPr>
          <w:rFonts w:ascii="Times New Roman" w:hAnsi="Times New Roman" w:cs="Times New Roman"/>
          <w:color w:val="000000" w:themeColor="text1"/>
          <w:kern w:val="0"/>
          <w:sz w:val="20"/>
          <w:szCs w:val="20"/>
          <w:u w:color="1155CC"/>
        </w:rPr>
        <w:t>cases</w:t>
      </w:r>
      <w:proofErr w:type="gramEnd"/>
      <w:r w:rsidRPr="000A560C">
        <w:rPr>
          <w:rFonts w:ascii="Times New Roman" w:hAnsi="Times New Roman" w:cs="Times New Roman"/>
          <w:color w:val="000000" w:themeColor="text1"/>
          <w:kern w:val="0"/>
          <w:sz w:val="20"/>
          <w:szCs w:val="20"/>
          <w:u w:color="1155CC"/>
        </w:rPr>
        <w:t xml:space="preserve"> </w:t>
      </w:r>
      <w:proofErr w:type="spellStart"/>
      <w:r w:rsidRPr="000A560C">
        <w:rPr>
          <w:rFonts w:ascii="Times New Roman" w:hAnsi="Times New Roman" w:cs="Times New Roman"/>
          <w:color w:val="000000" w:themeColor="text1"/>
          <w:kern w:val="0"/>
          <w:sz w:val="20"/>
          <w:szCs w:val="20"/>
          <w:u w:color="1155CC"/>
        </w:rPr>
        <w:t>were</w:t>
      </w:r>
      <w:proofErr w:type="spellEnd"/>
      <w:r w:rsidRPr="000A560C">
        <w:rPr>
          <w:rFonts w:ascii="Times New Roman" w:hAnsi="Times New Roman" w:cs="Times New Roman"/>
          <w:color w:val="000000" w:themeColor="text1"/>
          <w:kern w:val="0"/>
          <w:sz w:val="20"/>
          <w:szCs w:val="20"/>
          <w:u w:color="1155CC"/>
        </w:rPr>
        <w:t xml:space="preserve"> </w:t>
      </w:r>
      <w:proofErr w:type="spellStart"/>
      <w:r w:rsidRPr="000A560C">
        <w:rPr>
          <w:rFonts w:ascii="Times New Roman" w:hAnsi="Times New Roman" w:cs="Times New Roman"/>
          <w:color w:val="000000" w:themeColor="text1"/>
          <w:kern w:val="0"/>
          <w:sz w:val="20"/>
          <w:szCs w:val="20"/>
          <w:u w:color="1155CC"/>
        </w:rPr>
        <w:t>unclassifiable</w:t>
      </w:r>
      <w:proofErr w:type="spellEnd"/>
      <w:r w:rsidRPr="000A560C">
        <w:rPr>
          <w:rFonts w:ascii="Times New Roman" w:hAnsi="Times New Roman" w:cs="Times New Roman"/>
          <w:color w:val="000000" w:themeColor="text1"/>
          <w:kern w:val="0"/>
          <w:sz w:val="20"/>
          <w:szCs w:val="20"/>
          <w:u w:color="1155CC"/>
        </w:rPr>
        <w:t xml:space="preserve"> </w:t>
      </w:r>
      <w:proofErr w:type="spellStart"/>
      <w:r w:rsidRPr="000A560C">
        <w:rPr>
          <w:rFonts w:ascii="Times New Roman" w:hAnsi="Times New Roman" w:cs="Times New Roman"/>
          <w:color w:val="000000" w:themeColor="text1"/>
          <w:kern w:val="0"/>
          <w:sz w:val="20"/>
          <w:szCs w:val="20"/>
          <w:u w:color="1155CC"/>
        </w:rPr>
        <w:t>according</w:t>
      </w:r>
      <w:proofErr w:type="spellEnd"/>
      <w:r w:rsidRPr="000A560C">
        <w:rPr>
          <w:rFonts w:ascii="Times New Roman" w:hAnsi="Times New Roman" w:cs="Times New Roman"/>
          <w:color w:val="000000" w:themeColor="text1"/>
          <w:kern w:val="0"/>
          <w:sz w:val="20"/>
          <w:szCs w:val="20"/>
          <w:u w:color="1155CC"/>
        </w:rPr>
        <w:t xml:space="preserve"> to stage. </w:t>
      </w:r>
    </w:p>
    <w:p w14:paraId="518E715A" w14:textId="77777777" w:rsidR="000A560C" w:rsidRPr="000A560C" w:rsidRDefault="000A560C" w:rsidP="000A560C">
      <w:pPr>
        <w:autoSpaceDE w:val="0"/>
        <w:autoSpaceDN w:val="0"/>
        <w:adjustRightInd w:val="0"/>
        <w:ind w:right="-426"/>
        <w:rPr>
          <w:rFonts w:ascii="Times New Roman" w:hAnsi="Times New Roman" w:cs="Times New Roman"/>
          <w:color w:val="000000" w:themeColor="text1"/>
          <w:kern w:val="0"/>
          <w:sz w:val="20"/>
          <w:szCs w:val="20"/>
          <w:u w:val="single" w:color="1155CC"/>
        </w:rPr>
      </w:pPr>
      <w:r w:rsidRPr="000A560C">
        <w:rPr>
          <w:rFonts w:ascii="Times New Roman" w:hAnsi="Times New Roman" w:cs="Times New Roman"/>
          <w:color w:val="000000" w:themeColor="text1"/>
          <w:kern w:val="0"/>
          <w:sz w:val="20"/>
          <w:szCs w:val="20"/>
          <w:u w:color="1155CC"/>
        </w:rPr>
        <w:t>UC =</w:t>
      </w:r>
      <w:proofErr w:type="spellStart"/>
      <w:r w:rsidRPr="000A560C">
        <w:rPr>
          <w:rFonts w:ascii="Times New Roman" w:hAnsi="Times New Roman" w:cs="Times New Roman"/>
          <w:color w:val="000000" w:themeColor="text1"/>
          <w:kern w:val="0"/>
          <w:sz w:val="20"/>
          <w:szCs w:val="20"/>
          <w:u w:color="1155CC"/>
        </w:rPr>
        <w:t>Unclassifiable</w:t>
      </w:r>
      <w:proofErr w:type="spellEnd"/>
      <w:r w:rsidRPr="000A560C">
        <w:rPr>
          <w:rFonts w:ascii="Times New Roman" w:hAnsi="Times New Roman" w:cs="Times New Roman"/>
          <w:color w:val="000000" w:themeColor="text1"/>
          <w:kern w:val="0"/>
          <w:sz w:val="20"/>
          <w:szCs w:val="20"/>
          <w:u w:color="1155CC"/>
        </w:rPr>
        <w:t xml:space="preserve"> </w:t>
      </w:r>
      <w:proofErr w:type="gramStart"/>
      <w:r w:rsidRPr="000A560C">
        <w:rPr>
          <w:rFonts w:ascii="Times New Roman" w:hAnsi="Times New Roman" w:cs="Times New Roman"/>
          <w:color w:val="000000" w:themeColor="text1"/>
          <w:kern w:val="0"/>
          <w:sz w:val="20"/>
          <w:szCs w:val="20"/>
          <w:u w:color="1155CC"/>
        </w:rPr>
        <w:t>cases</w:t>
      </w:r>
      <w:proofErr w:type="gramEnd"/>
      <w:r w:rsidRPr="000A560C">
        <w:rPr>
          <w:rFonts w:ascii="Times New Roman" w:hAnsi="Times New Roman" w:cs="Times New Roman"/>
          <w:color w:val="000000" w:themeColor="text1"/>
          <w:kern w:val="0"/>
          <w:sz w:val="20"/>
          <w:szCs w:val="20"/>
          <w:u w:color="1155CC"/>
        </w:rPr>
        <w:t>.</w:t>
      </w:r>
    </w:p>
    <w:p w14:paraId="609F6196" w14:textId="77777777" w:rsidR="000A560C" w:rsidRDefault="000A560C" w:rsidP="000A560C">
      <w:pPr>
        <w:autoSpaceDE w:val="0"/>
        <w:autoSpaceDN w:val="0"/>
        <w:adjustRightInd w:val="0"/>
        <w:ind w:left="360" w:right="-426"/>
        <w:rPr>
          <w:rFonts w:ascii="Times New Roman" w:hAnsi="Times New Roman" w:cs="Times New Roman"/>
          <w:color w:val="1155CC"/>
          <w:kern w:val="0"/>
          <w:sz w:val="20"/>
          <w:szCs w:val="20"/>
          <w:u w:val="single" w:color="1155CC"/>
        </w:rPr>
      </w:pPr>
    </w:p>
    <w:p w14:paraId="5D6F93CD" w14:textId="77777777" w:rsidR="000A560C" w:rsidRDefault="000A560C" w:rsidP="000A560C">
      <w:pPr>
        <w:autoSpaceDE w:val="0"/>
        <w:autoSpaceDN w:val="0"/>
        <w:adjustRightInd w:val="0"/>
        <w:ind w:right="-426"/>
        <w:rPr>
          <w:rFonts w:ascii="Times New Roman" w:hAnsi="Times New Roman" w:cs="Times New Roman"/>
          <w:color w:val="1155CC"/>
          <w:kern w:val="0"/>
          <w:sz w:val="20"/>
          <w:szCs w:val="20"/>
          <w:u w:val="single" w:color="1155CC"/>
        </w:rPr>
      </w:pPr>
    </w:p>
    <w:p w14:paraId="1C861749" w14:textId="79EE1CE1" w:rsidR="000A560C" w:rsidRDefault="009063CF" w:rsidP="000A560C">
      <w:pPr>
        <w:autoSpaceDE w:val="0"/>
        <w:autoSpaceDN w:val="0"/>
        <w:adjustRightInd w:val="0"/>
        <w:ind w:right="-426"/>
        <w:rPr>
          <w:rFonts w:ascii="Times New Roman" w:hAnsi="Times New Roman" w:cs="Times New Roman"/>
          <w:color w:val="1155CC"/>
          <w:kern w:val="0"/>
          <w:sz w:val="20"/>
          <w:szCs w:val="20"/>
          <w:u w:val="single" w:color="1155CC"/>
        </w:rPr>
      </w:pPr>
      <w:r w:rsidRPr="009063CF">
        <w:rPr>
          <w:rFonts w:ascii="Times New Roman" w:eastAsia="Times New Roman" w:hAnsi="Times New Roman" w:cs="Times New Roman"/>
          <w:noProof/>
          <w:color w:val="1155CC"/>
          <w:sz w:val="20"/>
          <w:szCs w:val="20"/>
        </w:rPr>
        <w:drawing>
          <wp:inline distT="114300" distB="114300" distL="114300" distR="114300" wp14:anchorId="3ED6DB8D" wp14:editId="78A313F6">
            <wp:extent cx="5055577" cy="5485443"/>
            <wp:effectExtent l="0" t="0" r="0" b="1270"/>
            <wp:docPr id="1172878828" name="image1.png" descr="Et bilde som inneholder tekst, skjermbilde, diagram, logo&#10;&#10;Automatisk generert beskrivelse"/>
            <wp:cNvGraphicFramePr/>
            <a:graphic xmlns:a="http://schemas.openxmlformats.org/drawingml/2006/main">
              <a:graphicData uri="http://schemas.openxmlformats.org/drawingml/2006/picture">
                <pic:pic xmlns:pic="http://schemas.openxmlformats.org/drawingml/2006/picture">
                  <pic:nvPicPr>
                    <pic:cNvPr id="1172878828" name="image1.png" descr="Et bilde som inneholder tekst, skjermbilde, diagram, logo&#10;&#10;Automatisk generert beskrivelse"/>
                    <pic:cNvPicPr preferRelativeResize="0"/>
                  </pic:nvPicPr>
                  <pic:blipFill>
                    <a:blip r:embed="rId7"/>
                    <a:srcRect/>
                    <a:stretch>
                      <a:fillRect/>
                    </a:stretch>
                  </pic:blipFill>
                  <pic:spPr>
                    <a:xfrm>
                      <a:off x="0" y="0"/>
                      <a:ext cx="5089099" cy="5521816"/>
                    </a:xfrm>
                    <a:prstGeom prst="rect">
                      <a:avLst/>
                    </a:prstGeom>
                    <a:ln>
                      <a:noFill/>
                    </a:ln>
                  </pic:spPr>
                </pic:pic>
              </a:graphicData>
            </a:graphic>
          </wp:inline>
        </w:drawing>
      </w:r>
    </w:p>
    <w:p w14:paraId="5F381001" w14:textId="77777777" w:rsidR="000A560C" w:rsidRDefault="000A560C" w:rsidP="000A560C">
      <w:pPr>
        <w:autoSpaceDE w:val="0"/>
        <w:autoSpaceDN w:val="0"/>
        <w:adjustRightInd w:val="0"/>
        <w:ind w:right="-426"/>
        <w:rPr>
          <w:rFonts w:ascii="Times New Roman" w:hAnsi="Times New Roman" w:cs="Times New Roman"/>
          <w:kern w:val="0"/>
          <w:sz w:val="20"/>
          <w:szCs w:val="20"/>
          <w:u w:color="1155CC"/>
        </w:rPr>
      </w:pPr>
    </w:p>
    <w:p w14:paraId="04CAD0F5" w14:textId="77777777" w:rsidR="000A560C" w:rsidRDefault="000A560C" w:rsidP="000A560C">
      <w:pPr>
        <w:autoSpaceDE w:val="0"/>
        <w:autoSpaceDN w:val="0"/>
        <w:adjustRightInd w:val="0"/>
        <w:spacing w:after="200"/>
        <w:ind w:right="-426"/>
        <w:rPr>
          <w:rFonts w:ascii="Times New Roman" w:hAnsi="Times New Roman" w:cs="Times New Roman"/>
          <w:kern w:val="0"/>
          <w:sz w:val="20"/>
          <w:szCs w:val="20"/>
          <w:u w:color="1155CC"/>
          <w:lang w:val="en-US"/>
        </w:rPr>
      </w:pPr>
      <w:r w:rsidRPr="000A560C">
        <w:rPr>
          <w:rFonts w:ascii="Times New Roman" w:hAnsi="Times New Roman" w:cs="Times New Roman"/>
          <w:b/>
          <w:bCs/>
          <w:kern w:val="0"/>
          <w:sz w:val="20"/>
          <w:szCs w:val="20"/>
          <w:u w:color="1155CC"/>
          <w:lang w:val="en-US"/>
        </w:rPr>
        <w:t>Supplementary Fig. 1</w:t>
      </w:r>
      <w:r w:rsidRPr="000A560C">
        <w:rPr>
          <w:rFonts w:ascii="Times New Roman" w:hAnsi="Times New Roman" w:cs="Times New Roman"/>
          <w:i/>
          <w:iCs/>
          <w:kern w:val="0"/>
          <w:sz w:val="20"/>
          <w:szCs w:val="20"/>
          <w:u w:color="1155CC"/>
          <w:lang w:val="en-US"/>
        </w:rPr>
        <w:t xml:space="preserve"> </w:t>
      </w:r>
      <w:r w:rsidRPr="000A560C">
        <w:rPr>
          <w:rFonts w:ascii="Times New Roman" w:hAnsi="Times New Roman" w:cs="Times New Roman"/>
          <w:kern w:val="0"/>
          <w:sz w:val="20"/>
          <w:szCs w:val="20"/>
          <w:u w:color="1155CC"/>
          <w:lang w:val="en-US"/>
        </w:rPr>
        <w:t>Descriptive statistics, per clinical factor, obtained from the discovery cohort. The smoking status refers to current (Yes) and former (No) smokers.</w:t>
      </w:r>
    </w:p>
    <w:p w14:paraId="445D3665" w14:textId="77777777" w:rsidR="000A560C" w:rsidRPr="000A560C" w:rsidRDefault="000A560C" w:rsidP="000A560C">
      <w:pPr>
        <w:autoSpaceDE w:val="0"/>
        <w:autoSpaceDN w:val="0"/>
        <w:adjustRightInd w:val="0"/>
        <w:spacing w:after="200"/>
        <w:ind w:right="-426"/>
        <w:rPr>
          <w:rFonts w:ascii="Times New Roman" w:hAnsi="Times New Roman" w:cs="Times New Roman"/>
          <w:kern w:val="0"/>
          <w:sz w:val="20"/>
          <w:szCs w:val="20"/>
          <w:u w:color="1155CC"/>
          <w:lang w:val="en-US"/>
        </w:rPr>
      </w:pPr>
    </w:p>
    <w:p w14:paraId="73BEEB44"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r>
        <w:rPr>
          <w:rFonts w:ascii="Times New Roman" w:hAnsi="Times New Roman" w:cs="Times New Roman"/>
          <w:b/>
          <w:bCs/>
          <w:kern w:val="0"/>
          <w:sz w:val="20"/>
          <w:szCs w:val="20"/>
          <w:u w:color="1155CC"/>
        </w:rPr>
        <w:lastRenderedPageBreak/>
        <w:t xml:space="preserve">Time to </w:t>
      </w:r>
      <w:proofErr w:type="spellStart"/>
      <w:r>
        <w:rPr>
          <w:rFonts w:ascii="Times New Roman" w:hAnsi="Times New Roman" w:cs="Times New Roman"/>
          <w:b/>
          <w:bCs/>
          <w:kern w:val="0"/>
          <w:sz w:val="20"/>
          <w:szCs w:val="20"/>
          <w:u w:color="1155CC"/>
        </w:rPr>
        <w:t>diagnosis</w:t>
      </w:r>
      <w:proofErr w:type="spellEnd"/>
    </w:p>
    <w:p w14:paraId="7E548C9B"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No differences in terms of survival times (0.72 p-value, log rank test) are identified amongst lung cancer subtypes (AD, SCLC, SQ) in the discover cohort. Expected time to diagnosis was 4.87, 5.69, and 4.095</w:t>
      </w:r>
      <w:r w:rsidRPr="000A560C">
        <w:rPr>
          <w:rFonts w:ascii="Times New Roman" w:hAnsi="Times New Roman" w:cs="Times New Roman"/>
          <w:color w:val="FF0000"/>
          <w:kern w:val="0"/>
          <w:sz w:val="20"/>
          <w:szCs w:val="20"/>
          <w:u w:color="1155CC"/>
          <w:lang w:val="en-US"/>
        </w:rPr>
        <w:t xml:space="preserve"> </w:t>
      </w:r>
      <w:r w:rsidRPr="000A560C">
        <w:rPr>
          <w:rFonts w:ascii="Times New Roman" w:hAnsi="Times New Roman" w:cs="Times New Roman"/>
          <w:kern w:val="0"/>
          <w:sz w:val="20"/>
          <w:szCs w:val="20"/>
          <w:u w:color="1155CC"/>
          <w:lang w:val="en-US"/>
        </w:rPr>
        <w:t xml:space="preserve">years for AD, SCLC, and SQ cases respectively (Supplementary Figure 2). Additionally, no indication of statistically significant differences was observed between the Kaplan Meier estimates in the validation cohort (0.59 p-value, log rank test) (Supplementary Figure 2), where the expected time to diagnosis was 1.01, 1.901, 1.16 years for AD, SQ, and SCLC subtypes. </w:t>
      </w:r>
    </w:p>
    <w:p w14:paraId="0CA30EB9" w14:textId="77777777" w:rsidR="000A560C" w:rsidRPr="000A560C" w:rsidRDefault="000A560C" w:rsidP="000A560C">
      <w:pPr>
        <w:autoSpaceDE w:val="0"/>
        <w:autoSpaceDN w:val="0"/>
        <w:adjustRightInd w:val="0"/>
        <w:ind w:right="-426"/>
        <w:rPr>
          <w:rFonts w:ascii="Times New Roman" w:hAnsi="Times New Roman" w:cs="Times New Roman"/>
          <w:i/>
          <w:iCs/>
          <w:kern w:val="0"/>
          <w:sz w:val="20"/>
          <w:szCs w:val="20"/>
          <w:u w:color="1155CC"/>
          <w:lang w:val="en-US"/>
        </w:rPr>
      </w:pPr>
    </w:p>
    <w:p w14:paraId="66787EC9" w14:textId="795251CC" w:rsidR="000A560C" w:rsidRDefault="000A560C" w:rsidP="000A560C">
      <w:pPr>
        <w:autoSpaceDE w:val="0"/>
        <w:autoSpaceDN w:val="0"/>
        <w:adjustRightInd w:val="0"/>
        <w:ind w:right="-426"/>
        <w:rPr>
          <w:rFonts w:ascii="Times New Roman" w:hAnsi="Times New Roman" w:cs="Times New Roman"/>
          <w:i/>
          <w:iCs/>
          <w:kern w:val="0"/>
          <w:sz w:val="20"/>
          <w:szCs w:val="20"/>
          <w:u w:color="1155CC"/>
          <w:lang w:val="en-US"/>
        </w:rPr>
      </w:pPr>
      <w:r>
        <w:rPr>
          <w:rFonts w:ascii="Times New Roman" w:eastAsia="Times New Roman" w:hAnsi="Times New Roman" w:cs="Times New Roman"/>
          <w:i/>
          <w:noProof/>
          <w:sz w:val="20"/>
          <w:szCs w:val="20"/>
        </w:rPr>
        <w:drawing>
          <wp:inline distT="114300" distB="114300" distL="114300" distR="114300" wp14:anchorId="6619060E" wp14:editId="1B2F0295">
            <wp:extent cx="4635251" cy="3470692"/>
            <wp:effectExtent l="0" t="0" r="0" b="0"/>
            <wp:docPr id="19" name="image7.png" descr="Et bilde som inneholder tekst, diagram, skjermbilde, nummer&#10;&#10;Automatisk generert beskrivelse"/>
            <wp:cNvGraphicFramePr/>
            <a:graphic xmlns:a="http://schemas.openxmlformats.org/drawingml/2006/main">
              <a:graphicData uri="http://schemas.openxmlformats.org/drawingml/2006/picture">
                <pic:pic xmlns:pic="http://schemas.openxmlformats.org/drawingml/2006/picture">
                  <pic:nvPicPr>
                    <pic:cNvPr id="19" name="image7.png" descr="Et bilde som inneholder tekst, diagram, skjermbilde, nummer&#10;&#10;Automatisk generert beskrivelse"/>
                    <pic:cNvPicPr preferRelativeResize="0"/>
                  </pic:nvPicPr>
                  <pic:blipFill>
                    <a:blip r:embed="rId8"/>
                    <a:srcRect/>
                    <a:stretch>
                      <a:fillRect/>
                    </a:stretch>
                  </pic:blipFill>
                  <pic:spPr>
                    <a:xfrm>
                      <a:off x="0" y="0"/>
                      <a:ext cx="4635251" cy="3470692"/>
                    </a:xfrm>
                    <a:prstGeom prst="rect">
                      <a:avLst/>
                    </a:prstGeom>
                    <a:ln/>
                  </pic:spPr>
                </pic:pic>
              </a:graphicData>
            </a:graphic>
          </wp:inline>
        </w:drawing>
      </w:r>
    </w:p>
    <w:p w14:paraId="38DC1458" w14:textId="77777777" w:rsidR="000A560C" w:rsidRPr="000A560C" w:rsidRDefault="000A560C" w:rsidP="000A560C">
      <w:pPr>
        <w:autoSpaceDE w:val="0"/>
        <w:autoSpaceDN w:val="0"/>
        <w:adjustRightInd w:val="0"/>
        <w:ind w:right="-426"/>
        <w:rPr>
          <w:rFonts w:ascii="Times New Roman" w:hAnsi="Times New Roman" w:cs="Times New Roman"/>
          <w:i/>
          <w:iCs/>
          <w:kern w:val="0"/>
          <w:sz w:val="20"/>
          <w:szCs w:val="20"/>
          <w:u w:color="1155CC"/>
          <w:lang w:val="en-US"/>
        </w:rPr>
      </w:pPr>
    </w:p>
    <w:p w14:paraId="37A4CBF9"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u w:color="1155CC"/>
          <w:lang w:val="en-US"/>
        </w:rPr>
      </w:pPr>
      <w:r w:rsidRPr="000A560C">
        <w:rPr>
          <w:rFonts w:ascii="Times New Roman" w:hAnsi="Times New Roman" w:cs="Times New Roman"/>
          <w:b/>
          <w:bCs/>
          <w:kern w:val="0"/>
          <w:sz w:val="20"/>
          <w:szCs w:val="20"/>
          <w:u w:color="1155CC"/>
          <w:lang w:val="en-US"/>
        </w:rPr>
        <w:t>Supplementary Fig. 2</w:t>
      </w:r>
      <w:r w:rsidRPr="000A560C">
        <w:rPr>
          <w:rFonts w:ascii="Times New Roman" w:hAnsi="Times New Roman" w:cs="Times New Roman"/>
          <w:kern w:val="0"/>
          <w:sz w:val="20"/>
          <w:szCs w:val="20"/>
          <w:u w:color="1155CC"/>
          <w:lang w:val="en-US"/>
        </w:rPr>
        <w:t xml:space="preserve"> Time to event (lung cancer diagnosis) in both discovery and validation cohort according to adenocarcinoma (AD), squamous cell carcinoma (SQ), and small cell lung cancer (SCLC) subtypes.</w:t>
      </w:r>
    </w:p>
    <w:p w14:paraId="4831D8F6"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X-axis: years from serum sampling (time zero).</w:t>
      </w:r>
    </w:p>
    <w:p w14:paraId="3B5D367A"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Y-axis: Proportion of undiagnosed (1 - proportion of diagnosed).</w:t>
      </w:r>
    </w:p>
    <w:p w14:paraId="01FFA963" w14:textId="77777777" w:rsidR="000A560C" w:rsidRPr="000A560C" w:rsidRDefault="000A560C" w:rsidP="000A560C">
      <w:pPr>
        <w:autoSpaceDE w:val="0"/>
        <w:autoSpaceDN w:val="0"/>
        <w:adjustRightInd w:val="0"/>
        <w:ind w:right="-426"/>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A. Discovery cohort. B. Validation cohort.</w:t>
      </w:r>
    </w:p>
    <w:p w14:paraId="39868522"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539FEFB5"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7873290C"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4E052F4E"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413576E1"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17892B03"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394982F7"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212C48CC" w14:textId="526E09C9"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603BA928"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6F74ED9C"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06A5D58A"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7C422ACA"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2353AB28"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524D3C32"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5D2C3AA6"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26AC3094"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75F3CDB4"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72F15F28" w14:textId="77777777" w:rsid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15E4897E" w14:textId="77777777" w:rsidR="000A560C" w:rsidRPr="000A560C" w:rsidRDefault="000A560C" w:rsidP="000A560C">
      <w:pPr>
        <w:autoSpaceDE w:val="0"/>
        <w:autoSpaceDN w:val="0"/>
        <w:adjustRightInd w:val="0"/>
        <w:ind w:right="-426"/>
        <w:rPr>
          <w:rFonts w:ascii="Times New Roman" w:hAnsi="Times New Roman" w:cs="Times New Roman"/>
          <w:b/>
          <w:bCs/>
          <w:kern w:val="0"/>
          <w:sz w:val="20"/>
          <w:szCs w:val="20"/>
          <w:u w:color="1155CC"/>
        </w:rPr>
      </w:pPr>
    </w:p>
    <w:p w14:paraId="55A22E7C" w14:textId="78AE3613" w:rsidR="000A560C" w:rsidRPr="000A560C" w:rsidRDefault="000A560C" w:rsidP="000A560C">
      <w:pPr>
        <w:autoSpaceDE w:val="0"/>
        <w:autoSpaceDN w:val="0"/>
        <w:adjustRightInd w:val="0"/>
        <w:ind w:right="-426"/>
        <w:rPr>
          <w:rFonts w:ascii="Times New Roman" w:hAnsi="Times New Roman" w:cs="Times New Roman"/>
          <w:b/>
          <w:bCs/>
          <w:kern w:val="0"/>
          <w:sz w:val="20"/>
          <w:szCs w:val="20"/>
          <w:u w:color="1155CC"/>
          <w:lang w:val="en-US"/>
        </w:rPr>
      </w:pPr>
      <w:r w:rsidRPr="000A560C">
        <w:rPr>
          <w:rFonts w:ascii="Times New Roman" w:hAnsi="Times New Roman" w:cs="Times New Roman"/>
          <w:b/>
          <w:bCs/>
          <w:kern w:val="0"/>
          <w:sz w:val="20"/>
          <w:szCs w:val="20"/>
          <w:u w:color="1155CC"/>
          <w:lang w:val="en-US"/>
        </w:rPr>
        <w:lastRenderedPageBreak/>
        <w:t>Descriptive Statistics on Molecular Data</w:t>
      </w:r>
    </w:p>
    <w:p w14:paraId="22A4FFFB" w14:textId="52AAE284" w:rsidR="000A560C" w:rsidRPr="009063CF" w:rsidRDefault="000A560C" w:rsidP="009063CF">
      <w:pPr>
        <w:autoSpaceDE w:val="0"/>
        <w:autoSpaceDN w:val="0"/>
        <w:adjustRightInd w:val="0"/>
        <w:ind w:right="-426"/>
        <w:rPr>
          <w:rFonts w:ascii="Times New Roman" w:hAnsi="Times New Roman" w:cs="Times New Roman"/>
          <w:kern w:val="0"/>
          <w:sz w:val="20"/>
          <w:szCs w:val="20"/>
          <w:u w:color="1155CC"/>
          <w:lang w:val="en-US"/>
        </w:rPr>
      </w:pPr>
      <w:r>
        <w:rPr>
          <w:rFonts w:ascii="Times New Roman" w:eastAsia="Times New Roman" w:hAnsi="Times New Roman" w:cs="Times New Roman"/>
          <w:b/>
          <w:noProof/>
          <w:sz w:val="20"/>
          <w:szCs w:val="20"/>
        </w:rPr>
        <w:drawing>
          <wp:inline distT="114300" distB="114300" distL="114300" distR="114300" wp14:anchorId="3508758A" wp14:editId="7DD11BE6">
            <wp:extent cx="4178823" cy="3134117"/>
            <wp:effectExtent l="0" t="0" r="0" b="0"/>
            <wp:docPr id="20" name="image3.png" descr="Et bilde som inneholder tekst, Font, Plottdiagram, line&#10;&#10;Automatisk generert beskrivelse"/>
            <wp:cNvGraphicFramePr/>
            <a:graphic xmlns:a="http://schemas.openxmlformats.org/drawingml/2006/main">
              <a:graphicData uri="http://schemas.openxmlformats.org/drawingml/2006/picture">
                <pic:pic xmlns:pic="http://schemas.openxmlformats.org/drawingml/2006/picture">
                  <pic:nvPicPr>
                    <pic:cNvPr id="20" name="image3.png" descr="Et bilde som inneholder tekst, Font, Plottdiagram, line&#10;&#10;Automatisk generert beskrivelse"/>
                    <pic:cNvPicPr preferRelativeResize="0"/>
                  </pic:nvPicPr>
                  <pic:blipFill>
                    <a:blip r:embed="rId9"/>
                    <a:srcRect/>
                    <a:stretch>
                      <a:fillRect/>
                    </a:stretch>
                  </pic:blipFill>
                  <pic:spPr>
                    <a:xfrm>
                      <a:off x="0" y="0"/>
                      <a:ext cx="4178823" cy="3134117"/>
                    </a:xfrm>
                    <a:prstGeom prst="rect">
                      <a:avLst/>
                    </a:prstGeom>
                    <a:ln/>
                  </pic:spPr>
                </pic:pic>
              </a:graphicData>
            </a:graphic>
          </wp:inline>
        </w:drawing>
      </w:r>
    </w:p>
    <w:p w14:paraId="2EFD130F" w14:textId="77777777" w:rsidR="000A560C" w:rsidRPr="000A560C" w:rsidRDefault="000A560C" w:rsidP="000A560C">
      <w:pPr>
        <w:autoSpaceDE w:val="0"/>
        <w:autoSpaceDN w:val="0"/>
        <w:adjustRightInd w:val="0"/>
        <w:spacing w:after="200"/>
        <w:ind w:right="-426"/>
        <w:rPr>
          <w:rFonts w:ascii="Times New Roman" w:hAnsi="Times New Roman" w:cs="Times New Roman"/>
          <w:kern w:val="0"/>
          <w:sz w:val="20"/>
          <w:szCs w:val="20"/>
          <w:u w:color="1155CC"/>
          <w:lang w:val="en-US"/>
        </w:rPr>
      </w:pPr>
      <w:r w:rsidRPr="000A560C">
        <w:rPr>
          <w:rFonts w:ascii="Times New Roman" w:hAnsi="Times New Roman" w:cs="Times New Roman"/>
          <w:b/>
          <w:bCs/>
          <w:kern w:val="0"/>
          <w:sz w:val="20"/>
          <w:szCs w:val="20"/>
          <w:u w:color="1155CC"/>
          <w:lang w:val="en-US"/>
        </w:rPr>
        <w:t>Supplementary Fig. 3</w:t>
      </w:r>
      <w:r w:rsidRPr="000A560C">
        <w:rPr>
          <w:rFonts w:ascii="Times New Roman" w:hAnsi="Times New Roman" w:cs="Times New Roman"/>
          <w:kern w:val="0"/>
          <w:sz w:val="20"/>
          <w:szCs w:val="20"/>
          <w:u w:color="1155CC"/>
          <w:lang w:val="en-US"/>
        </w:rPr>
        <w:t xml:space="preserve"> The order of the normalized [2] log-</w:t>
      </w:r>
      <w:proofErr w:type="spellStart"/>
      <w:r w:rsidRPr="000A560C">
        <w:rPr>
          <w:rFonts w:ascii="Times New Roman" w:hAnsi="Times New Roman" w:cs="Times New Roman"/>
          <w:kern w:val="0"/>
          <w:sz w:val="20"/>
          <w:szCs w:val="20"/>
          <w:u w:color="1155CC"/>
          <w:lang w:val="en-US"/>
        </w:rPr>
        <w:t>cpm</w:t>
      </w:r>
      <w:proofErr w:type="spellEnd"/>
      <w:r w:rsidRPr="000A560C">
        <w:rPr>
          <w:rFonts w:ascii="Times New Roman" w:hAnsi="Times New Roman" w:cs="Times New Roman"/>
          <w:kern w:val="0"/>
          <w:sz w:val="20"/>
          <w:szCs w:val="20"/>
          <w:u w:color="1155CC"/>
          <w:lang w:val="en-US"/>
        </w:rPr>
        <w:t xml:space="preserve"> expression of the top 100 expressed microRNA in the discovery dataset (n = 238), and the corresponding expression of the common microRNAs in the validation dataset (n = 72). We observe visually a downward trend in the expressions amongst the microRNAs in the validation cohorts.</w:t>
      </w:r>
    </w:p>
    <w:p w14:paraId="3DD0ECE2" w14:textId="77777777" w:rsidR="000A560C" w:rsidRDefault="000A560C" w:rsidP="000A560C">
      <w:pPr>
        <w:autoSpaceDE w:val="0"/>
        <w:autoSpaceDN w:val="0"/>
        <w:adjustRightInd w:val="0"/>
        <w:spacing w:after="200"/>
        <w:ind w:right="-426"/>
        <w:rPr>
          <w:rFonts w:ascii="Times New Roman" w:hAnsi="Times New Roman" w:cs="Times New Roman"/>
          <w:kern w:val="0"/>
          <w:sz w:val="20"/>
          <w:szCs w:val="20"/>
          <w:u w:color="1155CC"/>
          <w:lang w:val="en-US"/>
        </w:rPr>
      </w:pPr>
    </w:p>
    <w:p w14:paraId="7EA8F8A1" w14:textId="77777777" w:rsidR="009063CF" w:rsidRPr="000A560C" w:rsidRDefault="009063CF" w:rsidP="000A560C">
      <w:pPr>
        <w:autoSpaceDE w:val="0"/>
        <w:autoSpaceDN w:val="0"/>
        <w:adjustRightInd w:val="0"/>
        <w:spacing w:after="200"/>
        <w:ind w:right="-426"/>
        <w:rPr>
          <w:rFonts w:ascii="Times New Roman" w:hAnsi="Times New Roman" w:cs="Times New Roman"/>
          <w:kern w:val="0"/>
          <w:sz w:val="20"/>
          <w:szCs w:val="20"/>
          <w:u w:color="1155CC"/>
          <w:lang w:val="en-US"/>
        </w:rPr>
      </w:pPr>
    </w:p>
    <w:p w14:paraId="131C6A0E" w14:textId="27C23F78" w:rsidR="000A560C" w:rsidRPr="000A560C" w:rsidRDefault="000A560C" w:rsidP="000A560C">
      <w:pPr>
        <w:autoSpaceDE w:val="0"/>
        <w:autoSpaceDN w:val="0"/>
        <w:adjustRightInd w:val="0"/>
        <w:ind w:right="-426"/>
        <w:rPr>
          <w:rFonts w:ascii="Times New Roman" w:hAnsi="Times New Roman" w:cs="Times New Roman"/>
          <w:kern w:val="0"/>
          <w:sz w:val="20"/>
          <w:szCs w:val="20"/>
          <w:u w:color="1155CC"/>
          <w:lang w:val="en-US"/>
        </w:rPr>
      </w:pPr>
      <w:r>
        <w:rPr>
          <w:rFonts w:ascii="Times New Roman" w:eastAsia="Times New Roman" w:hAnsi="Times New Roman" w:cs="Times New Roman"/>
          <w:noProof/>
          <w:sz w:val="20"/>
          <w:szCs w:val="20"/>
        </w:rPr>
        <w:drawing>
          <wp:inline distT="114300" distB="114300" distL="114300" distR="114300" wp14:anchorId="6209B8E1" wp14:editId="6B89D87B">
            <wp:extent cx="4312852" cy="3229292"/>
            <wp:effectExtent l="0" t="0" r="0" b="0"/>
            <wp:docPr id="18" name="image4.png" descr="Et bilde som inneholder tekst, diagram, plan, Teknisk tegning&#10;&#10;Automatisk generert beskrivelse"/>
            <wp:cNvGraphicFramePr/>
            <a:graphic xmlns:a="http://schemas.openxmlformats.org/drawingml/2006/main">
              <a:graphicData uri="http://schemas.openxmlformats.org/drawingml/2006/picture">
                <pic:pic xmlns:pic="http://schemas.openxmlformats.org/drawingml/2006/picture">
                  <pic:nvPicPr>
                    <pic:cNvPr id="18" name="image4.png" descr="Et bilde som inneholder tekst, diagram, plan, Teknisk tegning&#10;&#10;Automatisk generert beskrivelse"/>
                    <pic:cNvPicPr preferRelativeResize="0"/>
                  </pic:nvPicPr>
                  <pic:blipFill>
                    <a:blip r:embed="rId10"/>
                    <a:srcRect/>
                    <a:stretch>
                      <a:fillRect/>
                    </a:stretch>
                  </pic:blipFill>
                  <pic:spPr>
                    <a:xfrm>
                      <a:off x="0" y="0"/>
                      <a:ext cx="4312852" cy="3229292"/>
                    </a:xfrm>
                    <a:prstGeom prst="rect">
                      <a:avLst/>
                    </a:prstGeom>
                    <a:ln/>
                  </pic:spPr>
                </pic:pic>
              </a:graphicData>
            </a:graphic>
          </wp:inline>
        </w:drawing>
      </w:r>
    </w:p>
    <w:p w14:paraId="441D474B" w14:textId="5E762CA0" w:rsidR="000A560C" w:rsidRPr="000A560C" w:rsidRDefault="000A560C" w:rsidP="000A560C">
      <w:pPr>
        <w:autoSpaceDE w:val="0"/>
        <w:autoSpaceDN w:val="0"/>
        <w:adjustRightInd w:val="0"/>
        <w:ind w:right="-426"/>
        <w:rPr>
          <w:rFonts w:ascii="Times New Roman" w:hAnsi="Times New Roman" w:cs="Times New Roman"/>
          <w:i/>
          <w:iCs/>
          <w:kern w:val="0"/>
          <w:sz w:val="20"/>
          <w:szCs w:val="20"/>
          <w:u w:color="1155CC"/>
          <w:lang w:val="en-US"/>
        </w:rPr>
      </w:pPr>
      <w:r w:rsidRPr="000A560C">
        <w:rPr>
          <w:rFonts w:ascii="Times New Roman" w:hAnsi="Times New Roman" w:cs="Times New Roman"/>
          <w:b/>
          <w:bCs/>
          <w:kern w:val="0"/>
          <w:sz w:val="20"/>
          <w:szCs w:val="20"/>
          <w:u w:color="1155CC"/>
          <w:lang w:val="en-US"/>
        </w:rPr>
        <w:t>Supplementary Fig. 4</w:t>
      </w:r>
      <w:r w:rsidRPr="000A560C">
        <w:rPr>
          <w:rFonts w:ascii="Times New Roman" w:hAnsi="Times New Roman" w:cs="Times New Roman"/>
          <w:i/>
          <w:iCs/>
          <w:kern w:val="0"/>
          <w:sz w:val="20"/>
          <w:szCs w:val="20"/>
          <w:u w:color="1155CC"/>
          <w:lang w:val="en-US"/>
        </w:rPr>
        <w:t xml:space="preserve"> </w:t>
      </w:r>
      <w:r w:rsidRPr="000A560C">
        <w:rPr>
          <w:rFonts w:ascii="Times New Roman" w:hAnsi="Times New Roman" w:cs="Times New Roman"/>
          <w:kern w:val="0"/>
          <w:sz w:val="20"/>
          <w:szCs w:val="20"/>
          <w:u w:color="1155CC"/>
          <w:lang w:val="en-US"/>
        </w:rPr>
        <w:t>Top 5 expressed microRNA in the discovery and validation dataset. The order is based on the median expression.</w:t>
      </w:r>
    </w:p>
    <w:p w14:paraId="3244E888" w14:textId="77777777" w:rsidR="000A560C" w:rsidRPr="000A560C" w:rsidRDefault="000A560C" w:rsidP="000A560C">
      <w:pPr>
        <w:numPr>
          <w:ilvl w:val="0"/>
          <w:numId w:val="1"/>
        </w:numPr>
        <w:autoSpaceDE w:val="0"/>
        <w:autoSpaceDN w:val="0"/>
        <w:adjustRightInd w:val="0"/>
        <w:spacing w:after="200"/>
        <w:ind w:left="0" w:right="-426" w:firstLine="0"/>
        <w:jc w:val="center"/>
        <w:rPr>
          <w:rFonts w:ascii="Times New Roman" w:hAnsi="Times New Roman" w:cs="Times New Roman"/>
          <w:b/>
          <w:bCs/>
          <w:i/>
          <w:iCs/>
          <w:color w:val="44546A"/>
          <w:kern w:val="0"/>
          <w:sz w:val="20"/>
          <w:szCs w:val="20"/>
          <w:u w:color="1155CC"/>
          <w:lang w:val="en-US"/>
        </w:rPr>
      </w:pPr>
    </w:p>
    <w:p w14:paraId="18996C8B" w14:textId="77777777" w:rsidR="000A560C" w:rsidRPr="000A560C" w:rsidRDefault="000A560C" w:rsidP="000A560C">
      <w:pPr>
        <w:autoSpaceDE w:val="0"/>
        <w:autoSpaceDN w:val="0"/>
        <w:adjustRightInd w:val="0"/>
        <w:ind w:right="-426"/>
        <w:rPr>
          <w:rFonts w:ascii="Helvetica" w:hAnsi="Helvetica" w:cs="Helvetica"/>
          <w:kern w:val="0"/>
          <w:u w:color="1155CC"/>
          <w:lang w:val="en-US"/>
        </w:rPr>
      </w:pPr>
      <w:r w:rsidRPr="000A560C">
        <w:rPr>
          <w:rFonts w:ascii="Times New Roman" w:hAnsi="Times New Roman" w:cs="Times New Roman"/>
          <w:b/>
          <w:bCs/>
          <w:kern w:val="0"/>
          <w:u w:color="1155CC"/>
          <w:lang w:val="en-US"/>
        </w:rPr>
        <w:lastRenderedPageBreak/>
        <w:t>References</w:t>
      </w:r>
    </w:p>
    <w:p w14:paraId="7FBD4E94"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lang w:val="en-US"/>
        </w:rPr>
      </w:pPr>
      <w:proofErr w:type="spellStart"/>
      <w:r w:rsidRPr="000A560C">
        <w:rPr>
          <w:rFonts w:ascii="Times New Roman" w:hAnsi="Times New Roman" w:cs="Times New Roman"/>
          <w:kern w:val="0"/>
          <w:sz w:val="20"/>
          <w:szCs w:val="20"/>
          <w:u w:color="1155CC"/>
          <w:lang w:val="en-US"/>
        </w:rPr>
        <w:t>Benjamini</w:t>
      </w:r>
      <w:proofErr w:type="spellEnd"/>
      <w:r w:rsidRPr="000A560C">
        <w:rPr>
          <w:rFonts w:ascii="Times New Roman" w:hAnsi="Times New Roman" w:cs="Times New Roman"/>
          <w:kern w:val="0"/>
          <w:sz w:val="20"/>
          <w:szCs w:val="20"/>
          <w:u w:color="1155CC"/>
          <w:lang w:val="en-US"/>
        </w:rPr>
        <w:t xml:space="preserve"> Y, Hochberg Y. Controlling the False Discovery Rate: A Practical and Powerful Approach to Multiple Testing. Journal of the Royal Statistical Society: Series B (Methodological). </w:t>
      </w:r>
      <w:proofErr w:type="gramStart"/>
      <w:r w:rsidRPr="000A560C">
        <w:rPr>
          <w:rFonts w:ascii="Times New Roman" w:hAnsi="Times New Roman" w:cs="Times New Roman"/>
          <w:kern w:val="0"/>
          <w:sz w:val="20"/>
          <w:szCs w:val="20"/>
          <w:u w:color="1155CC"/>
          <w:lang w:val="en-US"/>
        </w:rPr>
        <w:t>1995;57:289</w:t>
      </w:r>
      <w:proofErr w:type="gramEnd"/>
      <w:r w:rsidRPr="000A560C">
        <w:rPr>
          <w:rFonts w:ascii="Times New Roman" w:hAnsi="Times New Roman" w:cs="Times New Roman"/>
          <w:kern w:val="0"/>
          <w:sz w:val="20"/>
          <w:szCs w:val="20"/>
          <w:u w:color="1155CC"/>
          <w:lang w:val="en-US"/>
        </w:rPr>
        <w:t>-300. https://doi.org/https://doi.org/10.1111/j.2517-6161.1995.tb02031.x</w:t>
      </w:r>
    </w:p>
    <w:p w14:paraId="1C7C81A6"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 xml:space="preserve">Law CW, </w:t>
      </w:r>
      <w:proofErr w:type="spellStart"/>
      <w:r w:rsidRPr="000A560C">
        <w:rPr>
          <w:rFonts w:ascii="Times New Roman" w:hAnsi="Times New Roman" w:cs="Times New Roman"/>
          <w:kern w:val="0"/>
          <w:sz w:val="20"/>
          <w:szCs w:val="20"/>
          <w:u w:color="1155CC"/>
          <w:lang w:val="en-US"/>
        </w:rPr>
        <w:t>Alhamdoosh</w:t>
      </w:r>
      <w:proofErr w:type="spellEnd"/>
      <w:r w:rsidRPr="000A560C">
        <w:rPr>
          <w:rFonts w:ascii="Times New Roman" w:hAnsi="Times New Roman" w:cs="Times New Roman"/>
          <w:kern w:val="0"/>
          <w:sz w:val="20"/>
          <w:szCs w:val="20"/>
          <w:u w:color="1155CC"/>
          <w:lang w:val="en-US"/>
        </w:rPr>
        <w:t xml:space="preserve"> M, Su S, Dong X, Tian L, Smyth </w:t>
      </w:r>
      <w:proofErr w:type="spellStart"/>
      <w:r w:rsidRPr="000A560C">
        <w:rPr>
          <w:rFonts w:ascii="Times New Roman" w:hAnsi="Times New Roman" w:cs="Times New Roman"/>
          <w:kern w:val="0"/>
          <w:sz w:val="20"/>
          <w:szCs w:val="20"/>
          <w:u w:color="1155CC"/>
          <w:lang w:val="en-US"/>
        </w:rPr>
        <w:t>GK</w:t>
      </w:r>
      <w:proofErr w:type="spellEnd"/>
      <w:r w:rsidRPr="000A560C">
        <w:rPr>
          <w:rFonts w:ascii="Times New Roman" w:hAnsi="Times New Roman" w:cs="Times New Roman"/>
          <w:kern w:val="0"/>
          <w:sz w:val="20"/>
          <w:szCs w:val="20"/>
          <w:u w:color="1155CC"/>
          <w:lang w:val="en-US"/>
        </w:rPr>
        <w:t xml:space="preserve">, et al. RNA-seq analysis is easy as 1-2-3 with </w:t>
      </w:r>
      <w:proofErr w:type="spellStart"/>
      <w:r w:rsidRPr="000A560C">
        <w:rPr>
          <w:rFonts w:ascii="Times New Roman" w:hAnsi="Times New Roman" w:cs="Times New Roman"/>
          <w:kern w:val="0"/>
          <w:sz w:val="20"/>
          <w:szCs w:val="20"/>
          <w:u w:color="1155CC"/>
          <w:lang w:val="en-US"/>
        </w:rPr>
        <w:t>limma</w:t>
      </w:r>
      <w:proofErr w:type="spellEnd"/>
      <w:r w:rsidRPr="000A560C">
        <w:rPr>
          <w:rFonts w:ascii="Times New Roman" w:hAnsi="Times New Roman" w:cs="Times New Roman"/>
          <w:kern w:val="0"/>
          <w:sz w:val="20"/>
          <w:szCs w:val="20"/>
          <w:u w:color="1155CC"/>
          <w:lang w:val="en-US"/>
        </w:rPr>
        <w:t xml:space="preserve">, </w:t>
      </w:r>
      <w:proofErr w:type="spellStart"/>
      <w:r w:rsidRPr="000A560C">
        <w:rPr>
          <w:rFonts w:ascii="Times New Roman" w:hAnsi="Times New Roman" w:cs="Times New Roman"/>
          <w:kern w:val="0"/>
          <w:sz w:val="20"/>
          <w:szCs w:val="20"/>
          <w:u w:color="1155CC"/>
          <w:lang w:val="en-US"/>
        </w:rPr>
        <w:t>Glimma</w:t>
      </w:r>
      <w:proofErr w:type="spellEnd"/>
      <w:r w:rsidRPr="000A560C">
        <w:rPr>
          <w:rFonts w:ascii="Times New Roman" w:hAnsi="Times New Roman" w:cs="Times New Roman"/>
          <w:kern w:val="0"/>
          <w:sz w:val="20"/>
          <w:szCs w:val="20"/>
          <w:u w:color="1155CC"/>
          <w:lang w:val="en-US"/>
        </w:rPr>
        <w:t xml:space="preserve"> and </w:t>
      </w:r>
      <w:proofErr w:type="spellStart"/>
      <w:r w:rsidRPr="000A560C">
        <w:rPr>
          <w:rFonts w:ascii="Times New Roman" w:hAnsi="Times New Roman" w:cs="Times New Roman"/>
          <w:kern w:val="0"/>
          <w:sz w:val="20"/>
          <w:szCs w:val="20"/>
          <w:u w:color="1155CC"/>
          <w:lang w:val="en-US"/>
        </w:rPr>
        <w:t>edgeR</w:t>
      </w:r>
      <w:proofErr w:type="spellEnd"/>
      <w:r w:rsidRPr="000A560C">
        <w:rPr>
          <w:rFonts w:ascii="Times New Roman" w:hAnsi="Times New Roman" w:cs="Times New Roman"/>
          <w:kern w:val="0"/>
          <w:sz w:val="20"/>
          <w:szCs w:val="20"/>
          <w:u w:color="1155CC"/>
          <w:lang w:val="en-US"/>
        </w:rPr>
        <w:t>. F1000Res. 2016;5. https://doi.org/10.12688/f1000research.9005.3</w:t>
      </w:r>
    </w:p>
    <w:p w14:paraId="6F8676C6"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 xml:space="preserve">Law CW, Chen Y, Shi W, Smyth GK. </w:t>
      </w:r>
      <w:proofErr w:type="spellStart"/>
      <w:r w:rsidRPr="000A560C">
        <w:rPr>
          <w:rFonts w:ascii="Times New Roman" w:hAnsi="Times New Roman" w:cs="Times New Roman"/>
          <w:kern w:val="0"/>
          <w:sz w:val="20"/>
          <w:szCs w:val="20"/>
          <w:u w:color="1155CC"/>
          <w:lang w:val="en-US"/>
        </w:rPr>
        <w:t>voom</w:t>
      </w:r>
      <w:proofErr w:type="spellEnd"/>
      <w:r w:rsidRPr="000A560C">
        <w:rPr>
          <w:rFonts w:ascii="Times New Roman" w:hAnsi="Times New Roman" w:cs="Times New Roman"/>
          <w:kern w:val="0"/>
          <w:sz w:val="20"/>
          <w:szCs w:val="20"/>
          <w:u w:color="1155CC"/>
          <w:lang w:val="en-US"/>
        </w:rPr>
        <w:t>: Precision weights unlock linear model analysis tools for RNA-seq read counts. Genome Biol. 2014;</w:t>
      </w:r>
      <w:proofErr w:type="gramStart"/>
      <w:r w:rsidRPr="000A560C">
        <w:rPr>
          <w:rFonts w:ascii="Times New Roman" w:hAnsi="Times New Roman" w:cs="Times New Roman"/>
          <w:kern w:val="0"/>
          <w:sz w:val="20"/>
          <w:szCs w:val="20"/>
          <w:u w:color="1155CC"/>
          <w:lang w:val="en-US"/>
        </w:rPr>
        <w:t>15:R</w:t>
      </w:r>
      <w:proofErr w:type="gramEnd"/>
      <w:r w:rsidRPr="000A560C">
        <w:rPr>
          <w:rFonts w:ascii="Times New Roman" w:hAnsi="Times New Roman" w:cs="Times New Roman"/>
          <w:kern w:val="0"/>
          <w:sz w:val="20"/>
          <w:szCs w:val="20"/>
          <w:u w:color="1155CC"/>
          <w:lang w:val="en-US"/>
        </w:rPr>
        <w:t>29. https://doi.org/10.1186/gb-2014-15-2-r29</w:t>
      </w:r>
    </w:p>
    <w:p w14:paraId="14876FFC"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 xml:space="preserve">Liu R, </w:t>
      </w:r>
      <w:proofErr w:type="spellStart"/>
      <w:r w:rsidRPr="000A560C">
        <w:rPr>
          <w:rFonts w:ascii="Times New Roman" w:hAnsi="Times New Roman" w:cs="Times New Roman"/>
          <w:kern w:val="0"/>
          <w:sz w:val="20"/>
          <w:szCs w:val="20"/>
          <w:u w:color="1155CC"/>
          <w:lang w:val="en-US"/>
        </w:rPr>
        <w:t>Holik</w:t>
      </w:r>
      <w:proofErr w:type="spellEnd"/>
      <w:r w:rsidRPr="000A560C">
        <w:rPr>
          <w:rFonts w:ascii="Times New Roman" w:hAnsi="Times New Roman" w:cs="Times New Roman"/>
          <w:kern w:val="0"/>
          <w:sz w:val="20"/>
          <w:szCs w:val="20"/>
          <w:u w:color="1155CC"/>
          <w:lang w:val="en-US"/>
        </w:rPr>
        <w:t xml:space="preserve"> AZ, Su S, Jansz N, Chen K, Leong HS, et al. Why weight? Modelling sample and observational level variability improves power in RNA-seq analyses. Nucleic acids research. 2015;</w:t>
      </w:r>
      <w:proofErr w:type="gramStart"/>
      <w:r w:rsidRPr="000A560C">
        <w:rPr>
          <w:rFonts w:ascii="Times New Roman" w:hAnsi="Times New Roman" w:cs="Times New Roman"/>
          <w:kern w:val="0"/>
          <w:sz w:val="20"/>
          <w:szCs w:val="20"/>
          <w:u w:color="1155CC"/>
          <w:lang w:val="en-US"/>
        </w:rPr>
        <w:t>43:e</w:t>
      </w:r>
      <w:proofErr w:type="gramEnd"/>
      <w:r w:rsidRPr="000A560C">
        <w:rPr>
          <w:rFonts w:ascii="Times New Roman" w:hAnsi="Times New Roman" w:cs="Times New Roman"/>
          <w:kern w:val="0"/>
          <w:sz w:val="20"/>
          <w:szCs w:val="20"/>
          <w:u w:color="1155CC"/>
          <w:lang w:val="en-US"/>
        </w:rPr>
        <w:t>97. https://doi.org/10.1093/nar/gkv412</w:t>
      </w:r>
    </w:p>
    <w:p w14:paraId="2ADFD94F"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lang w:val="en-US"/>
        </w:rPr>
      </w:pPr>
      <w:proofErr w:type="spellStart"/>
      <w:r w:rsidRPr="000A560C">
        <w:rPr>
          <w:rFonts w:ascii="Times New Roman" w:hAnsi="Times New Roman" w:cs="Times New Roman"/>
          <w:kern w:val="0"/>
          <w:sz w:val="20"/>
          <w:szCs w:val="20"/>
          <w:u w:color="1155CC"/>
          <w:lang w:val="en-US"/>
        </w:rPr>
        <w:t>Markaki</w:t>
      </w:r>
      <w:proofErr w:type="spellEnd"/>
      <w:r w:rsidRPr="000A560C">
        <w:rPr>
          <w:rFonts w:ascii="Times New Roman" w:hAnsi="Times New Roman" w:cs="Times New Roman"/>
          <w:kern w:val="0"/>
          <w:sz w:val="20"/>
          <w:szCs w:val="20"/>
          <w:u w:color="1155CC"/>
          <w:lang w:val="en-US"/>
        </w:rPr>
        <w:t xml:space="preserve"> M, </w:t>
      </w:r>
      <w:proofErr w:type="spellStart"/>
      <w:r w:rsidRPr="000A560C">
        <w:rPr>
          <w:rFonts w:ascii="Times New Roman" w:hAnsi="Times New Roman" w:cs="Times New Roman"/>
          <w:kern w:val="0"/>
          <w:sz w:val="20"/>
          <w:szCs w:val="20"/>
          <w:u w:color="1155CC"/>
          <w:lang w:val="en-US"/>
        </w:rPr>
        <w:t>Tsamardinos</w:t>
      </w:r>
      <w:proofErr w:type="spellEnd"/>
      <w:r w:rsidRPr="000A560C">
        <w:rPr>
          <w:rFonts w:ascii="Times New Roman" w:hAnsi="Times New Roman" w:cs="Times New Roman"/>
          <w:kern w:val="0"/>
          <w:sz w:val="20"/>
          <w:szCs w:val="20"/>
          <w:u w:color="1155CC"/>
          <w:lang w:val="en-US"/>
        </w:rPr>
        <w:t xml:space="preserve"> I, Langhammer A, </w:t>
      </w:r>
      <w:proofErr w:type="spellStart"/>
      <w:r w:rsidRPr="000A560C">
        <w:rPr>
          <w:rFonts w:ascii="Times New Roman" w:hAnsi="Times New Roman" w:cs="Times New Roman"/>
          <w:kern w:val="0"/>
          <w:sz w:val="20"/>
          <w:szCs w:val="20"/>
          <w:u w:color="1155CC"/>
          <w:lang w:val="en-US"/>
        </w:rPr>
        <w:t>Lagani</w:t>
      </w:r>
      <w:proofErr w:type="spellEnd"/>
      <w:r w:rsidRPr="000A560C">
        <w:rPr>
          <w:rFonts w:ascii="Times New Roman" w:hAnsi="Times New Roman" w:cs="Times New Roman"/>
          <w:kern w:val="0"/>
          <w:sz w:val="20"/>
          <w:szCs w:val="20"/>
          <w:u w:color="1155CC"/>
          <w:lang w:val="en-US"/>
        </w:rPr>
        <w:t xml:space="preserve"> V, </w:t>
      </w:r>
      <w:proofErr w:type="spellStart"/>
      <w:r w:rsidRPr="000A560C">
        <w:rPr>
          <w:rFonts w:ascii="Times New Roman" w:hAnsi="Times New Roman" w:cs="Times New Roman"/>
          <w:kern w:val="0"/>
          <w:sz w:val="20"/>
          <w:szCs w:val="20"/>
          <w:u w:color="1155CC"/>
          <w:lang w:val="en-US"/>
        </w:rPr>
        <w:t>Hveem</w:t>
      </w:r>
      <w:proofErr w:type="spellEnd"/>
      <w:r w:rsidRPr="000A560C">
        <w:rPr>
          <w:rFonts w:ascii="Times New Roman" w:hAnsi="Times New Roman" w:cs="Times New Roman"/>
          <w:kern w:val="0"/>
          <w:sz w:val="20"/>
          <w:szCs w:val="20"/>
          <w:u w:color="1155CC"/>
          <w:lang w:val="en-US"/>
        </w:rPr>
        <w:t xml:space="preserve"> K, Roe OD. A Validated Clinical Risk Prediction Model for Lung Cancer in Smokers of All Ages and Exposure Types: A HUNT Study. </w:t>
      </w:r>
      <w:proofErr w:type="spellStart"/>
      <w:r w:rsidRPr="000A560C">
        <w:rPr>
          <w:rFonts w:ascii="Times New Roman" w:hAnsi="Times New Roman" w:cs="Times New Roman"/>
          <w:kern w:val="0"/>
          <w:sz w:val="20"/>
          <w:szCs w:val="20"/>
          <w:u w:color="1155CC"/>
          <w:lang w:val="en-US"/>
        </w:rPr>
        <w:t>EBioMedicine</w:t>
      </w:r>
      <w:proofErr w:type="spellEnd"/>
      <w:r w:rsidRPr="000A560C">
        <w:rPr>
          <w:rFonts w:ascii="Times New Roman" w:hAnsi="Times New Roman" w:cs="Times New Roman"/>
          <w:kern w:val="0"/>
          <w:sz w:val="20"/>
          <w:szCs w:val="20"/>
          <w:u w:color="1155CC"/>
          <w:lang w:val="en-US"/>
        </w:rPr>
        <w:t xml:space="preserve">. </w:t>
      </w:r>
      <w:proofErr w:type="gramStart"/>
      <w:r w:rsidRPr="000A560C">
        <w:rPr>
          <w:rFonts w:ascii="Times New Roman" w:hAnsi="Times New Roman" w:cs="Times New Roman"/>
          <w:kern w:val="0"/>
          <w:sz w:val="20"/>
          <w:szCs w:val="20"/>
          <w:u w:color="1155CC"/>
          <w:lang w:val="en-US"/>
        </w:rPr>
        <w:t>2018;31:36</w:t>
      </w:r>
      <w:proofErr w:type="gramEnd"/>
      <w:r w:rsidRPr="000A560C">
        <w:rPr>
          <w:rFonts w:ascii="Times New Roman" w:hAnsi="Times New Roman" w:cs="Times New Roman"/>
          <w:kern w:val="0"/>
          <w:sz w:val="20"/>
          <w:szCs w:val="20"/>
          <w:u w:color="1155CC"/>
          <w:lang w:val="en-US"/>
        </w:rPr>
        <w:t>-46. https://doi.org/10.1016/j.ebiom.2018.03.027</w:t>
      </w:r>
    </w:p>
    <w:p w14:paraId="68A07F78"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 xml:space="preserve">Ritchie ME, </w:t>
      </w:r>
      <w:proofErr w:type="spellStart"/>
      <w:r w:rsidRPr="000A560C">
        <w:rPr>
          <w:rFonts w:ascii="Times New Roman" w:hAnsi="Times New Roman" w:cs="Times New Roman"/>
          <w:kern w:val="0"/>
          <w:sz w:val="20"/>
          <w:szCs w:val="20"/>
          <w:u w:color="1155CC"/>
          <w:lang w:val="en-US"/>
        </w:rPr>
        <w:t>Phipson</w:t>
      </w:r>
      <w:proofErr w:type="spellEnd"/>
      <w:r w:rsidRPr="000A560C">
        <w:rPr>
          <w:rFonts w:ascii="Times New Roman" w:hAnsi="Times New Roman" w:cs="Times New Roman"/>
          <w:kern w:val="0"/>
          <w:sz w:val="20"/>
          <w:szCs w:val="20"/>
          <w:u w:color="1155CC"/>
          <w:lang w:val="en-US"/>
        </w:rPr>
        <w:t xml:space="preserve"> B, Wu D, Hu Y, Law CW, Shi W, et al. </w:t>
      </w:r>
      <w:proofErr w:type="spellStart"/>
      <w:r w:rsidRPr="000A560C">
        <w:rPr>
          <w:rFonts w:ascii="Times New Roman" w:hAnsi="Times New Roman" w:cs="Times New Roman"/>
          <w:kern w:val="0"/>
          <w:sz w:val="20"/>
          <w:szCs w:val="20"/>
          <w:u w:color="1155CC"/>
          <w:lang w:val="en-US"/>
        </w:rPr>
        <w:t>limma</w:t>
      </w:r>
      <w:proofErr w:type="spellEnd"/>
      <w:r w:rsidRPr="000A560C">
        <w:rPr>
          <w:rFonts w:ascii="Times New Roman" w:hAnsi="Times New Roman" w:cs="Times New Roman"/>
          <w:kern w:val="0"/>
          <w:sz w:val="20"/>
          <w:szCs w:val="20"/>
          <w:u w:color="1155CC"/>
          <w:lang w:val="en-US"/>
        </w:rPr>
        <w:t xml:space="preserve"> powers differential expression analyses for RNA-sequencing and microarray studies. Nucleic acids research. 2015;</w:t>
      </w:r>
      <w:proofErr w:type="gramStart"/>
      <w:r w:rsidRPr="000A560C">
        <w:rPr>
          <w:rFonts w:ascii="Times New Roman" w:hAnsi="Times New Roman" w:cs="Times New Roman"/>
          <w:kern w:val="0"/>
          <w:sz w:val="20"/>
          <w:szCs w:val="20"/>
          <w:u w:color="1155CC"/>
          <w:lang w:val="en-US"/>
        </w:rPr>
        <w:t>43:e</w:t>
      </w:r>
      <w:proofErr w:type="gramEnd"/>
      <w:r w:rsidRPr="000A560C">
        <w:rPr>
          <w:rFonts w:ascii="Times New Roman" w:hAnsi="Times New Roman" w:cs="Times New Roman"/>
          <w:kern w:val="0"/>
          <w:sz w:val="20"/>
          <w:szCs w:val="20"/>
          <w:u w:color="1155CC"/>
          <w:lang w:val="en-US"/>
        </w:rPr>
        <w:t>47. https://doi.org/10.1093/nar/gkv007</w:t>
      </w:r>
    </w:p>
    <w:p w14:paraId="7046FB47"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lang w:val="en-US"/>
        </w:rPr>
      </w:pPr>
      <w:r w:rsidRPr="000A560C">
        <w:rPr>
          <w:rFonts w:ascii="Times New Roman" w:hAnsi="Times New Roman" w:cs="Times New Roman"/>
          <w:kern w:val="0"/>
          <w:sz w:val="20"/>
          <w:szCs w:val="20"/>
          <w:u w:color="1155CC"/>
          <w:lang w:val="en-US"/>
        </w:rPr>
        <w:t xml:space="preserve">Robinson MD, McCarthy DJ, Smyth GK. </w:t>
      </w:r>
      <w:proofErr w:type="spellStart"/>
      <w:r w:rsidRPr="000A560C">
        <w:rPr>
          <w:rFonts w:ascii="Times New Roman" w:hAnsi="Times New Roman" w:cs="Times New Roman"/>
          <w:kern w:val="0"/>
          <w:sz w:val="20"/>
          <w:szCs w:val="20"/>
          <w:u w:color="1155CC"/>
          <w:lang w:val="en-US"/>
        </w:rPr>
        <w:t>edgeR</w:t>
      </w:r>
      <w:proofErr w:type="spellEnd"/>
      <w:r w:rsidRPr="000A560C">
        <w:rPr>
          <w:rFonts w:ascii="Times New Roman" w:hAnsi="Times New Roman" w:cs="Times New Roman"/>
          <w:kern w:val="0"/>
          <w:sz w:val="20"/>
          <w:szCs w:val="20"/>
          <w:u w:color="1155CC"/>
          <w:lang w:val="en-US"/>
        </w:rPr>
        <w:t xml:space="preserve">: a Bioconductor package for differential expression analysis of digital gene expression data. Bioinformatics. </w:t>
      </w:r>
      <w:proofErr w:type="gramStart"/>
      <w:r w:rsidRPr="000A560C">
        <w:rPr>
          <w:rFonts w:ascii="Times New Roman" w:hAnsi="Times New Roman" w:cs="Times New Roman"/>
          <w:kern w:val="0"/>
          <w:sz w:val="20"/>
          <w:szCs w:val="20"/>
          <w:u w:color="1155CC"/>
          <w:lang w:val="en-US"/>
        </w:rPr>
        <w:t>2010;26:139</w:t>
      </w:r>
      <w:proofErr w:type="gramEnd"/>
      <w:r w:rsidRPr="000A560C">
        <w:rPr>
          <w:rFonts w:ascii="Times New Roman" w:hAnsi="Times New Roman" w:cs="Times New Roman"/>
          <w:kern w:val="0"/>
          <w:sz w:val="20"/>
          <w:szCs w:val="20"/>
          <w:u w:color="1155CC"/>
          <w:lang w:val="en-US"/>
        </w:rPr>
        <w:t>-40. https://doi.org/10.1093/bioinformatics/btp616</w:t>
      </w:r>
    </w:p>
    <w:p w14:paraId="6E22C714" w14:textId="77777777" w:rsidR="000A560C" w:rsidRPr="000A560C" w:rsidRDefault="000A560C" w:rsidP="000A560C">
      <w:pPr>
        <w:autoSpaceDE w:val="0"/>
        <w:autoSpaceDN w:val="0"/>
        <w:adjustRightInd w:val="0"/>
        <w:ind w:left="720" w:hanging="720"/>
        <w:rPr>
          <w:rFonts w:ascii="Times New Roman" w:hAnsi="Times New Roman" w:cs="Times New Roman"/>
          <w:kern w:val="0"/>
          <w:sz w:val="20"/>
          <w:szCs w:val="20"/>
          <w:u w:color="1155CC"/>
        </w:rPr>
      </w:pPr>
      <w:r w:rsidRPr="000A560C">
        <w:rPr>
          <w:rFonts w:ascii="Times New Roman" w:hAnsi="Times New Roman" w:cs="Times New Roman"/>
          <w:kern w:val="0"/>
          <w:sz w:val="20"/>
          <w:szCs w:val="20"/>
          <w:u w:color="1155CC"/>
          <w:lang w:val="en-US"/>
        </w:rPr>
        <w:t xml:space="preserve">Robinson MD, </w:t>
      </w:r>
      <w:proofErr w:type="spellStart"/>
      <w:r w:rsidRPr="000A560C">
        <w:rPr>
          <w:rFonts w:ascii="Times New Roman" w:hAnsi="Times New Roman" w:cs="Times New Roman"/>
          <w:kern w:val="0"/>
          <w:sz w:val="20"/>
          <w:szCs w:val="20"/>
          <w:u w:color="1155CC"/>
          <w:lang w:val="en-US"/>
        </w:rPr>
        <w:t>Oshlack</w:t>
      </w:r>
      <w:proofErr w:type="spellEnd"/>
      <w:r w:rsidRPr="000A560C">
        <w:rPr>
          <w:rFonts w:ascii="Times New Roman" w:hAnsi="Times New Roman" w:cs="Times New Roman"/>
          <w:kern w:val="0"/>
          <w:sz w:val="20"/>
          <w:szCs w:val="20"/>
          <w:u w:color="1155CC"/>
          <w:lang w:val="en-US"/>
        </w:rPr>
        <w:t xml:space="preserve"> A. A scaling normalization method for differential expression analysis of RNA-seq data. </w:t>
      </w:r>
      <w:proofErr w:type="spellStart"/>
      <w:r w:rsidRPr="000A560C">
        <w:rPr>
          <w:rFonts w:ascii="Times New Roman" w:hAnsi="Times New Roman" w:cs="Times New Roman"/>
          <w:kern w:val="0"/>
          <w:sz w:val="20"/>
          <w:szCs w:val="20"/>
          <w:u w:color="1155CC"/>
        </w:rPr>
        <w:t>Genome</w:t>
      </w:r>
      <w:proofErr w:type="spellEnd"/>
      <w:r w:rsidRPr="000A560C">
        <w:rPr>
          <w:rFonts w:ascii="Times New Roman" w:hAnsi="Times New Roman" w:cs="Times New Roman"/>
          <w:kern w:val="0"/>
          <w:sz w:val="20"/>
          <w:szCs w:val="20"/>
          <w:u w:color="1155CC"/>
        </w:rPr>
        <w:t xml:space="preserve"> Biol. 2010;</w:t>
      </w:r>
      <w:proofErr w:type="gramStart"/>
      <w:r w:rsidRPr="000A560C">
        <w:rPr>
          <w:rFonts w:ascii="Times New Roman" w:hAnsi="Times New Roman" w:cs="Times New Roman"/>
          <w:kern w:val="0"/>
          <w:sz w:val="20"/>
          <w:szCs w:val="20"/>
          <w:u w:color="1155CC"/>
        </w:rPr>
        <w:t>11:R</w:t>
      </w:r>
      <w:proofErr w:type="gramEnd"/>
      <w:r w:rsidRPr="000A560C">
        <w:rPr>
          <w:rFonts w:ascii="Times New Roman" w:hAnsi="Times New Roman" w:cs="Times New Roman"/>
          <w:kern w:val="0"/>
          <w:sz w:val="20"/>
          <w:szCs w:val="20"/>
          <w:u w:color="1155CC"/>
        </w:rPr>
        <w:t>25. https://doi.org/10.1186/gb-2010-11-3-r25</w:t>
      </w:r>
    </w:p>
    <w:p w14:paraId="1DE2803A" w14:textId="77777777" w:rsidR="00B818BA" w:rsidRDefault="00B818BA"/>
    <w:sectPr w:rsidR="00B818BA" w:rsidSect="000A560C">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41338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60C"/>
    <w:rsid w:val="0000017E"/>
    <w:rsid w:val="000008C5"/>
    <w:rsid w:val="0000385E"/>
    <w:rsid w:val="00014182"/>
    <w:rsid w:val="000302BC"/>
    <w:rsid w:val="000376B0"/>
    <w:rsid w:val="00046BAB"/>
    <w:rsid w:val="00052656"/>
    <w:rsid w:val="000633E1"/>
    <w:rsid w:val="00085819"/>
    <w:rsid w:val="0008737C"/>
    <w:rsid w:val="00095F4C"/>
    <w:rsid w:val="000A560C"/>
    <w:rsid w:val="000B0622"/>
    <w:rsid w:val="000C775B"/>
    <w:rsid w:val="000D110E"/>
    <w:rsid w:val="000D286B"/>
    <w:rsid w:val="000F3E97"/>
    <w:rsid w:val="00104CA2"/>
    <w:rsid w:val="00110BDE"/>
    <w:rsid w:val="001117D8"/>
    <w:rsid w:val="00112E34"/>
    <w:rsid w:val="00136ADF"/>
    <w:rsid w:val="00150EA1"/>
    <w:rsid w:val="00151C25"/>
    <w:rsid w:val="00153415"/>
    <w:rsid w:val="00170023"/>
    <w:rsid w:val="00176750"/>
    <w:rsid w:val="001867E6"/>
    <w:rsid w:val="001A3A5C"/>
    <w:rsid w:val="001B2F65"/>
    <w:rsid w:val="001B30EE"/>
    <w:rsid w:val="001C5A50"/>
    <w:rsid w:val="001E2144"/>
    <w:rsid w:val="001E4C40"/>
    <w:rsid w:val="001F2690"/>
    <w:rsid w:val="00210FF4"/>
    <w:rsid w:val="00215460"/>
    <w:rsid w:val="0022264A"/>
    <w:rsid w:val="00227A14"/>
    <w:rsid w:val="00230C8D"/>
    <w:rsid w:val="00232EA2"/>
    <w:rsid w:val="00235AF1"/>
    <w:rsid w:val="00242689"/>
    <w:rsid w:val="0025441A"/>
    <w:rsid w:val="00255BBC"/>
    <w:rsid w:val="00272642"/>
    <w:rsid w:val="002767D8"/>
    <w:rsid w:val="0029055C"/>
    <w:rsid w:val="002921AB"/>
    <w:rsid w:val="00294BB6"/>
    <w:rsid w:val="002B4D06"/>
    <w:rsid w:val="002C3024"/>
    <w:rsid w:val="002E29DA"/>
    <w:rsid w:val="002F063C"/>
    <w:rsid w:val="002F0F8D"/>
    <w:rsid w:val="002F4DF0"/>
    <w:rsid w:val="002F7B08"/>
    <w:rsid w:val="00301535"/>
    <w:rsid w:val="00342363"/>
    <w:rsid w:val="00354652"/>
    <w:rsid w:val="0035624C"/>
    <w:rsid w:val="00366E3E"/>
    <w:rsid w:val="0038227B"/>
    <w:rsid w:val="00394B12"/>
    <w:rsid w:val="00397304"/>
    <w:rsid w:val="003A0BC4"/>
    <w:rsid w:val="003B4BD2"/>
    <w:rsid w:val="003E58FA"/>
    <w:rsid w:val="003F2C42"/>
    <w:rsid w:val="00402E85"/>
    <w:rsid w:val="00405C77"/>
    <w:rsid w:val="00410923"/>
    <w:rsid w:val="00420291"/>
    <w:rsid w:val="00423DF4"/>
    <w:rsid w:val="0042754A"/>
    <w:rsid w:val="0045119D"/>
    <w:rsid w:val="00456199"/>
    <w:rsid w:val="00470085"/>
    <w:rsid w:val="00472A2F"/>
    <w:rsid w:val="00473BBA"/>
    <w:rsid w:val="004749BA"/>
    <w:rsid w:val="00481399"/>
    <w:rsid w:val="004A25BF"/>
    <w:rsid w:val="004B72B1"/>
    <w:rsid w:val="004C12A2"/>
    <w:rsid w:val="004C3913"/>
    <w:rsid w:val="004D1D2B"/>
    <w:rsid w:val="004D57DD"/>
    <w:rsid w:val="004D753F"/>
    <w:rsid w:val="004E10BB"/>
    <w:rsid w:val="004E1D2F"/>
    <w:rsid w:val="004E286E"/>
    <w:rsid w:val="004F5A20"/>
    <w:rsid w:val="0051242B"/>
    <w:rsid w:val="00516C2F"/>
    <w:rsid w:val="0052184C"/>
    <w:rsid w:val="00521BA2"/>
    <w:rsid w:val="005265EA"/>
    <w:rsid w:val="0052723C"/>
    <w:rsid w:val="00533335"/>
    <w:rsid w:val="005376C6"/>
    <w:rsid w:val="00546FF6"/>
    <w:rsid w:val="00553290"/>
    <w:rsid w:val="00553653"/>
    <w:rsid w:val="005539B1"/>
    <w:rsid w:val="00555178"/>
    <w:rsid w:val="00556B91"/>
    <w:rsid w:val="00557731"/>
    <w:rsid w:val="00565A23"/>
    <w:rsid w:val="0057069E"/>
    <w:rsid w:val="00573351"/>
    <w:rsid w:val="005A11D4"/>
    <w:rsid w:val="005A1783"/>
    <w:rsid w:val="005A3348"/>
    <w:rsid w:val="005C2AE5"/>
    <w:rsid w:val="005C5C73"/>
    <w:rsid w:val="005D050E"/>
    <w:rsid w:val="005E46CD"/>
    <w:rsid w:val="005F1441"/>
    <w:rsid w:val="005F7935"/>
    <w:rsid w:val="0060555B"/>
    <w:rsid w:val="00606E4A"/>
    <w:rsid w:val="00617B4F"/>
    <w:rsid w:val="0062521C"/>
    <w:rsid w:val="00625923"/>
    <w:rsid w:val="00633F38"/>
    <w:rsid w:val="0065738E"/>
    <w:rsid w:val="00657769"/>
    <w:rsid w:val="0066231C"/>
    <w:rsid w:val="0066289A"/>
    <w:rsid w:val="00666A92"/>
    <w:rsid w:val="00674464"/>
    <w:rsid w:val="00674F12"/>
    <w:rsid w:val="0068567E"/>
    <w:rsid w:val="006978FC"/>
    <w:rsid w:val="006A0D10"/>
    <w:rsid w:val="006B2B2F"/>
    <w:rsid w:val="006B7043"/>
    <w:rsid w:val="006C2753"/>
    <w:rsid w:val="006D336E"/>
    <w:rsid w:val="006E1EFE"/>
    <w:rsid w:val="006E4966"/>
    <w:rsid w:val="00723653"/>
    <w:rsid w:val="0073125C"/>
    <w:rsid w:val="00736263"/>
    <w:rsid w:val="0075632A"/>
    <w:rsid w:val="007579FE"/>
    <w:rsid w:val="00762E41"/>
    <w:rsid w:val="00763E13"/>
    <w:rsid w:val="0076536C"/>
    <w:rsid w:val="00772E0D"/>
    <w:rsid w:val="0077429B"/>
    <w:rsid w:val="0077542E"/>
    <w:rsid w:val="007816AF"/>
    <w:rsid w:val="00783C6D"/>
    <w:rsid w:val="00787F27"/>
    <w:rsid w:val="007B0827"/>
    <w:rsid w:val="007B144C"/>
    <w:rsid w:val="007B588A"/>
    <w:rsid w:val="007C16B9"/>
    <w:rsid w:val="007C216F"/>
    <w:rsid w:val="007D1D53"/>
    <w:rsid w:val="00803747"/>
    <w:rsid w:val="00807F37"/>
    <w:rsid w:val="00817254"/>
    <w:rsid w:val="00817348"/>
    <w:rsid w:val="00824857"/>
    <w:rsid w:val="00831096"/>
    <w:rsid w:val="00837E85"/>
    <w:rsid w:val="00864DDA"/>
    <w:rsid w:val="00870D4C"/>
    <w:rsid w:val="00875E02"/>
    <w:rsid w:val="00882237"/>
    <w:rsid w:val="0089447C"/>
    <w:rsid w:val="008A55C8"/>
    <w:rsid w:val="008A6DC7"/>
    <w:rsid w:val="008A7348"/>
    <w:rsid w:val="008C07A7"/>
    <w:rsid w:val="008C277E"/>
    <w:rsid w:val="008C3B58"/>
    <w:rsid w:val="008C51AA"/>
    <w:rsid w:val="008D023F"/>
    <w:rsid w:val="008D4A87"/>
    <w:rsid w:val="008D4AB6"/>
    <w:rsid w:val="008D71BB"/>
    <w:rsid w:val="008D7800"/>
    <w:rsid w:val="008E0353"/>
    <w:rsid w:val="008E0412"/>
    <w:rsid w:val="00905645"/>
    <w:rsid w:val="009063CF"/>
    <w:rsid w:val="00933E04"/>
    <w:rsid w:val="00955F28"/>
    <w:rsid w:val="00977AFC"/>
    <w:rsid w:val="00981A8D"/>
    <w:rsid w:val="009865B3"/>
    <w:rsid w:val="00990AB5"/>
    <w:rsid w:val="00991DD8"/>
    <w:rsid w:val="009939F5"/>
    <w:rsid w:val="00993CD1"/>
    <w:rsid w:val="00994878"/>
    <w:rsid w:val="009A3F58"/>
    <w:rsid w:val="009A4756"/>
    <w:rsid w:val="009A4AEF"/>
    <w:rsid w:val="009B027F"/>
    <w:rsid w:val="009B446F"/>
    <w:rsid w:val="009D29ED"/>
    <w:rsid w:val="009D319C"/>
    <w:rsid w:val="009F657C"/>
    <w:rsid w:val="00A01DA4"/>
    <w:rsid w:val="00A05E1B"/>
    <w:rsid w:val="00A05F7D"/>
    <w:rsid w:val="00A13BCA"/>
    <w:rsid w:val="00A24501"/>
    <w:rsid w:val="00A304AB"/>
    <w:rsid w:val="00A31FD7"/>
    <w:rsid w:val="00A358C0"/>
    <w:rsid w:val="00A3654A"/>
    <w:rsid w:val="00A41F39"/>
    <w:rsid w:val="00A43DA5"/>
    <w:rsid w:val="00A502CB"/>
    <w:rsid w:val="00A546CE"/>
    <w:rsid w:val="00A5564E"/>
    <w:rsid w:val="00A559DF"/>
    <w:rsid w:val="00A615AC"/>
    <w:rsid w:val="00A6680F"/>
    <w:rsid w:val="00A700BF"/>
    <w:rsid w:val="00A755EB"/>
    <w:rsid w:val="00A91124"/>
    <w:rsid w:val="00A971D7"/>
    <w:rsid w:val="00AA7281"/>
    <w:rsid w:val="00AC422F"/>
    <w:rsid w:val="00AC5F11"/>
    <w:rsid w:val="00AD09FA"/>
    <w:rsid w:val="00AD291F"/>
    <w:rsid w:val="00AD3568"/>
    <w:rsid w:val="00AD505D"/>
    <w:rsid w:val="00AD79DD"/>
    <w:rsid w:val="00AE30BF"/>
    <w:rsid w:val="00AE671A"/>
    <w:rsid w:val="00AF398D"/>
    <w:rsid w:val="00AF5D23"/>
    <w:rsid w:val="00B038DB"/>
    <w:rsid w:val="00B05C6A"/>
    <w:rsid w:val="00B24639"/>
    <w:rsid w:val="00B24E58"/>
    <w:rsid w:val="00B36DB7"/>
    <w:rsid w:val="00B43012"/>
    <w:rsid w:val="00B4424E"/>
    <w:rsid w:val="00B55FF6"/>
    <w:rsid w:val="00B64362"/>
    <w:rsid w:val="00B6571D"/>
    <w:rsid w:val="00B70287"/>
    <w:rsid w:val="00B818BA"/>
    <w:rsid w:val="00BA05A3"/>
    <w:rsid w:val="00BB1FA2"/>
    <w:rsid w:val="00BB7DF5"/>
    <w:rsid w:val="00BC0F3E"/>
    <w:rsid w:val="00BD715C"/>
    <w:rsid w:val="00BE05FD"/>
    <w:rsid w:val="00BE3B39"/>
    <w:rsid w:val="00C03338"/>
    <w:rsid w:val="00C20154"/>
    <w:rsid w:val="00C20C98"/>
    <w:rsid w:val="00C20FE9"/>
    <w:rsid w:val="00C23C5F"/>
    <w:rsid w:val="00C24C1F"/>
    <w:rsid w:val="00C31462"/>
    <w:rsid w:val="00C42817"/>
    <w:rsid w:val="00C43F6A"/>
    <w:rsid w:val="00C63E30"/>
    <w:rsid w:val="00C67553"/>
    <w:rsid w:val="00C76975"/>
    <w:rsid w:val="00C80D60"/>
    <w:rsid w:val="00C87529"/>
    <w:rsid w:val="00C9228A"/>
    <w:rsid w:val="00C9744A"/>
    <w:rsid w:val="00CA60D2"/>
    <w:rsid w:val="00CB5C25"/>
    <w:rsid w:val="00CE2AF1"/>
    <w:rsid w:val="00CF0F79"/>
    <w:rsid w:val="00D1017C"/>
    <w:rsid w:val="00D128A6"/>
    <w:rsid w:val="00D13A33"/>
    <w:rsid w:val="00D33272"/>
    <w:rsid w:val="00D57E41"/>
    <w:rsid w:val="00D62402"/>
    <w:rsid w:val="00D763E8"/>
    <w:rsid w:val="00D80C29"/>
    <w:rsid w:val="00D92981"/>
    <w:rsid w:val="00D93226"/>
    <w:rsid w:val="00DB2847"/>
    <w:rsid w:val="00DB7298"/>
    <w:rsid w:val="00DC0ABE"/>
    <w:rsid w:val="00DC1396"/>
    <w:rsid w:val="00DD4E7F"/>
    <w:rsid w:val="00DE67C8"/>
    <w:rsid w:val="00DE6AAC"/>
    <w:rsid w:val="00E03C65"/>
    <w:rsid w:val="00E06E2C"/>
    <w:rsid w:val="00E14E05"/>
    <w:rsid w:val="00E17B1A"/>
    <w:rsid w:val="00E2308A"/>
    <w:rsid w:val="00E24E62"/>
    <w:rsid w:val="00E452CE"/>
    <w:rsid w:val="00E55649"/>
    <w:rsid w:val="00E63159"/>
    <w:rsid w:val="00E66D28"/>
    <w:rsid w:val="00E70C40"/>
    <w:rsid w:val="00E86EE4"/>
    <w:rsid w:val="00E9161B"/>
    <w:rsid w:val="00E96B57"/>
    <w:rsid w:val="00EA19D4"/>
    <w:rsid w:val="00EB0958"/>
    <w:rsid w:val="00EB5ED4"/>
    <w:rsid w:val="00EB715B"/>
    <w:rsid w:val="00EC26A8"/>
    <w:rsid w:val="00ED1D13"/>
    <w:rsid w:val="00ED4606"/>
    <w:rsid w:val="00ED5A38"/>
    <w:rsid w:val="00ED65CB"/>
    <w:rsid w:val="00EE0BC2"/>
    <w:rsid w:val="00EF462F"/>
    <w:rsid w:val="00F05495"/>
    <w:rsid w:val="00F06A36"/>
    <w:rsid w:val="00F147BF"/>
    <w:rsid w:val="00F36E6D"/>
    <w:rsid w:val="00F37A4A"/>
    <w:rsid w:val="00F45B8E"/>
    <w:rsid w:val="00F50862"/>
    <w:rsid w:val="00F5143F"/>
    <w:rsid w:val="00F609EA"/>
    <w:rsid w:val="00F61AF3"/>
    <w:rsid w:val="00F65AE4"/>
    <w:rsid w:val="00F7129B"/>
    <w:rsid w:val="00F727EB"/>
    <w:rsid w:val="00F74C4C"/>
    <w:rsid w:val="00F85AE0"/>
    <w:rsid w:val="00F87244"/>
    <w:rsid w:val="00F9692F"/>
    <w:rsid w:val="00FA2479"/>
    <w:rsid w:val="00FA2834"/>
    <w:rsid w:val="00FB1749"/>
    <w:rsid w:val="00FB2167"/>
    <w:rsid w:val="00FB34C4"/>
    <w:rsid w:val="00FB75E4"/>
    <w:rsid w:val="00FC0A45"/>
    <w:rsid w:val="00FC6EA3"/>
    <w:rsid w:val="00FD6618"/>
    <w:rsid w:val="00FE2768"/>
    <w:rsid w:val="00FE298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11870"/>
  <w14:defaultImageDpi w14:val="32767"/>
  <w15:chartTrackingRefBased/>
  <w15:docId w15:val="{CB3028EC-2D88-D042-B187-B8685CEE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1602</Words>
  <Characters>8491</Characters>
  <Application>Microsoft Office Word</Application>
  <DocSecurity>0</DocSecurity>
  <Lines>70</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Olav Toai Duc Nguyen</dc:creator>
  <cp:keywords/>
  <dc:description/>
  <cp:lastModifiedBy>Olav Nguyen</cp:lastModifiedBy>
  <cp:revision>4</cp:revision>
  <dcterms:created xsi:type="dcterms:W3CDTF">2024-05-25T07:28:00Z</dcterms:created>
  <dcterms:modified xsi:type="dcterms:W3CDTF">2024-05-25T08:14:00Z</dcterms:modified>
</cp:coreProperties>
</file>