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327" w:rsidRPr="00091A5E" w:rsidRDefault="00091A5E" w:rsidP="00091A5E">
      <w:pPr>
        <w:spacing w:after="240" w:line="360" w:lineRule="auto"/>
        <w:rPr>
          <w:rFonts w:ascii="Times New Roman" w:hAnsi="Times New Roman" w:cs="Times New Roman"/>
          <w:b/>
          <w:bCs/>
          <w:sz w:val="28"/>
          <w:szCs w:val="28"/>
        </w:rPr>
      </w:pPr>
      <w:r w:rsidRPr="00091A5E">
        <w:rPr>
          <w:rFonts w:ascii="Times New Roman" w:hAnsi="Times New Roman" w:cs="Times New Roman"/>
          <w:b/>
          <w:bCs/>
          <w:sz w:val="28"/>
          <w:szCs w:val="28"/>
        </w:rPr>
        <w:t>A</w:t>
      </w:r>
      <w:r w:rsidRPr="00091A5E">
        <w:rPr>
          <w:rFonts w:ascii="Times New Roman" w:hAnsi="Times New Roman" w:cs="Times New Roman"/>
          <w:b/>
          <w:bCs/>
          <w:sz w:val="28"/>
          <w:szCs w:val="28"/>
        </w:rPr>
        <w:t>ppendix A</w:t>
      </w:r>
    </w:p>
    <w:p w:rsidR="004C3327" w:rsidRPr="00091A5E" w:rsidRDefault="00091A5E" w:rsidP="00091A5E">
      <w:pPr>
        <w:spacing w:after="240" w:line="360" w:lineRule="auto"/>
        <w:rPr>
          <w:rFonts w:ascii="Times New Roman" w:hAnsi="Times New Roman" w:cs="Times New Roman"/>
          <w:sz w:val="28"/>
          <w:szCs w:val="28"/>
        </w:rPr>
      </w:pPr>
      <w:r w:rsidRPr="00091A5E">
        <w:rPr>
          <w:rFonts w:ascii="Times New Roman" w:hAnsi="Times New Roman" w:cs="Times New Roman"/>
          <w:sz w:val="28"/>
          <w:szCs w:val="28"/>
        </w:rPr>
        <w:t>The detailed inclusion and exclusion criteria are as follows:</w:t>
      </w:r>
    </w:p>
    <w:p w:rsidR="004C3327" w:rsidRPr="00091A5E" w:rsidRDefault="00091A5E" w:rsidP="00091A5E">
      <w:pPr>
        <w:spacing w:after="240" w:line="360" w:lineRule="auto"/>
        <w:rPr>
          <w:rFonts w:ascii="Times New Roman" w:eastAsia="SimSun" w:hAnsi="Times New Roman" w:cs="Times New Roman"/>
          <w:sz w:val="28"/>
          <w:szCs w:val="28"/>
        </w:rPr>
      </w:pPr>
      <w:r w:rsidRPr="00091A5E">
        <w:rPr>
          <w:rFonts w:ascii="Times New Roman" w:eastAsia="SimSun" w:hAnsi="Times New Roman" w:cs="Times New Roman"/>
          <w:sz w:val="28"/>
          <w:szCs w:val="28"/>
        </w:rPr>
        <w:t>(1) Inclusion Criteria</w:t>
      </w:r>
      <w:r w:rsidRPr="00091A5E">
        <w:rPr>
          <w:rFonts w:ascii="Times New Roman" w:eastAsia="SimSun" w:hAnsi="Times New Roman" w:cs="Times New Roman"/>
          <w:sz w:val="28"/>
          <w:szCs w:val="28"/>
        </w:rPr>
        <w:fldChar w:fldCharType="begin"/>
      </w:r>
      <w:r w:rsidRPr="00091A5E">
        <w:rPr>
          <w:rFonts w:ascii="Times New Roman" w:eastAsia="SimSun" w:hAnsi="Times New Roman" w:cs="Times New Roman"/>
          <w:sz w:val="28"/>
          <w:szCs w:val="28"/>
        </w:rPr>
        <w:instrText xml:space="preserve"> ADDIN EN.CITE &lt;EndNote&gt;&lt;Cite&gt;&lt;Author&gt;Benson 3rd&lt;/Author&gt;&lt;Year&gt;2009&lt;/Year&gt;&lt;RecNum&gt;454&lt;/RecNum&gt;&lt;DisplayText&gt;&lt;style face="superscript"&gt;[1]&lt;/style&gt;&lt;/DisplayText&gt;&lt;</w:instrText>
      </w:r>
      <w:r w:rsidRPr="00091A5E">
        <w:rPr>
          <w:rFonts w:ascii="Times New Roman" w:eastAsia="SimSun" w:hAnsi="Times New Roman" w:cs="Times New Roman"/>
          <w:sz w:val="28"/>
          <w:szCs w:val="28"/>
        </w:rPr>
        <w:instrText>record&gt;&lt;rec-number&gt;454&lt;/rec-number&gt;&lt;foreign-keys&gt;&lt;key app="EN" db-id="rrtztvx0wwf00pewdsupss0frdapezazf25d" timestamp="1696248877"&gt;454&lt;/key&gt;&lt;/foreign-keys&gt;&lt;ref-type name="Journal Article"&gt;17&lt;/ref-type&gt;&lt;contributors&gt;&lt;authors&gt;&lt;author&gt;Benson 3rd, Al B&lt;/author</w:instrText>
      </w:r>
      <w:r w:rsidRPr="00091A5E">
        <w:rPr>
          <w:rFonts w:ascii="Times New Roman" w:eastAsia="SimSun" w:hAnsi="Times New Roman" w:cs="Times New Roman"/>
          <w:sz w:val="28"/>
          <w:szCs w:val="28"/>
        </w:rPr>
        <w:instrText xml:space="preserve">&gt;&lt;author&gt;Abrams, Thomas A&lt;/author&gt;&lt;author&gt;Ben-Josef, Edgar&lt;/author&gt;&lt;author&gt;Bloomston, P Mark&lt;/author&gt;&lt;author&gt;Botha, Jean F&lt;/author&gt;&lt;author&gt;Clary, Bryan M&lt;/author&gt;&lt;author&gt;Covey, Anne&lt;/author&gt;&lt;author&gt;Curley, Steven A&lt;/author&gt;&lt;author&gt;D&amp;apos;Angelica, Michael </w:instrText>
      </w:r>
      <w:r w:rsidRPr="00091A5E">
        <w:rPr>
          <w:rFonts w:ascii="Times New Roman" w:eastAsia="SimSun" w:hAnsi="Times New Roman" w:cs="Times New Roman"/>
          <w:sz w:val="28"/>
          <w:szCs w:val="28"/>
        </w:rPr>
        <w:instrText>I&lt;/author&gt;&lt;author&gt;Davila, Rene&lt;/author&gt;&lt;/authors&gt;&lt;/contributors&gt;&lt;titles&gt;&lt;title&gt;NCCN clinical practice guidelines in oncology: hepatobiliary cancers&lt;/title&gt;&lt;secondary-title&gt;Journal of the National Comprehensive Cancer Network: JNCCN&lt;/secondary-title&gt;&lt;/title</w:instrText>
      </w:r>
      <w:r w:rsidRPr="00091A5E">
        <w:rPr>
          <w:rFonts w:ascii="Times New Roman" w:eastAsia="SimSun" w:hAnsi="Times New Roman" w:cs="Times New Roman"/>
          <w:sz w:val="28"/>
          <w:szCs w:val="28"/>
        </w:rPr>
        <w:instrText>s&gt;&lt;periodical&gt;&lt;full-title&gt;Journal of the National Comprehensive Cancer Network: JNCCN&lt;/full-title&gt;&lt;/periodical&gt;&lt;pages&gt;350-391&lt;/pages&gt;&lt;volume&gt;7&lt;/volume&gt;&lt;number&gt;4&lt;/number&gt;&lt;dates&gt;&lt;year&gt;2009&lt;/year&gt;&lt;/dates&gt;&lt;isbn&gt;1540-1405&lt;/isbn&gt;&lt;urls&gt;&lt;/urls&gt;&lt;/record&gt;&lt;/Cite&gt;&lt;/En</w:instrText>
      </w:r>
      <w:r w:rsidRPr="00091A5E">
        <w:rPr>
          <w:rFonts w:ascii="Times New Roman" w:eastAsia="SimSun" w:hAnsi="Times New Roman" w:cs="Times New Roman"/>
          <w:sz w:val="28"/>
          <w:szCs w:val="28"/>
        </w:rPr>
        <w:instrText>dNote&gt;</w:instrText>
      </w:r>
      <w:r w:rsidRPr="00091A5E">
        <w:rPr>
          <w:rFonts w:ascii="Times New Roman" w:eastAsia="SimSun" w:hAnsi="Times New Roman" w:cs="Times New Roman"/>
          <w:sz w:val="28"/>
          <w:szCs w:val="28"/>
        </w:rPr>
        <w:fldChar w:fldCharType="separate"/>
      </w:r>
      <w:r w:rsidRPr="00091A5E">
        <w:rPr>
          <w:rFonts w:ascii="Times New Roman" w:eastAsia="SimSun" w:hAnsi="Times New Roman" w:cs="Times New Roman"/>
          <w:sz w:val="28"/>
          <w:szCs w:val="28"/>
          <w:vertAlign w:val="superscript"/>
        </w:rPr>
        <w:t>[1]</w:t>
      </w:r>
      <w:r w:rsidRPr="00091A5E">
        <w:rPr>
          <w:rFonts w:ascii="Times New Roman" w:eastAsia="SimSun" w:hAnsi="Times New Roman" w:cs="Times New Roman"/>
          <w:sz w:val="28"/>
          <w:szCs w:val="28"/>
        </w:rPr>
        <w:fldChar w:fldCharType="end"/>
      </w:r>
      <w:r w:rsidRPr="00091A5E">
        <w:rPr>
          <w:rFonts w:ascii="Times New Roman" w:eastAsia="SimSun" w:hAnsi="Times New Roman" w:cs="Times New Roman"/>
          <w:sz w:val="28"/>
          <w:szCs w:val="28"/>
        </w:rPr>
        <w:t>:</w:t>
      </w:r>
    </w:p>
    <w:p w:rsidR="004C3327" w:rsidRPr="00091A5E" w:rsidRDefault="00091A5E" w:rsidP="00091A5E">
      <w:pPr>
        <w:pStyle w:val="ListParagraph"/>
        <w:numPr>
          <w:ilvl w:val="0"/>
          <w:numId w:val="1"/>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Patients diagnosed primarily with Hepatocellular Carcinoma (HCC), Intrahepatic Cholangiocarcinoma (ICC), or Combined Hepatocellular Cholangiocarcinoma (</w:t>
      </w:r>
      <w:proofErr w:type="spellStart"/>
      <w:r w:rsidRPr="00091A5E">
        <w:rPr>
          <w:rFonts w:ascii="Times New Roman" w:eastAsia="SimSun" w:hAnsi="Times New Roman" w:cs="Times New Roman"/>
          <w:sz w:val="28"/>
          <w:szCs w:val="28"/>
          <w:lang w:eastAsia="zh-CN"/>
        </w:rPr>
        <w:t>cHCC</w:t>
      </w:r>
      <w:proofErr w:type="spellEnd"/>
      <w:r w:rsidRPr="00091A5E">
        <w:rPr>
          <w:rFonts w:ascii="Times New Roman" w:eastAsia="SimSun" w:hAnsi="Times New Roman" w:cs="Times New Roman"/>
          <w:sz w:val="28"/>
          <w:szCs w:val="28"/>
          <w:lang w:eastAsia="zh-CN"/>
        </w:rPr>
        <w:t>-CCA).</w:t>
      </w:r>
    </w:p>
    <w:p w:rsidR="004C3327" w:rsidRPr="00091A5E" w:rsidRDefault="00091A5E" w:rsidP="00091A5E">
      <w:pPr>
        <w:pStyle w:val="ListParagraph"/>
        <w:numPr>
          <w:ilvl w:val="0"/>
          <w:numId w:val="1"/>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Age 18 and above, with no gender restrictions.</w:t>
      </w:r>
    </w:p>
    <w:p w:rsidR="004C3327" w:rsidRPr="00091A5E" w:rsidRDefault="00091A5E" w:rsidP="00091A5E">
      <w:pPr>
        <w:pStyle w:val="ListParagraph"/>
        <w:numPr>
          <w:ilvl w:val="0"/>
          <w:numId w:val="1"/>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Patients with liver space-occupy</w:t>
      </w:r>
      <w:r w:rsidRPr="00091A5E">
        <w:rPr>
          <w:rFonts w:ascii="Times New Roman" w:eastAsia="SimSun" w:hAnsi="Times New Roman" w:cs="Times New Roman"/>
          <w:sz w:val="28"/>
          <w:szCs w:val="28"/>
          <w:lang w:eastAsia="zh-CN"/>
        </w:rPr>
        <w:t>ing lesions and this hospitalization includes surgical resection specimens or biopsy specimens that, upon pathological histology and/or cytology examination, are diagnosed as liver cancer, with morphology codes as follows: M81800/3: Combined Hepatocellular</w:t>
      </w:r>
      <w:r w:rsidRPr="00091A5E">
        <w:rPr>
          <w:rFonts w:ascii="Times New Roman" w:eastAsia="SimSun" w:hAnsi="Times New Roman" w:cs="Times New Roman"/>
          <w:sz w:val="28"/>
          <w:szCs w:val="28"/>
          <w:lang w:eastAsia="zh-CN"/>
        </w:rPr>
        <w:t xml:space="preserve"> Cholangiocarcinoma, M81600/3: Intrahepatic Cholangiocarcinoma, M81700/3: Hepatocellular Carcinoma.</w:t>
      </w:r>
    </w:p>
    <w:p w:rsidR="004C3327" w:rsidRPr="00091A5E" w:rsidRDefault="00091A5E" w:rsidP="00091A5E">
      <w:pPr>
        <w:spacing w:after="240" w:line="360" w:lineRule="auto"/>
        <w:rPr>
          <w:rFonts w:ascii="Times New Roman" w:eastAsia="SimSun" w:hAnsi="Times New Roman" w:cs="Times New Roman"/>
          <w:sz w:val="28"/>
          <w:szCs w:val="28"/>
        </w:rPr>
      </w:pPr>
      <w:r w:rsidRPr="00091A5E">
        <w:rPr>
          <w:rFonts w:ascii="Times New Roman" w:eastAsia="SimSun" w:hAnsi="Times New Roman" w:cs="Times New Roman"/>
          <w:sz w:val="28"/>
          <w:szCs w:val="28"/>
        </w:rPr>
        <w:t>(2) Exclusion Criteria:</w:t>
      </w:r>
    </w:p>
    <w:p w:rsidR="004C3327" w:rsidRPr="00091A5E" w:rsidRDefault="00091A5E" w:rsidP="00091A5E">
      <w:pPr>
        <w:pStyle w:val="ListParagraph"/>
        <w:numPr>
          <w:ilvl w:val="0"/>
          <w:numId w:val="2"/>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Clearly diagnosed non-primary liver cancers, including liver cysts, liver hemangiomas, etc.</w:t>
      </w:r>
    </w:p>
    <w:p w:rsidR="004C3327" w:rsidRPr="00091A5E" w:rsidRDefault="00091A5E" w:rsidP="00091A5E">
      <w:pPr>
        <w:pStyle w:val="ListParagraph"/>
        <w:numPr>
          <w:ilvl w:val="0"/>
          <w:numId w:val="2"/>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Patients with confirmed primary liver ca</w:t>
      </w:r>
      <w:r w:rsidRPr="00091A5E">
        <w:rPr>
          <w:rFonts w:ascii="Times New Roman" w:eastAsia="SimSun" w:hAnsi="Times New Roman" w:cs="Times New Roman"/>
          <w:sz w:val="28"/>
          <w:szCs w:val="28"/>
          <w:lang w:eastAsia="zh-CN"/>
        </w:rPr>
        <w:t>ncer who have undergone any relevant tumor-related treatments before inclusion in the study.</w:t>
      </w:r>
    </w:p>
    <w:p w:rsidR="004C3327" w:rsidRPr="00091A5E" w:rsidRDefault="00091A5E" w:rsidP="00091A5E">
      <w:pPr>
        <w:pStyle w:val="ListParagraph"/>
        <w:numPr>
          <w:ilvl w:val="0"/>
          <w:numId w:val="2"/>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lastRenderedPageBreak/>
        <w:t>Presence of primary malignant tumors in other systems of the body, including leukemia and lymphoma in the hematologic system.</w:t>
      </w:r>
    </w:p>
    <w:p w:rsidR="004C3327" w:rsidRPr="00091A5E" w:rsidRDefault="00091A5E" w:rsidP="00091A5E">
      <w:pPr>
        <w:pStyle w:val="ListParagraph"/>
        <w:numPr>
          <w:ilvl w:val="0"/>
          <w:numId w:val="2"/>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Presence of diseases such as hemochro</w:t>
      </w:r>
      <w:r w:rsidRPr="00091A5E">
        <w:rPr>
          <w:rFonts w:ascii="Times New Roman" w:eastAsia="SimSun" w:hAnsi="Times New Roman" w:cs="Times New Roman"/>
          <w:sz w:val="28"/>
          <w:szCs w:val="28"/>
          <w:lang w:eastAsia="zh-CN"/>
        </w:rPr>
        <w:t xml:space="preserve">matosis, liver cirrhosis, primary biliary cirrhosis, primary </w:t>
      </w:r>
      <w:proofErr w:type="spellStart"/>
      <w:r w:rsidRPr="00091A5E">
        <w:rPr>
          <w:rFonts w:ascii="Times New Roman" w:eastAsia="SimSun" w:hAnsi="Times New Roman" w:cs="Times New Roman"/>
          <w:sz w:val="28"/>
          <w:szCs w:val="28"/>
          <w:lang w:eastAsia="zh-CN"/>
        </w:rPr>
        <w:t>sclerosing</w:t>
      </w:r>
      <w:proofErr w:type="spellEnd"/>
      <w:r w:rsidRPr="00091A5E">
        <w:rPr>
          <w:rFonts w:ascii="Times New Roman" w:eastAsia="SimSun" w:hAnsi="Times New Roman" w:cs="Times New Roman"/>
          <w:sz w:val="28"/>
          <w:szCs w:val="28"/>
          <w:lang w:eastAsia="zh-CN"/>
        </w:rPr>
        <w:t xml:space="preserve"> cholangitis, Budd-Chiari syndrome, schistosomiasis-induced liver fibrosis/cirrhosis, rheumatologic and/or autoimmune diseases.</w:t>
      </w:r>
    </w:p>
    <w:p w:rsidR="004C3327" w:rsidRPr="00091A5E" w:rsidRDefault="00091A5E" w:rsidP="00091A5E">
      <w:pPr>
        <w:pStyle w:val="ListParagraph"/>
        <w:numPr>
          <w:ilvl w:val="0"/>
          <w:numId w:val="2"/>
        </w:numPr>
        <w:spacing w:after="240" w:line="360" w:lineRule="auto"/>
        <w:ind w:firstLineChars="0"/>
        <w:rPr>
          <w:rFonts w:ascii="Times New Roman" w:eastAsia="SimSun" w:hAnsi="Times New Roman" w:cs="Times New Roman"/>
          <w:sz w:val="28"/>
          <w:szCs w:val="28"/>
          <w:lang w:eastAsia="zh-CN"/>
        </w:rPr>
      </w:pPr>
      <w:r w:rsidRPr="00091A5E">
        <w:rPr>
          <w:rFonts w:ascii="Times New Roman" w:eastAsia="SimSun" w:hAnsi="Times New Roman" w:cs="Times New Roman"/>
          <w:sz w:val="28"/>
          <w:szCs w:val="28"/>
          <w:lang w:eastAsia="zh-CN"/>
        </w:rPr>
        <w:t>Severe heart, brain, lung, or kidney diseases.  These exc</w:t>
      </w:r>
      <w:r w:rsidRPr="00091A5E">
        <w:rPr>
          <w:rFonts w:ascii="Times New Roman" w:eastAsia="SimSun" w:hAnsi="Times New Roman" w:cs="Times New Roman"/>
          <w:sz w:val="28"/>
          <w:szCs w:val="28"/>
          <w:lang w:eastAsia="zh-CN"/>
        </w:rPr>
        <w:t>lusion criteria are implemented to ensure the homogeneity and reliability of the study cohort, allowing for a more focused investigation of primary liver cancer cases.</w:t>
      </w:r>
    </w:p>
    <w:p w:rsidR="004C3327" w:rsidRPr="00091A5E" w:rsidRDefault="004C3327" w:rsidP="00091A5E">
      <w:pPr>
        <w:pStyle w:val="ListParagraph"/>
        <w:spacing w:after="240" w:line="360" w:lineRule="auto"/>
        <w:ind w:left="440" w:firstLineChars="0" w:firstLine="0"/>
        <w:rPr>
          <w:rFonts w:ascii="Times New Roman" w:eastAsia="SimSun" w:hAnsi="Times New Roman" w:cs="Times New Roman"/>
          <w:sz w:val="28"/>
          <w:szCs w:val="28"/>
          <w:lang w:eastAsia="zh-CN"/>
        </w:rPr>
      </w:pPr>
      <w:bookmarkStart w:id="0" w:name="_GoBack"/>
      <w:bookmarkEnd w:id="0"/>
    </w:p>
    <w:p w:rsidR="004C3327" w:rsidRPr="00091A5E" w:rsidRDefault="00091A5E" w:rsidP="00091A5E">
      <w:pPr>
        <w:spacing w:after="240" w:line="360" w:lineRule="auto"/>
        <w:rPr>
          <w:rFonts w:ascii="Times New Roman" w:eastAsia="SimSun" w:hAnsi="Times New Roman" w:cs="Times New Roman"/>
          <w:sz w:val="28"/>
          <w:szCs w:val="28"/>
        </w:rPr>
      </w:pPr>
      <w:r w:rsidRPr="00091A5E">
        <w:rPr>
          <w:rFonts w:ascii="Times New Roman" w:hAnsi="Times New Roman" w:cs="Times New Roman"/>
          <w:b/>
          <w:sz w:val="28"/>
          <w:szCs w:val="28"/>
        </w:rPr>
        <w:t>Fig. A1</w:t>
      </w:r>
      <w:r w:rsidRPr="00091A5E">
        <w:rPr>
          <w:rFonts w:ascii="Times New Roman" w:hAnsi="Times New Roman" w:cs="Times New Roman"/>
          <w:sz w:val="28"/>
          <w:szCs w:val="28"/>
        </w:rPr>
        <w:t xml:space="preserve"> provides a description of the inclusion and exclusion process for samples.</w:t>
      </w:r>
    </w:p>
    <w:p w:rsidR="004C3327" w:rsidRPr="00091A5E" w:rsidRDefault="00091A5E" w:rsidP="00091A5E">
      <w:pPr>
        <w:pStyle w:val="ListParagraph"/>
        <w:numPr>
          <w:ilvl w:val="0"/>
          <w:numId w:val="2"/>
        </w:numPr>
        <w:spacing w:after="240" w:line="360" w:lineRule="auto"/>
        <w:ind w:firstLineChars="0"/>
        <w:rPr>
          <w:rFonts w:ascii="Times New Roman" w:hAnsi="Times New Roman" w:cs="Times New Roman"/>
          <w:sz w:val="28"/>
          <w:szCs w:val="28"/>
        </w:rPr>
      </w:pPr>
      <w:r w:rsidRPr="00091A5E">
        <w:rPr>
          <w:rFonts w:ascii="Times New Roman" w:hAnsi="Times New Roman" w:cs="Times New Roman"/>
          <w:noProof/>
          <w:sz w:val="28"/>
          <w:szCs w:val="28"/>
          <w:lang w:val="en-IN" w:eastAsia="en-IN"/>
        </w:rPr>
        <w:drawing>
          <wp:inline distT="0" distB="0" distL="0" distR="0">
            <wp:extent cx="5485765" cy="1925320"/>
            <wp:effectExtent l="0" t="0" r="635" b="0"/>
            <wp:docPr id="20089712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1228"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5918" cy="1925320"/>
                    </a:xfrm>
                    <a:prstGeom prst="rect">
                      <a:avLst/>
                    </a:prstGeom>
                  </pic:spPr>
                </pic:pic>
              </a:graphicData>
            </a:graphic>
          </wp:inline>
        </w:drawing>
      </w:r>
    </w:p>
    <w:p w:rsidR="004C3327" w:rsidRPr="00091A5E" w:rsidRDefault="00091A5E" w:rsidP="00091A5E">
      <w:pPr>
        <w:pStyle w:val="ListParagraph"/>
        <w:numPr>
          <w:ilvl w:val="0"/>
          <w:numId w:val="2"/>
        </w:numPr>
        <w:spacing w:after="240" w:line="360" w:lineRule="auto"/>
        <w:ind w:firstLineChars="0"/>
        <w:rPr>
          <w:rFonts w:ascii="Times New Roman" w:hAnsi="Times New Roman" w:cs="Times New Roman"/>
          <w:sz w:val="28"/>
          <w:szCs w:val="28"/>
        </w:rPr>
      </w:pPr>
      <w:r w:rsidRPr="00091A5E">
        <w:rPr>
          <w:rFonts w:ascii="Times New Roman" w:hAnsi="Times New Roman" w:cs="Times New Roman"/>
          <w:b/>
          <w:sz w:val="28"/>
          <w:szCs w:val="28"/>
        </w:rPr>
        <w:t>Fig A1</w:t>
      </w:r>
      <w:r w:rsidRPr="00091A5E">
        <w:rPr>
          <w:rFonts w:ascii="Times New Roman" w:hAnsi="Times New Roman" w:cs="Times New Roman"/>
          <w:sz w:val="28"/>
          <w:szCs w:val="28"/>
        </w:rPr>
        <w:t xml:space="preserve">. Subfigure A illustrates the inclusion and exclusion process for HCC or ICC patients, while Subfigure B illustrates the inclusion </w:t>
      </w:r>
      <w:r w:rsidRPr="00091A5E">
        <w:rPr>
          <w:rFonts w:ascii="Times New Roman" w:hAnsi="Times New Roman" w:cs="Times New Roman"/>
          <w:sz w:val="28"/>
          <w:szCs w:val="28"/>
        </w:rPr>
        <w:lastRenderedPageBreak/>
        <w:t>and exclusion process for normal subjects.</w:t>
      </w: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b/>
          <w:bCs/>
          <w:sz w:val="28"/>
          <w:szCs w:val="28"/>
        </w:rPr>
      </w:pPr>
      <w:r w:rsidRPr="00091A5E">
        <w:rPr>
          <w:rFonts w:ascii="Times New Roman" w:hAnsi="Times New Roman" w:cs="Times New Roman"/>
          <w:b/>
          <w:bCs/>
          <w:sz w:val="28"/>
          <w:szCs w:val="28"/>
        </w:rPr>
        <w:t>A</w:t>
      </w:r>
      <w:r w:rsidRPr="00091A5E">
        <w:rPr>
          <w:rFonts w:ascii="Times New Roman" w:hAnsi="Times New Roman" w:cs="Times New Roman"/>
          <w:b/>
          <w:bCs/>
          <w:sz w:val="28"/>
          <w:szCs w:val="28"/>
        </w:rPr>
        <w:t>ppendix B</w:t>
      </w: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sz w:val="28"/>
          <w:szCs w:val="28"/>
        </w:rPr>
      </w:pPr>
      <w:r w:rsidRPr="00091A5E">
        <w:rPr>
          <w:rFonts w:ascii="Times New Roman" w:hAnsi="Times New Roman" w:cs="Times New Roman"/>
          <w:b/>
          <w:bCs/>
          <w:sz w:val="28"/>
          <w:szCs w:val="28"/>
        </w:rPr>
        <w:t>Table B1</w:t>
      </w:r>
      <w:r w:rsidRPr="00091A5E">
        <w:rPr>
          <w:rFonts w:ascii="Times New Roman" w:hAnsi="Times New Roman" w:cs="Times New Roman"/>
          <w:sz w:val="28"/>
          <w:szCs w:val="28"/>
        </w:rPr>
        <w:t>. Performance test results of H-LSTM model on single-ph</w:t>
      </w:r>
      <w:r w:rsidRPr="00091A5E">
        <w:rPr>
          <w:rFonts w:ascii="Times New Roman" w:hAnsi="Times New Roman" w:cs="Times New Roman"/>
          <w:sz w:val="28"/>
          <w:szCs w:val="28"/>
        </w:rPr>
        <w:t>ase CECT Images</w:t>
      </w:r>
    </w:p>
    <w:tbl>
      <w:tblPr>
        <w:tblW w:w="5000" w:type="pct"/>
        <w:tblBorders>
          <w:top w:val="single" w:sz="4" w:space="0" w:color="auto"/>
          <w:bottom w:val="single" w:sz="4" w:space="0" w:color="auto"/>
        </w:tblBorders>
        <w:tblLook w:val="04A0" w:firstRow="1" w:lastRow="0" w:firstColumn="1" w:lastColumn="0" w:noHBand="0" w:noVBand="1"/>
      </w:tblPr>
      <w:tblGrid>
        <w:gridCol w:w="622"/>
        <w:gridCol w:w="586"/>
        <w:gridCol w:w="1219"/>
        <w:gridCol w:w="1219"/>
        <w:gridCol w:w="1219"/>
        <w:gridCol w:w="1219"/>
        <w:gridCol w:w="1219"/>
        <w:gridCol w:w="1219"/>
      </w:tblGrid>
      <w:tr w:rsidR="00091A5E" w:rsidRPr="00091A5E">
        <w:trPr>
          <w:trHeight w:val="276"/>
        </w:trPr>
        <w:tc>
          <w:tcPr>
            <w:tcW w:w="36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Phase</w:t>
            </w:r>
          </w:p>
        </w:tc>
        <w:tc>
          <w:tcPr>
            <w:tcW w:w="344"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Class</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Accuracy</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Recall</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Precision</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F1</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AUROC</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AUPRC</w:t>
            </w:r>
          </w:p>
        </w:tc>
      </w:tr>
      <w:tr w:rsidR="00091A5E" w:rsidRPr="00091A5E">
        <w:trPr>
          <w:trHeight w:val="276"/>
        </w:trPr>
        <w:tc>
          <w:tcPr>
            <w:tcW w:w="36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P</w:t>
            </w:r>
          </w:p>
        </w:tc>
        <w:tc>
          <w:tcPr>
            <w:tcW w:w="344"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0.92(0.85,0.98)</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0.81(0.64,1.00)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0.93(0.78,1.00)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0.87(0.75,0.97)</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0.99(0.97,1.00)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0.97(0.89,1.00)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0.92(0.85,0.98)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0.82(0.61,0.96)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0.90(0.76,0.98)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0.95(0.90,1.00)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0.90(0.73,0.99)</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0.79(0.69,0.88)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0.39(0.17,0.60)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0.56(0.29,0.75)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0.84(0.68,0.96)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0.85(0.70,0.97)</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0.73(0.62,0.85)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0.73(0.63,0.82)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0.92(0.83,0.97)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0.78(0.67,0.88)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0.84(0.85,0.99)</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0.74(0.81,0.98)</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C1</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0.85(0.74,0.94)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0.56(0.31,0.80)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0.90(0.64,1.00)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0.69(0.44,0.88)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0.98(0.93,1.00)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0.92(0.74,1.00)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w:t>
            </w:r>
            <w:r w:rsidRPr="00091A5E">
              <w:rPr>
                <w:rFonts w:ascii="Times New Roman" w:eastAsia="DengXian" w:hAnsi="Times New Roman" w:cs="Times New Roman"/>
                <w:kern w:val="0"/>
                <w:sz w:val="28"/>
                <w:szCs w:val="28"/>
              </w:rPr>
              <w:lastRenderedPageBreak/>
              <w:t>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0.91(0.81,0.98)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0.89(0.73,1.00)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0.84(0.67,1.00)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0.86(0.70,0.97)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0.96(0.90,1.00)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0.91(0.76,1.00)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0.79(0.68,0.91)</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0.42(0.19,0.70)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0.59(0.32,0.82)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0.85(0.71,0.97)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0.87(0.75,0.98)</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0.62(0.49,0.74)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0.62(0.50,0.76)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0.91(0.83,0.98)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0.72(0.59,0.82)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0.79(0.88,0.98)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0.68(0.82,0.98)</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C2</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0.83(0.74,0.92)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0.44(0.19,0.70)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0.61(0.32,0.82)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0.99(0.97,1.00)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0.98(0.92,1.00)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0.92(0.85,0.98)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0.94(0.83,1.00)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0.85(0.71,1.00)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0.89(0.79,0.97)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0.97(0.93,1.00)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0.93(0.84,1.00)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0.75(0.64,0.87)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0.32(0.09,0.56)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0.48(0.17,0.72)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0.88(0.76,0.98)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0.90(0.76,0.98)</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0.57(0.43,0.70)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0.57(0.44,0.68)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0.95(0.89,1.00)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0.66(0.53,0.78)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0.77(0.89,0.99)</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0.66(0.87,0.99)</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C3</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0.75(0.53,1.00)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0.86(0.70,1.00)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0.99(0.97,1.00)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0.98(0.92,1.00)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0.96(0.91,1.00)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0.90(0.75,1.00)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0.95(0.86,1.00)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0.98(0.93,1.00)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0.95(0.84,1.00)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0.74(0.64,0.83)</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0.26(0.05,0.48)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0.42(0.10,0.65)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0.92(0.82,1.00)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t>0.93(0.83,1.00)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w:t>
            </w:r>
            <w:r w:rsidRPr="00091A5E">
              <w:rPr>
                <w:rFonts w:ascii="Times New Roman" w:eastAsia="DengXian" w:hAnsi="Times New Roman" w:cs="Times New Roman"/>
                <w:kern w:val="0"/>
                <w:sz w:val="28"/>
                <w:szCs w:val="28"/>
              </w:rPr>
              <w:lastRenderedPageBreak/>
              <w:t>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0.66(0.5</w:t>
            </w:r>
            <w:r w:rsidRPr="00091A5E">
              <w:rPr>
                <w:rFonts w:ascii="Times New Roman" w:eastAsia="DengXian" w:hAnsi="Times New Roman" w:cs="Times New Roman"/>
                <w:sz w:val="28"/>
                <w:szCs w:val="28"/>
              </w:rPr>
              <w:lastRenderedPageBreak/>
              <w:t>1,0.77)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0.67(0.5</w:t>
            </w:r>
            <w:r w:rsidRPr="00091A5E">
              <w:rPr>
                <w:rFonts w:ascii="Times New Roman" w:eastAsia="DengXian" w:hAnsi="Times New Roman" w:cs="Times New Roman"/>
                <w:sz w:val="28"/>
                <w:szCs w:val="28"/>
              </w:rPr>
              <w:lastRenderedPageBreak/>
              <w:t>6,0.77)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0.97(0.9</w:t>
            </w:r>
            <w:r w:rsidRPr="00091A5E">
              <w:rPr>
                <w:rFonts w:ascii="Times New Roman" w:eastAsia="DengXian" w:hAnsi="Times New Roman" w:cs="Times New Roman"/>
                <w:sz w:val="28"/>
                <w:szCs w:val="28"/>
              </w:rPr>
              <w:lastRenderedPageBreak/>
              <w:t>2,1.00)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0.74(0.6</w:t>
            </w:r>
            <w:r w:rsidRPr="00091A5E">
              <w:rPr>
                <w:rFonts w:ascii="Times New Roman" w:eastAsia="DengXian" w:hAnsi="Times New Roman" w:cs="Times New Roman"/>
                <w:sz w:val="28"/>
                <w:szCs w:val="28"/>
              </w:rPr>
              <w:lastRenderedPageBreak/>
              <w:t>1,0.84)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0.83(0.9</w:t>
            </w:r>
            <w:r w:rsidRPr="00091A5E">
              <w:rPr>
                <w:rFonts w:ascii="Times New Roman" w:eastAsia="DengXian" w:hAnsi="Times New Roman" w:cs="Times New Roman"/>
                <w:sz w:val="28"/>
                <w:szCs w:val="28"/>
              </w:rPr>
              <w:lastRenderedPageBreak/>
              <w:t>2,1.00)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sz w:val="28"/>
                <w:szCs w:val="28"/>
              </w:rPr>
              <w:lastRenderedPageBreak/>
              <w:t>0.75(0.8</w:t>
            </w:r>
            <w:r w:rsidRPr="00091A5E">
              <w:rPr>
                <w:rFonts w:ascii="Times New Roman" w:eastAsia="DengXian" w:hAnsi="Times New Roman" w:cs="Times New Roman"/>
                <w:sz w:val="28"/>
                <w:szCs w:val="28"/>
              </w:rPr>
              <w:lastRenderedPageBreak/>
              <w:t>8,1.00)</w:t>
            </w:r>
          </w:p>
        </w:tc>
      </w:tr>
    </w:tbl>
    <w:p w:rsidR="004C3327" w:rsidRPr="00091A5E" w:rsidRDefault="004C3327" w:rsidP="00091A5E">
      <w:pPr>
        <w:spacing w:line="360" w:lineRule="auto"/>
        <w:rPr>
          <w:rFonts w:ascii="Times New Roman" w:hAnsi="Times New Roman" w:cs="Times New Roman"/>
          <w:sz w:val="28"/>
          <w:szCs w:val="28"/>
        </w:rPr>
      </w:pP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sz w:val="28"/>
          <w:szCs w:val="28"/>
        </w:rPr>
      </w:pPr>
      <w:r w:rsidRPr="00091A5E">
        <w:rPr>
          <w:rFonts w:ascii="Times New Roman" w:hAnsi="Times New Roman" w:cs="Times New Roman"/>
          <w:b/>
          <w:bCs/>
          <w:sz w:val="28"/>
          <w:szCs w:val="28"/>
        </w:rPr>
        <w:t>Table B2</w:t>
      </w:r>
      <w:r w:rsidRPr="00091A5E">
        <w:rPr>
          <w:rFonts w:ascii="Times New Roman" w:hAnsi="Times New Roman" w:cs="Times New Roman"/>
          <w:sz w:val="28"/>
          <w:szCs w:val="28"/>
        </w:rPr>
        <w:t xml:space="preserve">. Test Set Performance of the H-LSTM Model </w:t>
      </w:r>
      <w:r w:rsidRPr="00091A5E">
        <w:rPr>
          <w:rFonts w:ascii="Times New Roman" w:hAnsi="Times New Roman" w:cs="Times New Roman"/>
          <w:sz w:val="28"/>
          <w:szCs w:val="28"/>
        </w:rPr>
        <w:t>Trained Specifically with Single-Phase CECT Images</w:t>
      </w:r>
    </w:p>
    <w:tbl>
      <w:tblPr>
        <w:tblW w:w="5000" w:type="pct"/>
        <w:tblBorders>
          <w:top w:val="single" w:sz="4" w:space="0" w:color="auto"/>
          <w:bottom w:val="single" w:sz="4" w:space="0" w:color="auto"/>
        </w:tblBorders>
        <w:tblLook w:val="04A0" w:firstRow="1" w:lastRow="0" w:firstColumn="1" w:lastColumn="0" w:noHBand="0" w:noVBand="1"/>
      </w:tblPr>
      <w:tblGrid>
        <w:gridCol w:w="622"/>
        <w:gridCol w:w="586"/>
        <w:gridCol w:w="1219"/>
        <w:gridCol w:w="1219"/>
        <w:gridCol w:w="1219"/>
        <w:gridCol w:w="1219"/>
        <w:gridCol w:w="1219"/>
        <w:gridCol w:w="1219"/>
      </w:tblGrid>
      <w:tr w:rsidR="00091A5E" w:rsidRPr="00091A5E">
        <w:trPr>
          <w:trHeight w:val="276"/>
        </w:trPr>
        <w:tc>
          <w:tcPr>
            <w:tcW w:w="36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Phase</w:t>
            </w:r>
          </w:p>
        </w:tc>
        <w:tc>
          <w:tcPr>
            <w:tcW w:w="344"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Class</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Accuracy</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Recall</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Precision</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F1</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AUROC</w:t>
            </w:r>
          </w:p>
        </w:tc>
        <w:tc>
          <w:tcPr>
            <w:tcW w:w="715" w:type="pct"/>
            <w:tcBorders>
              <w:top w:val="single" w:sz="4" w:space="0" w:color="auto"/>
              <w:bottom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b/>
                <w:bCs/>
                <w:kern w:val="0"/>
                <w:sz w:val="28"/>
                <w:szCs w:val="28"/>
              </w:rPr>
            </w:pPr>
            <w:r w:rsidRPr="00091A5E">
              <w:rPr>
                <w:rFonts w:ascii="Times New Roman" w:eastAsia="DengXian" w:hAnsi="Times New Roman" w:cs="Times New Roman"/>
                <w:b/>
                <w:bCs/>
                <w:kern w:val="0"/>
                <w:sz w:val="28"/>
                <w:szCs w:val="28"/>
              </w:rPr>
              <w:t>AUPRC</w:t>
            </w:r>
          </w:p>
        </w:tc>
      </w:tr>
      <w:tr w:rsidR="00091A5E" w:rsidRPr="00091A5E">
        <w:trPr>
          <w:trHeight w:val="276"/>
        </w:trPr>
        <w:tc>
          <w:tcPr>
            <w:tcW w:w="36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P</w:t>
            </w:r>
          </w:p>
        </w:tc>
        <w:tc>
          <w:tcPr>
            <w:tcW w:w="344"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0.92(0.85,1.00)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1.00(1.00,1.00)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0.80(0.63,1.00)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0.89(0.77,1.00)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0.98(0.93,1.00)</w:t>
            </w:r>
          </w:p>
        </w:tc>
        <w:tc>
          <w:tcPr>
            <w:tcW w:w="715" w:type="pct"/>
            <w:tcBorders>
              <w:top w:val="single" w:sz="4" w:space="0" w:color="auto"/>
            </w:tcBorders>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0.95(0.86,1.00)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0.87(0.77,0.96)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0.78(0.56,0.95)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0.82(0.68,1.00)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0.80(0.64,0.94)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0.94(0.88,1.00)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0.80(0.65,1.00)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0.87(0.77,0.96)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0.72(0.50,0.94)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0.87(0.67,1.00)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0.79(0.62,0.94)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0.84(0.70,0.96)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0.83(0.65,0.95)</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0.83(0.71,0.92)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0.83(0.73,0.91)</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0.83(0.72,0.92)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0.83(0.71,0.91)</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0.87(0.84,0.98)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0.75(0.77,0.96)</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C1</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0.96(0.91,1.00)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0.89(0.73,1.00)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0.94(0.85,1.00)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0.99(0.98,1.00)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0.98(0.93,1.00)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0.89(0.81,0.96)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0.78(0.57,0.96)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0.88(0.67,1.00)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0.82(0.67,0.95)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0.83(0.61,1.00)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w:t>
            </w:r>
            <w:r w:rsidRPr="00091A5E">
              <w:rPr>
                <w:rFonts w:ascii="Times New Roman" w:eastAsia="DengXian" w:hAnsi="Times New Roman" w:cs="Times New Roman"/>
                <w:kern w:val="0"/>
                <w:sz w:val="28"/>
                <w:szCs w:val="28"/>
              </w:rPr>
              <w:lastRenderedPageBreak/>
              <w:t>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0.85(0.7</w:t>
            </w:r>
            <w:r w:rsidRPr="00091A5E">
              <w:rPr>
                <w:rFonts w:ascii="Times New Roman" w:eastAsia="DengXian" w:hAnsi="Times New Roman" w:cs="Times New Roman"/>
                <w:kern w:val="0"/>
                <w:sz w:val="28"/>
                <w:szCs w:val="28"/>
              </w:rPr>
              <w:lastRenderedPageBreak/>
              <w:t>5,0.94)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0.79(0.6</w:t>
            </w:r>
            <w:r w:rsidRPr="00091A5E">
              <w:rPr>
                <w:rFonts w:ascii="Times New Roman" w:eastAsia="DengXian" w:hAnsi="Times New Roman" w:cs="Times New Roman"/>
                <w:kern w:val="0"/>
                <w:sz w:val="28"/>
                <w:szCs w:val="28"/>
              </w:rPr>
              <w:lastRenderedPageBreak/>
              <w:t>1,0.94)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0.79(0.6</w:t>
            </w:r>
            <w:r w:rsidRPr="00091A5E">
              <w:rPr>
                <w:rFonts w:ascii="Times New Roman" w:eastAsia="DengXian" w:hAnsi="Times New Roman" w:cs="Times New Roman"/>
                <w:kern w:val="0"/>
                <w:sz w:val="28"/>
                <w:szCs w:val="28"/>
              </w:rPr>
              <w:lastRenderedPageBreak/>
              <w:t>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0.79(0.6</w:t>
            </w:r>
            <w:r w:rsidRPr="00091A5E">
              <w:rPr>
                <w:rFonts w:ascii="Times New Roman" w:eastAsia="DengXian" w:hAnsi="Times New Roman" w:cs="Times New Roman"/>
                <w:kern w:val="0"/>
                <w:sz w:val="28"/>
                <w:szCs w:val="28"/>
              </w:rPr>
              <w:lastRenderedPageBreak/>
              <w:t>1,0.92)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0.88(0.7</w:t>
            </w:r>
            <w:r w:rsidRPr="00091A5E">
              <w:rPr>
                <w:rFonts w:ascii="Times New Roman" w:eastAsia="DengXian" w:hAnsi="Times New Roman" w:cs="Times New Roman"/>
                <w:kern w:val="0"/>
                <w:sz w:val="28"/>
                <w:szCs w:val="28"/>
              </w:rPr>
              <w:lastRenderedPageBreak/>
              <w:t>4,0.98)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lastRenderedPageBreak/>
              <w:t>0.86(0.6</w:t>
            </w:r>
            <w:r w:rsidRPr="00091A5E">
              <w:rPr>
                <w:rFonts w:ascii="Times New Roman" w:eastAsia="DengXian" w:hAnsi="Times New Roman" w:cs="Times New Roman"/>
                <w:kern w:val="0"/>
                <w:sz w:val="28"/>
                <w:szCs w:val="28"/>
              </w:rPr>
              <w:lastRenderedPageBreak/>
              <w:t>9,0.97)</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0.85(0.75,0.96)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0.86(0.76,0.96)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0.85(0.75,0.96)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0.85(0.75,0.96)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0.89(0.87,0.99)</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0.78(0.80,0.98)</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C2</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0.81(0.56,1.00)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0.90(0.72,1.00)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1.00(0.98,1.00)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0.99(0.97,1.00)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0.91(0.81,0.98)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0.94(0.82,1.00)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0.81(0.60,1.00)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0.87(0.73,0.98)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0.81(0.59,1.00)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0.87(0.79,0.94)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0.79(0.61,0.95)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0.83(0.67,1.00)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0.81(0.64,0.92)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0.85(0.73,0.96)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0.88(0.74,0.97)</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0.85(0.74,0.92)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0.85(0.74,0.93)</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0.88(0.79,0.94)</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0.86(0.75,0.93)</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0.89(0.86,0.98)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0.80(0.81,0.98)</w:t>
            </w:r>
          </w:p>
        </w:tc>
      </w:tr>
      <w:tr w:rsidR="00091A5E" w:rsidRPr="00091A5E">
        <w:trPr>
          <w:trHeight w:val="276"/>
        </w:trPr>
        <w:tc>
          <w:tcPr>
            <w:tcW w:w="36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C3</w:t>
            </w: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CN</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0.94(0.87,1.00)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0.84(0.67,1.00)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0.91(0.80,1.00)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0.99(0.96,1.00)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0.97(0.89,1.00)</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HCC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0.87(0.77,0.96)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0.89(0.69,1.00)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0.76(0.58,0.95)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0.82(0.68,0.95)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0.95(0.90,0.99)</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0.90(0.77,0.99)</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ICC</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0.85(0.75,0.91)</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0.58(0.33,0.75)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1.00(1.00,1.00)</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0.73(0.50,0.86)</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0.88(0.75,0.97)</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0.88(0.77,0.96)</w:t>
            </w:r>
          </w:p>
        </w:tc>
      </w:tr>
      <w:tr w:rsidR="00091A5E" w:rsidRPr="00091A5E">
        <w:trPr>
          <w:trHeight w:val="276"/>
        </w:trPr>
        <w:tc>
          <w:tcPr>
            <w:tcW w:w="365" w:type="pct"/>
            <w:shd w:val="clear" w:color="auto" w:fill="auto"/>
            <w:noWrap/>
            <w:vAlign w:val="center"/>
          </w:tcPr>
          <w:p w:rsidR="004C3327" w:rsidRPr="00091A5E" w:rsidRDefault="004C3327" w:rsidP="00091A5E">
            <w:pPr>
              <w:widowControl/>
              <w:spacing w:line="360" w:lineRule="auto"/>
              <w:jc w:val="left"/>
              <w:rPr>
                <w:rFonts w:ascii="Times New Roman" w:eastAsia="DengXian" w:hAnsi="Times New Roman" w:cs="Times New Roman"/>
                <w:kern w:val="0"/>
                <w:sz w:val="28"/>
                <w:szCs w:val="28"/>
              </w:rPr>
            </w:pPr>
          </w:p>
        </w:tc>
        <w:tc>
          <w:tcPr>
            <w:tcW w:w="344"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ALL</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0.81(0.70,0.91)</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0.82(0.72,0.92)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0.87(0.79,0.95)</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0.82(0.70,0.92)</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0.87(0.88,0.98)</w:t>
            </w:r>
          </w:p>
        </w:tc>
        <w:tc>
          <w:tcPr>
            <w:tcW w:w="715" w:type="pct"/>
            <w:shd w:val="clear" w:color="auto" w:fill="auto"/>
            <w:noWrap/>
            <w:vAlign w:val="center"/>
          </w:tcPr>
          <w:p w:rsidR="004C3327" w:rsidRPr="00091A5E" w:rsidRDefault="00091A5E" w:rsidP="00091A5E">
            <w:pPr>
              <w:widowControl/>
              <w:spacing w:line="360" w:lineRule="auto"/>
              <w:jc w:val="left"/>
              <w:rPr>
                <w:rFonts w:ascii="Times New Roman" w:eastAsia="DengXian" w:hAnsi="Times New Roman" w:cs="Times New Roman"/>
                <w:kern w:val="0"/>
                <w:sz w:val="28"/>
                <w:szCs w:val="28"/>
              </w:rPr>
            </w:pPr>
            <w:r w:rsidRPr="00091A5E">
              <w:rPr>
                <w:rFonts w:ascii="Times New Roman" w:eastAsia="DengXian" w:hAnsi="Times New Roman" w:cs="Times New Roman"/>
                <w:kern w:val="0"/>
                <w:sz w:val="28"/>
                <w:szCs w:val="28"/>
              </w:rPr>
              <w:t>0.76(0.84,0.98)</w:t>
            </w:r>
          </w:p>
        </w:tc>
      </w:tr>
    </w:tbl>
    <w:p w:rsidR="004C3327" w:rsidRPr="00091A5E" w:rsidRDefault="004C3327" w:rsidP="00091A5E">
      <w:pPr>
        <w:spacing w:line="360" w:lineRule="auto"/>
        <w:rPr>
          <w:rFonts w:ascii="Times New Roman" w:hAnsi="Times New Roman" w:cs="Times New Roman"/>
          <w:sz w:val="28"/>
          <w:szCs w:val="28"/>
        </w:rPr>
      </w:pP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b/>
          <w:bCs/>
          <w:sz w:val="28"/>
          <w:szCs w:val="28"/>
        </w:rPr>
      </w:pPr>
      <w:r w:rsidRPr="00091A5E">
        <w:rPr>
          <w:rFonts w:ascii="Times New Roman" w:hAnsi="Times New Roman" w:cs="Times New Roman"/>
          <w:b/>
          <w:bCs/>
          <w:sz w:val="28"/>
          <w:szCs w:val="28"/>
        </w:rPr>
        <w:t>A</w:t>
      </w:r>
      <w:r w:rsidRPr="00091A5E">
        <w:rPr>
          <w:rFonts w:ascii="Times New Roman" w:hAnsi="Times New Roman" w:cs="Times New Roman"/>
          <w:b/>
          <w:bCs/>
          <w:sz w:val="28"/>
          <w:szCs w:val="28"/>
        </w:rPr>
        <w:t xml:space="preserve">ppendix </w:t>
      </w:r>
      <w:r w:rsidRPr="00091A5E">
        <w:rPr>
          <w:rFonts w:ascii="Times New Roman" w:hAnsi="Times New Roman" w:cs="Times New Roman"/>
          <w:b/>
          <w:bCs/>
          <w:sz w:val="28"/>
          <w:szCs w:val="28"/>
        </w:rPr>
        <w:t>C</w:t>
      </w: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sz w:val="28"/>
          <w:szCs w:val="28"/>
        </w:rPr>
      </w:pPr>
      <w:r w:rsidRPr="00091A5E">
        <w:rPr>
          <w:rFonts w:ascii="Times New Roman" w:hAnsi="Times New Roman" w:cs="Times New Roman"/>
          <w:b/>
          <w:bCs/>
          <w:sz w:val="28"/>
          <w:szCs w:val="28"/>
        </w:rPr>
        <w:t>Fig. C1</w:t>
      </w:r>
      <w:r w:rsidRPr="00091A5E">
        <w:rPr>
          <w:rFonts w:ascii="Times New Roman" w:hAnsi="Times New Roman" w:cs="Times New Roman"/>
          <w:sz w:val="28"/>
          <w:szCs w:val="28"/>
        </w:rPr>
        <w:t xml:space="preserve"> displays misclassified cases. (a) Misclassification may occur because HCC typically shows significant enhancement during the arterial phase, but some atypically differentiated HCC may also exhibit less pronounced enhancement, similar to ICC during the art</w:t>
      </w:r>
      <w:r w:rsidRPr="00091A5E">
        <w:rPr>
          <w:rFonts w:ascii="Times New Roman" w:hAnsi="Times New Roman" w:cs="Times New Roman"/>
          <w:sz w:val="28"/>
          <w:szCs w:val="28"/>
        </w:rPr>
        <w:t xml:space="preserve">erial phase, leading to potential misjudgment. (b) Misclassification might be due to tumor-specific structures (such as the number of blood vessels in the tumor and the degree of tumor differentiation) and cellular factors. The CT enhancement scans of HCC </w:t>
      </w:r>
      <w:r w:rsidRPr="00091A5E">
        <w:rPr>
          <w:rFonts w:ascii="Times New Roman" w:hAnsi="Times New Roman" w:cs="Times New Roman"/>
          <w:sz w:val="28"/>
          <w:szCs w:val="28"/>
        </w:rPr>
        <w:t>and ICC during the venous and delayed phases can appear similar, increasing the difficulty of differentiation and leading to potential misjudgment. (c) Misclassification might also be attributed to the TCIA public database's HCC-TACE-</w:t>
      </w:r>
      <w:proofErr w:type="spellStart"/>
      <w:r w:rsidRPr="00091A5E">
        <w:rPr>
          <w:rFonts w:ascii="Times New Roman" w:hAnsi="Times New Roman" w:cs="Times New Roman"/>
          <w:sz w:val="28"/>
          <w:szCs w:val="28"/>
        </w:rPr>
        <w:t>Seg</w:t>
      </w:r>
      <w:proofErr w:type="spellEnd"/>
      <w:r w:rsidRPr="00091A5E">
        <w:rPr>
          <w:rFonts w:ascii="Times New Roman" w:hAnsi="Times New Roman" w:cs="Times New Roman"/>
          <w:sz w:val="28"/>
          <w:szCs w:val="28"/>
        </w:rPr>
        <w:t xml:space="preserve"> dataset, mostly co</w:t>
      </w:r>
      <w:r w:rsidRPr="00091A5E">
        <w:rPr>
          <w:rFonts w:ascii="Times New Roman" w:hAnsi="Times New Roman" w:cs="Times New Roman"/>
          <w:sz w:val="28"/>
          <w:szCs w:val="28"/>
        </w:rPr>
        <w:t>mprising CT images collected around the year 2000. The equipment resolution at that time may not sufficiently reveal fine structural details of lesions, impacting the accuracy of diagnosis.</w:t>
      </w:r>
    </w:p>
    <w:p w:rsidR="004C3327" w:rsidRPr="00091A5E" w:rsidRDefault="00091A5E" w:rsidP="00091A5E">
      <w:pPr>
        <w:spacing w:line="360" w:lineRule="auto"/>
        <w:jc w:val="center"/>
        <w:rPr>
          <w:rFonts w:ascii="Times New Roman" w:hAnsi="Times New Roman" w:cs="Times New Roman"/>
          <w:sz w:val="28"/>
          <w:szCs w:val="28"/>
        </w:rPr>
      </w:pPr>
      <w:r w:rsidRPr="00091A5E">
        <w:rPr>
          <w:rFonts w:ascii="Times New Roman" w:hAnsi="Times New Roman" w:cs="Times New Roman"/>
          <w:noProof/>
          <w:sz w:val="28"/>
          <w:szCs w:val="28"/>
          <w:lang w:val="en-IN" w:eastAsia="en-IN"/>
        </w:rPr>
        <w:drawing>
          <wp:inline distT="0" distB="0" distL="0" distR="0">
            <wp:extent cx="4655185" cy="167894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7"/>
                    <a:stretch>
                      <a:fillRect/>
                    </a:stretch>
                  </pic:blipFill>
                  <pic:spPr>
                    <a:xfrm>
                      <a:off x="0" y="0"/>
                      <a:ext cx="4667440" cy="1683560"/>
                    </a:xfrm>
                    <a:prstGeom prst="rect">
                      <a:avLst/>
                    </a:prstGeom>
                  </pic:spPr>
                </pic:pic>
              </a:graphicData>
            </a:graphic>
          </wp:inline>
        </w:drawing>
      </w:r>
    </w:p>
    <w:p w:rsidR="004C3327" w:rsidRPr="00091A5E" w:rsidRDefault="00091A5E" w:rsidP="00091A5E">
      <w:pPr>
        <w:spacing w:line="360" w:lineRule="auto"/>
        <w:rPr>
          <w:rFonts w:ascii="Times New Roman" w:hAnsi="Times New Roman" w:cs="Times New Roman"/>
          <w:sz w:val="28"/>
          <w:szCs w:val="28"/>
        </w:rPr>
      </w:pPr>
      <w:r w:rsidRPr="00091A5E">
        <w:rPr>
          <w:rFonts w:ascii="Times New Roman" w:hAnsi="Times New Roman" w:cs="Times New Roman"/>
          <w:b/>
          <w:bCs/>
          <w:sz w:val="28"/>
          <w:szCs w:val="28"/>
        </w:rPr>
        <w:t>Fig. C1</w:t>
      </w:r>
      <w:r w:rsidRPr="00091A5E">
        <w:rPr>
          <w:rFonts w:ascii="Times New Roman" w:hAnsi="Times New Roman" w:cs="Times New Roman"/>
          <w:sz w:val="28"/>
          <w:szCs w:val="28"/>
        </w:rPr>
        <w:t>. Display of misclassified cases.</w:t>
      </w:r>
    </w:p>
    <w:p w:rsidR="004C3327" w:rsidRPr="00091A5E" w:rsidRDefault="004C3327" w:rsidP="00091A5E">
      <w:pPr>
        <w:spacing w:line="360" w:lineRule="auto"/>
        <w:rPr>
          <w:rFonts w:ascii="Times New Roman" w:hAnsi="Times New Roman" w:cs="Times New Roman"/>
          <w:sz w:val="28"/>
          <w:szCs w:val="28"/>
        </w:rPr>
      </w:pPr>
    </w:p>
    <w:p w:rsidR="004C3327" w:rsidRPr="00091A5E" w:rsidRDefault="00091A5E" w:rsidP="00091A5E">
      <w:pPr>
        <w:spacing w:line="360" w:lineRule="auto"/>
        <w:rPr>
          <w:rFonts w:ascii="Times New Roman" w:hAnsi="Times New Roman" w:cs="Times New Roman"/>
          <w:b/>
          <w:bCs/>
          <w:sz w:val="28"/>
          <w:szCs w:val="28"/>
        </w:rPr>
      </w:pPr>
      <w:r w:rsidRPr="00091A5E">
        <w:rPr>
          <w:rFonts w:ascii="Times New Roman" w:hAnsi="Times New Roman" w:cs="Times New Roman"/>
          <w:b/>
          <w:bCs/>
          <w:sz w:val="28"/>
          <w:szCs w:val="28"/>
        </w:rPr>
        <w:t>R</w:t>
      </w:r>
      <w:r w:rsidRPr="00091A5E">
        <w:rPr>
          <w:rFonts w:ascii="Times New Roman" w:hAnsi="Times New Roman" w:cs="Times New Roman"/>
          <w:b/>
          <w:bCs/>
          <w:sz w:val="28"/>
          <w:szCs w:val="28"/>
        </w:rPr>
        <w:t>eferences</w:t>
      </w:r>
    </w:p>
    <w:p w:rsidR="004C3327" w:rsidRPr="00091A5E" w:rsidRDefault="00091A5E" w:rsidP="00091A5E">
      <w:pPr>
        <w:pStyle w:val="EndNoteBibliography"/>
        <w:spacing w:line="360" w:lineRule="auto"/>
        <w:ind w:left="720" w:hanging="720"/>
        <w:rPr>
          <w:rFonts w:ascii="Times New Roman" w:hAnsi="Times New Roman" w:cs="Times New Roman"/>
          <w:sz w:val="28"/>
          <w:szCs w:val="28"/>
        </w:rPr>
      </w:pPr>
      <w:r w:rsidRPr="00091A5E">
        <w:rPr>
          <w:rFonts w:ascii="Times New Roman" w:hAnsi="Times New Roman" w:cs="Times New Roman"/>
          <w:sz w:val="28"/>
          <w:szCs w:val="28"/>
        </w:rPr>
        <w:fldChar w:fldCharType="begin"/>
      </w:r>
      <w:r w:rsidRPr="00091A5E">
        <w:rPr>
          <w:rFonts w:ascii="Times New Roman" w:hAnsi="Times New Roman" w:cs="Times New Roman"/>
          <w:sz w:val="28"/>
          <w:szCs w:val="28"/>
        </w:rPr>
        <w:instrText xml:space="preserve"> ADDIN EN.R</w:instrText>
      </w:r>
      <w:r w:rsidRPr="00091A5E">
        <w:rPr>
          <w:rFonts w:ascii="Times New Roman" w:hAnsi="Times New Roman" w:cs="Times New Roman"/>
          <w:sz w:val="28"/>
          <w:szCs w:val="28"/>
        </w:rPr>
        <w:instrText xml:space="preserve">EFLIST </w:instrText>
      </w:r>
      <w:r w:rsidRPr="00091A5E">
        <w:rPr>
          <w:rFonts w:ascii="Times New Roman" w:hAnsi="Times New Roman" w:cs="Times New Roman"/>
          <w:sz w:val="28"/>
          <w:szCs w:val="28"/>
        </w:rPr>
        <w:fldChar w:fldCharType="separate"/>
      </w:r>
      <w:r w:rsidRPr="00091A5E">
        <w:rPr>
          <w:rFonts w:ascii="Times New Roman" w:hAnsi="Times New Roman" w:cs="Times New Roman"/>
          <w:sz w:val="28"/>
          <w:szCs w:val="28"/>
        </w:rPr>
        <w:t>[1]</w:t>
      </w:r>
      <w:r w:rsidRPr="00091A5E">
        <w:rPr>
          <w:rFonts w:ascii="Times New Roman" w:hAnsi="Times New Roman" w:cs="Times New Roman"/>
          <w:sz w:val="28"/>
          <w:szCs w:val="28"/>
        </w:rPr>
        <w:tab/>
        <w:t>BENSON 3RD A B, ABRAMS T A, BEN-JOSEF E, et al. NCCN clinical practice guidelines in oncology: hepatobiliary cancers [J]. Journal of the National Comprehensive Cancer Network: JNCCN, 2009, 7(4): 350-91.</w:t>
      </w:r>
    </w:p>
    <w:p w:rsidR="004C3327" w:rsidRPr="00091A5E" w:rsidRDefault="00091A5E" w:rsidP="00091A5E">
      <w:pPr>
        <w:spacing w:line="360" w:lineRule="auto"/>
        <w:rPr>
          <w:rFonts w:ascii="Times New Roman" w:hAnsi="Times New Roman" w:cs="Times New Roman"/>
          <w:sz w:val="28"/>
          <w:szCs w:val="28"/>
        </w:rPr>
      </w:pPr>
      <w:r w:rsidRPr="00091A5E">
        <w:rPr>
          <w:rFonts w:ascii="Times New Roman" w:hAnsi="Times New Roman" w:cs="Times New Roman"/>
          <w:sz w:val="28"/>
          <w:szCs w:val="28"/>
        </w:rPr>
        <w:fldChar w:fldCharType="end"/>
      </w:r>
    </w:p>
    <w:sectPr w:rsidR="004C3327" w:rsidRPr="00091A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Arial Unicode MS"/>
    <w:charset w:val="86"/>
    <w:family w:val="auto"/>
    <w:pitch w:val="default"/>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5475B"/>
    <w:multiLevelType w:val="multilevel"/>
    <w:tmpl w:val="2165475B"/>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409A18E4"/>
    <w:multiLevelType w:val="multilevel"/>
    <w:tmpl w:val="409A18E4"/>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YWFhNGJmM2I2Mjk3ZDE5YWMzZTFjOTdjNjI0MDcifQ=="/>
    <w:docVar w:name="EN.InstantFormat" w:val="&lt;ENInstantFormat&gt;&lt;Enabled&gt;0&lt;/Enabled&gt;&lt;ScanUnformatted&gt;1&lt;/ScanUnformatted&gt;&lt;ScanChanges&gt;1&lt;/ScanChanges&gt;&lt;Suspended&gt;0&lt;/Suspended&gt;&lt;/ENInstantFormat&gt;"/>
    <w:docVar w:name="EN.Layout" w:val="&lt;ENLayout&gt;&lt;Style&gt;Chinese Std GBT7714 (numeric)&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tztvx0wwf00pewdsupss0frdapezazf25d&quot;&gt;急性胰腺炎预测模型文献&lt;record-ids&gt;&lt;item&gt;454&lt;/item&gt;&lt;/record-ids&gt;&lt;/item&gt;&lt;/Libraries&gt;"/>
  </w:docVars>
  <w:rsids>
    <w:rsidRoot w:val="27095AE6"/>
    <w:rsid w:val="00042DBC"/>
    <w:rsid w:val="00091A5E"/>
    <w:rsid w:val="000F7835"/>
    <w:rsid w:val="00100EBB"/>
    <w:rsid w:val="00120D17"/>
    <w:rsid w:val="001C05C8"/>
    <w:rsid w:val="001E425C"/>
    <w:rsid w:val="00212683"/>
    <w:rsid w:val="00263763"/>
    <w:rsid w:val="002648B8"/>
    <w:rsid w:val="00275949"/>
    <w:rsid w:val="00295102"/>
    <w:rsid w:val="002B6238"/>
    <w:rsid w:val="002B6992"/>
    <w:rsid w:val="002C28FF"/>
    <w:rsid w:val="002C2E58"/>
    <w:rsid w:val="00387124"/>
    <w:rsid w:val="003A0D9C"/>
    <w:rsid w:val="003D7B01"/>
    <w:rsid w:val="00400A13"/>
    <w:rsid w:val="00402808"/>
    <w:rsid w:val="00497EE9"/>
    <w:rsid w:val="004B440E"/>
    <w:rsid w:val="004C3327"/>
    <w:rsid w:val="004C3A8A"/>
    <w:rsid w:val="004F0C64"/>
    <w:rsid w:val="00521AC5"/>
    <w:rsid w:val="005936D4"/>
    <w:rsid w:val="005A3E0F"/>
    <w:rsid w:val="005C49DC"/>
    <w:rsid w:val="005D5030"/>
    <w:rsid w:val="0063428B"/>
    <w:rsid w:val="00642C57"/>
    <w:rsid w:val="00642D1F"/>
    <w:rsid w:val="00653C54"/>
    <w:rsid w:val="00667E5B"/>
    <w:rsid w:val="00682140"/>
    <w:rsid w:val="006C4365"/>
    <w:rsid w:val="007171B6"/>
    <w:rsid w:val="00761DD3"/>
    <w:rsid w:val="00774834"/>
    <w:rsid w:val="007A6C76"/>
    <w:rsid w:val="00833D1F"/>
    <w:rsid w:val="00853150"/>
    <w:rsid w:val="008A3F76"/>
    <w:rsid w:val="008D48E7"/>
    <w:rsid w:val="00910DFC"/>
    <w:rsid w:val="00932B21"/>
    <w:rsid w:val="00951A33"/>
    <w:rsid w:val="009D0B5D"/>
    <w:rsid w:val="00A21E54"/>
    <w:rsid w:val="00A25FE0"/>
    <w:rsid w:val="00A53D1D"/>
    <w:rsid w:val="00A94B07"/>
    <w:rsid w:val="00AD2393"/>
    <w:rsid w:val="00B80817"/>
    <w:rsid w:val="00B81B6C"/>
    <w:rsid w:val="00BA5B47"/>
    <w:rsid w:val="00BC109A"/>
    <w:rsid w:val="00C04AA7"/>
    <w:rsid w:val="00C23BF1"/>
    <w:rsid w:val="00C276D2"/>
    <w:rsid w:val="00C306DC"/>
    <w:rsid w:val="00C47FB3"/>
    <w:rsid w:val="00C53798"/>
    <w:rsid w:val="00C83CCF"/>
    <w:rsid w:val="00C85E69"/>
    <w:rsid w:val="00C93C2E"/>
    <w:rsid w:val="00C95907"/>
    <w:rsid w:val="00CB4DF5"/>
    <w:rsid w:val="00CE7B30"/>
    <w:rsid w:val="00CF217A"/>
    <w:rsid w:val="00CF2908"/>
    <w:rsid w:val="00CF7D00"/>
    <w:rsid w:val="00D275C6"/>
    <w:rsid w:val="00D65AAB"/>
    <w:rsid w:val="00D724B1"/>
    <w:rsid w:val="00DB05C5"/>
    <w:rsid w:val="00DE5FE0"/>
    <w:rsid w:val="00E14F34"/>
    <w:rsid w:val="00E4287A"/>
    <w:rsid w:val="00E72A09"/>
    <w:rsid w:val="00E87EC4"/>
    <w:rsid w:val="00E9352C"/>
    <w:rsid w:val="00EC6134"/>
    <w:rsid w:val="00ED0E09"/>
    <w:rsid w:val="00ED6393"/>
    <w:rsid w:val="00F278FA"/>
    <w:rsid w:val="00F36DD5"/>
    <w:rsid w:val="00F4733F"/>
    <w:rsid w:val="00FA12A9"/>
    <w:rsid w:val="00FC3CCB"/>
    <w:rsid w:val="00FF3B13"/>
    <w:rsid w:val="27095AE6"/>
    <w:rsid w:val="2BAB0C35"/>
    <w:rsid w:val="3310712F"/>
    <w:rsid w:val="487D2206"/>
    <w:rsid w:val="4DD46893"/>
    <w:rsid w:val="50F506C5"/>
    <w:rsid w:val="54B20B2A"/>
    <w:rsid w:val="583E0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DE121D-2D15-4A5B-AA29-BBB0524E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2">
    <w:name w:val="heading 2"/>
    <w:basedOn w:val="Normal"/>
    <w:next w:val="Normal"/>
    <w:link w:val="Heading2Char"/>
    <w:uiPriority w:val="9"/>
    <w:unhideWhenUsed/>
    <w:qFormat/>
    <w:pPr>
      <w:keepNext/>
      <w:keepLines/>
      <w:spacing w:before="260" w:after="260" w:line="416" w:lineRule="atLeast"/>
      <w:outlineLvl w:val="1"/>
    </w:pPr>
    <w:rPr>
      <w:rFonts w:asciiTheme="majorHAnsi" w:eastAsiaTheme="majorEastAsia" w:hAnsiTheme="majorHAnsi" w:cstheme="majorBidi"/>
      <w:b/>
      <w:bCs/>
      <w:kern w:val="0"/>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20" w:line="240" w:lineRule="atLeast"/>
      <w:ind w:firstLineChars="200" w:firstLine="420"/>
    </w:pPr>
    <w:rPr>
      <w:rFonts w:ascii="Georgia"/>
      <w:kern w:val="0"/>
      <w:sz w:val="22"/>
      <w:szCs w:val="22"/>
      <w:lang w:eastAsia="en-US"/>
    </w:rPr>
  </w:style>
  <w:style w:type="paragraph" w:customStyle="1" w:styleId="EndNoteBibliographyTitle">
    <w:name w:val="EndNote Bibliography Title"/>
    <w:basedOn w:val="Normal"/>
    <w:link w:val="EndNoteBibliographyTitle0"/>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rPr>
      <w:rFonts w:ascii="Calibri" w:eastAsiaTheme="minorEastAsia" w:hAnsi="Calibri" w:cs="Calibri"/>
      <w:kern w:val="2"/>
      <w:szCs w:val="24"/>
    </w:rPr>
  </w:style>
  <w:style w:type="paragraph" w:customStyle="1" w:styleId="EndNoteBibliography">
    <w:name w:val="EndNote Bibliography"/>
    <w:basedOn w:val="Normal"/>
    <w:link w:val="EndNoteBibliography0"/>
    <w:rPr>
      <w:rFonts w:ascii="Calibri" w:hAnsi="Calibri" w:cs="Calibri"/>
      <w:sz w:val="20"/>
    </w:rPr>
  </w:style>
  <w:style w:type="character" w:customStyle="1" w:styleId="EndNoteBibliography0">
    <w:name w:val="EndNote Bibliography 字符"/>
    <w:basedOn w:val="DefaultParagraphFont"/>
    <w:link w:val="EndNoteBibliography"/>
    <w:qFormat/>
    <w:rPr>
      <w:rFonts w:ascii="Calibri" w:eastAsiaTheme="minorEastAsia" w:hAnsi="Calibri" w:cs="Calibri"/>
      <w:kern w:val="2"/>
      <w:szCs w:val="24"/>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CEDA8-B572-4F82-8EC3-DAD66ED9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8</Pages>
  <Words>1168</Words>
  <Characters>6661</Characters>
  <Application>Microsoft Office Word</Application>
  <DocSecurity>0</DocSecurity>
  <Lines>55</Lines>
  <Paragraphs>15</Paragraphs>
  <ScaleCrop>false</ScaleCrop>
  <Company/>
  <LinksUpToDate>false</LinksUpToDate>
  <CharactersWithSpaces>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WPS_1591260604</dc:creator>
  <cp:lastModifiedBy>K Jeevitha</cp:lastModifiedBy>
  <cp:revision>86</cp:revision>
  <dcterms:created xsi:type="dcterms:W3CDTF">2023-09-27T08:04:00Z</dcterms:created>
  <dcterms:modified xsi:type="dcterms:W3CDTF">2024-09-28T09:02:00Z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A25ADD1FFD004E10A46620226A5C67FE_11</vt:lpwstr>
  </property>
</Properties>
</file>