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E80CD7" w14:textId="77777777" w:rsidR="00024F56" w:rsidRDefault="0022519B">
      <w:pPr>
        <w:keepNext/>
        <w:keepLines/>
        <w:spacing w:line="480" w:lineRule="auto"/>
        <w:jc w:val="center"/>
        <w:outlineLvl w:val="1"/>
        <w:rPr>
          <w:rFonts w:ascii="Times New Roman" w:eastAsia="黑体" w:hAnsi="Times New Roman" w:cs="Times New Roman"/>
          <w:b/>
          <w:sz w:val="20"/>
          <w:szCs w:val="20"/>
        </w:rPr>
      </w:pPr>
      <w:bookmarkStart w:id="0" w:name="OLE_LINK13"/>
      <w:r>
        <w:rPr>
          <w:rFonts w:ascii="Times New Roman" w:eastAsia="黑体" w:hAnsi="Times New Roman" w:cs="Times New Roman" w:hint="eastAsia"/>
          <w:b/>
          <w:sz w:val="20"/>
          <w:szCs w:val="20"/>
        </w:rPr>
        <w:t>S</w:t>
      </w:r>
      <w:r>
        <w:rPr>
          <w:rFonts w:ascii="Times New Roman" w:eastAsia="黑体" w:hAnsi="Times New Roman" w:cs="Times New Roman"/>
          <w:b/>
          <w:sz w:val="20"/>
          <w:szCs w:val="20"/>
        </w:rPr>
        <w:t>upplemental files</w:t>
      </w:r>
    </w:p>
    <w:bookmarkEnd w:id="0"/>
    <w:p w14:paraId="7C4182EC" w14:textId="1823C29A" w:rsidR="00024F56" w:rsidRDefault="0022519B">
      <w:pPr>
        <w:rPr>
          <w:rFonts w:ascii="Times New Roman" w:eastAsia="黑体" w:hAnsi="Times New Roman" w:cs="Times New Roman"/>
          <w:b/>
          <w:sz w:val="20"/>
          <w:szCs w:val="20"/>
        </w:rPr>
      </w:pPr>
      <w:r>
        <w:rPr>
          <w:rFonts w:ascii="Times New Roman" w:eastAsia="黑体" w:hAnsi="Times New Roman" w:cs="Times New Roman" w:hint="eastAsia"/>
          <w:b/>
          <w:sz w:val="20"/>
          <w:szCs w:val="20"/>
        </w:rPr>
        <w:t>Appendix</w:t>
      </w:r>
      <w:r>
        <w:rPr>
          <w:rFonts w:ascii="Times New Roman" w:eastAsia="黑体" w:hAnsi="Times New Roman" w:cs="Times New Roman" w:hint="eastAsia"/>
          <w:b/>
          <w:sz w:val="20"/>
          <w:szCs w:val="20"/>
        </w:rPr>
        <w:t xml:space="preserve">: Image </w:t>
      </w:r>
      <w:hyperlink r:id="rId8" w:history="1">
        <w:r>
          <w:rPr>
            <w:rFonts w:ascii="Times New Roman" w:eastAsia="黑体" w:hAnsi="Times New Roman" w:cs="Times New Roman"/>
            <w:b/>
            <w:sz w:val="20"/>
            <w:szCs w:val="20"/>
          </w:rPr>
          <w:t>protocol</w:t>
        </w:r>
      </w:hyperlink>
      <w:r>
        <w:rPr>
          <w:rFonts w:ascii="Times New Roman" w:eastAsia="黑体" w:hAnsi="Times New Roman" w:cs="Times New Roman" w:hint="eastAsia"/>
          <w:b/>
          <w:sz w:val="20"/>
          <w:szCs w:val="20"/>
        </w:rPr>
        <w:t>s</w:t>
      </w:r>
    </w:p>
    <w:p w14:paraId="78488A5F" w14:textId="77777777" w:rsidR="00024F56" w:rsidRDefault="0022519B">
      <w:pPr>
        <w:ind w:firstLineChars="100" w:firstLine="200"/>
        <w:rPr>
          <w:rFonts w:ascii="Times New Roman" w:hAnsi="Times New Roman" w:cs="Times New Roman"/>
          <w:sz w:val="20"/>
          <w:szCs w:val="20"/>
        </w:rPr>
      </w:pPr>
      <w:r>
        <w:rPr>
          <w:rFonts w:ascii="Times New Roman" w:hAnsi="Times New Roman" w:cs="Times New Roman"/>
          <w:sz w:val="20"/>
          <w:szCs w:val="20"/>
        </w:rPr>
        <w:t xml:space="preserve">Before </w:t>
      </w:r>
      <w:r>
        <w:rPr>
          <w:rFonts w:ascii="Times New Roman" w:hAnsi="Times New Roman" w:cs="Times New Roman"/>
          <w:sz w:val="20"/>
          <w:szCs w:val="20"/>
          <w:vertAlign w:val="superscript"/>
        </w:rPr>
        <w:t>18</w:t>
      </w:r>
      <w:r>
        <w:rPr>
          <w:rFonts w:ascii="Times New Roman" w:hAnsi="Times New Roman" w:cs="Times New Roman"/>
          <w:sz w:val="20"/>
          <w:szCs w:val="20"/>
        </w:rPr>
        <w:t xml:space="preserve">F-FDG administration, all patients underwent a glucose level test, and the blood glucose levels were less than 140 mg/dl. Then, the patients fasted for at least six hours before the injection of </w:t>
      </w:r>
      <w:r>
        <w:rPr>
          <w:rFonts w:ascii="Times New Roman" w:hAnsi="Times New Roman" w:cs="Times New Roman"/>
          <w:sz w:val="20"/>
          <w:szCs w:val="20"/>
          <w:vertAlign w:val="superscript"/>
        </w:rPr>
        <w:t>18</w:t>
      </w:r>
      <w:r>
        <w:rPr>
          <w:rFonts w:ascii="Times New Roman" w:hAnsi="Times New Roman" w:cs="Times New Roman"/>
          <w:sz w:val="20"/>
          <w:szCs w:val="20"/>
        </w:rPr>
        <w:t>F-FDG, and image acquisition was started one hour afterward</w:t>
      </w:r>
      <w:r>
        <w:rPr>
          <w:rFonts w:ascii="Times New Roman" w:hAnsi="Times New Roman" w:cs="Times New Roman"/>
          <w:sz w:val="20"/>
          <w:szCs w:val="20"/>
        </w:rPr>
        <w:t xml:space="preserve">. During the scanning, the patient was in the head-first supine position, and the scanning range was from the skull base to 1/3 of the femur. After selecting the examination range, CT scanning was performed firstly, followed by PET scanning. The PET image </w:t>
      </w:r>
      <w:r>
        <w:rPr>
          <w:rFonts w:ascii="Times New Roman" w:hAnsi="Times New Roman" w:cs="Times New Roman"/>
          <w:sz w:val="20"/>
          <w:szCs w:val="20"/>
        </w:rPr>
        <w:t xml:space="preserve">datasets were reconstructed using CT data for attenuation correction. </w:t>
      </w:r>
    </w:p>
    <w:p w14:paraId="11F15B6C" w14:textId="77777777" w:rsidR="00024F56" w:rsidRDefault="0022519B">
      <w:r>
        <w:rPr>
          <w:rFonts w:ascii="Times New Roman" w:eastAsia="黑体" w:hAnsi="Times New Roman" w:cs="Times New Roman" w:hint="eastAsia"/>
          <w:b/>
          <w:sz w:val="20"/>
          <w:szCs w:val="20"/>
        </w:rPr>
        <w:t xml:space="preserve">Appendix: Segmentation information </w:t>
      </w:r>
    </w:p>
    <w:p w14:paraId="734CE9EA" w14:textId="77777777" w:rsidR="00024F56" w:rsidRDefault="0022519B">
      <w:pPr>
        <w:ind w:firstLineChars="100" w:firstLine="200"/>
        <w:rPr>
          <w:rFonts w:ascii="Times New Roman" w:hAnsi="Times New Roman" w:cs="Times New Roman"/>
          <w:bCs/>
          <w:kern w:val="44"/>
          <w:sz w:val="20"/>
          <w:szCs w:val="20"/>
        </w:rPr>
      </w:pPr>
      <w:r>
        <w:rPr>
          <w:rFonts w:ascii="Times New Roman" w:hAnsi="Times New Roman" w:cs="Times New Roman" w:hint="eastAsia"/>
          <w:bCs/>
          <w:kern w:val="44"/>
          <w:sz w:val="20"/>
          <w:szCs w:val="20"/>
        </w:rPr>
        <w:t>N</w:t>
      </w:r>
      <w:r>
        <w:rPr>
          <w:rFonts w:ascii="Times New Roman" w:hAnsi="Times New Roman" w:cs="Times New Roman" w:hint="eastAsia"/>
          <w:bCs/>
          <w:kern w:val="44"/>
          <w:sz w:val="20"/>
          <w:szCs w:val="20"/>
        </w:rPr>
        <w:t xml:space="preserve">uclear medicine physician </w:t>
      </w:r>
      <w:r>
        <w:rPr>
          <w:rFonts w:ascii="Times New Roman" w:hAnsi="Times New Roman" w:cs="Times New Roman" w:hint="eastAsia"/>
          <w:bCs/>
          <w:kern w:val="44"/>
          <w:sz w:val="20"/>
          <w:szCs w:val="20"/>
        </w:rPr>
        <w:t>A</w:t>
      </w:r>
      <w:r>
        <w:rPr>
          <w:rFonts w:ascii="Times New Roman" w:hAnsi="Times New Roman" w:cs="Times New Roman" w:hint="eastAsia"/>
          <w:bCs/>
          <w:kern w:val="44"/>
          <w:sz w:val="20"/>
          <w:szCs w:val="20"/>
        </w:rPr>
        <w:t xml:space="preserve"> with 10 years of experience and </w:t>
      </w:r>
      <w:bookmarkStart w:id="1" w:name="OLE_LINK49"/>
      <w:r>
        <w:rPr>
          <w:rFonts w:ascii="Times New Roman" w:hAnsi="Times New Roman" w:cs="Times New Roman" w:hint="eastAsia"/>
          <w:bCs/>
          <w:kern w:val="44"/>
          <w:sz w:val="20"/>
          <w:szCs w:val="20"/>
        </w:rPr>
        <w:t>n</w:t>
      </w:r>
      <w:r>
        <w:rPr>
          <w:rFonts w:ascii="Times New Roman" w:hAnsi="Times New Roman" w:cs="Times New Roman" w:hint="eastAsia"/>
          <w:bCs/>
          <w:kern w:val="44"/>
          <w:sz w:val="20"/>
          <w:szCs w:val="20"/>
        </w:rPr>
        <w:t>uclear medicine physician</w:t>
      </w:r>
      <w:bookmarkEnd w:id="1"/>
      <w:r>
        <w:rPr>
          <w:rFonts w:ascii="Times New Roman" w:hAnsi="Times New Roman" w:cs="Times New Roman" w:hint="eastAsia"/>
          <w:bCs/>
          <w:kern w:val="44"/>
          <w:sz w:val="20"/>
          <w:szCs w:val="20"/>
        </w:rPr>
        <w:t xml:space="preserve"> B</w:t>
      </w:r>
      <w:r>
        <w:rPr>
          <w:rFonts w:ascii="Times New Roman" w:hAnsi="Times New Roman" w:cs="Times New Roman" w:hint="eastAsia"/>
          <w:bCs/>
          <w:kern w:val="44"/>
          <w:sz w:val="20"/>
          <w:szCs w:val="20"/>
        </w:rPr>
        <w:t xml:space="preserve"> with 4 years of experience are responsible for data </w:t>
      </w:r>
      <w:r>
        <w:rPr>
          <w:rFonts w:ascii="Times New Roman" w:hAnsi="Times New Roman" w:cs="Times New Roman" w:hint="eastAsia"/>
          <w:bCs/>
          <w:kern w:val="44"/>
          <w:sz w:val="20"/>
          <w:szCs w:val="20"/>
        </w:rPr>
        <w:t>segmentation</w:t>
      </w:r>
      <w:r>
        <w:rPr>
          <w:rFonts w:ascii="Times New Roman" w:hAnsi="Times New Roman" w:cs="Times New Roman" w:hint="eastAsia"/>
          <w:bCs/>
          <w:kern w:val="44"/>
          <w:sz w:val="20"/>
          <w:szCs w:val="20"/>
        </w:rPr>
        <w:t xml:space="preserve"> for </w:t>
      </w:r>
      <w:r>
        <w:rPr>
          <w:rFonts w:ascii="Times New Roman" w:hAnsi="Times New Roman" w:cs="Times New Roman" w:hint="eastAsia"/>
          <w:bCs/>
          <w:kern w:val="44"/>
          <w:sz w:val="20"/>
          <w:szCs w:val="20"/>
        </w:rPr>
        <w:t>h</w:t>
      </w:r>
      <w:r>
        <w:rPr>
          <w:rFonts w:ascii="Times New Roman" w:hAnsi="Times New Roman" w:cs="Times New Roman" w:hint="eastAsia"/>
          <w:bCs/>
          <w:kern w:val="44"/>
          <w:sz w:val="20"/>
          <w:szCs w:val="20"/>
        </w:rPr>
        <w:t>ospital A</w:t>
      </w:r>
      <w:r>
        <w:rPr>
          <w:rFonts w:ascii="Times New Roman" w:hAnsi="Times New Roman" w:cs="Times New Roman" w:hint="eastAsia"/>
          <w:bCs/>
          <w:kern w:val="44"/>
          <w:sz w:val="20"/>
          <w:szCs w:val="20"/>
        </w:rPr>
        <w:t>. For hospital B, the nuclear medicine physician B with 4 years of experience is solely responsible for segmentation. Two chief physicians with 20 and 22 years of experience, r</w:t>
      </w:r>
      <w:r>
        <w:rPr>
          <w:rFonts w:ascii="Times New Roman" w:hAnsi="Times New Roman" w:cs="Times New Roman" w:hint="eastAsia"/>
          <w:bCs/>
          <w:kern w:val="44"/>
          <w:sz w:val="20"/>
          <w:szCs w:val="20"/>
        </w:rPr>
        <w:t xml:space="preserve">espectively, reviewing the segmentation results of the two hospitals. </w:t>
      </w:r>
      <w:r>
        <w:rPr>
          <w:rFonts w:ascii="Times New Roman" w:hAnsi="Times New Roman" w:cs="Times New Roman" w:hint="eastAsia"/>
          <w:bCs/>
          <w:kern w:val="44"/>
          <w:sz w:val="20"/>
          <w:szCs w:val="20"/>
        </w:rPr>
        <w:t xml:space="preserve">Primary tumor volumes of interest (VOIs) for CT were drawn on the lung window (window width: 1600HU; window level: -600HU). To evaluate the robustness and repeatability of </w:t>
      </w:r>
      <w:r>
        <w:rPr>
          <w:rFonts w:ascii="Times New Roman" w:eastAsia="宋体" w:hAnsi="Times New Roman" w:cs="Times New Roman" w:hint="eastAsia"/>
          <w:bCs/>
          <w:kern w:val="44"/>
          <w:sz w:val="20"/>
          <w:szCs w:val="20"/>
          <w:lang w:bidi="ar"/>
        </w:rPr>
        <w:t>handcrafted ra</w:t>
      </w:r>
      <w:r>
        <w:rPr>
          <w:rFonts w:ascii="Times New Roman" w:eastAsia="宋体" w:hAnsi="Times New Roman" w:cs="Times New Roman" w:hint="eastAsia"/>
          <w:bCs/>
          <w:kern w:val="44"/>
          <w:sz w:val="20"/>
          <w:szCs w:val="20"/>
          <w:lang w:bidi="ar"/>
        </w:rPr>
        <w:t>diomics features</w:t>
      </w:r>
      <w:r>
        <w:rPr>
          <w:rFonts w:ascii="Times New Roman" w:hAnsi="Times New Roman" w:cs="Times New Roman" w:hint="eastAsia"/>
          <w:bCs/>
          <w:kern w:val="44"/>
          <w:sz w:val="20"/>
          <w:szCs w:val="20"/>
        </w:rPr>
        <w:t xml:space="preserve"> and avoid potential recall bias, random 10 cases from each of the centers were selected, segmented again, and a re-segmentation set was constructed within one week.</w:t>
      </w:r>
      <w:r>
        <w:rPr>
          <w:rFonts w:ascii="Times New Roman" w:hAnsi="Times New Roman" w:cs="Times New Roman" w:hint="eastAsia"/>
          <w:bCs/>
          <w:kern w:val="44"/>
          <w:sz w:val="20"/>
          <w:szCs w:val="20"/>
        </w:rPr>
        <w:t xml:space="preserve"> </w:t>
      </w:r>
    </w:p>
    <w:p w14:paraId="68B6B23D" w14:textId="77777777" w:rsidR="00024F56" w:rsidRDefault="00024F56">
      <w:pPr>
        <w:rPr>
          <w:rFonts w:ascii="Times New Roman" w:hAnsi="Times New Roman" w:cs="Times New Roman"/>
          <w:bCs/>
          <w:kern w:val="44"/>
          <w:sz w:val="20"/>
          <w:szCs w:val="20"/>
        </w:rPr>
      </w:pPr>
    </w:p>
    <w:p w14:paraId="43E0AE4B" w14:textId="77777777" w:rsidR="00024F56" w:rsidRDefault="00024F56"/>
    <w:p w14:paraId="1D8B4ED0" w14:textId="77777777" w:rsidR="00024F56" w:rsidRDefault="00024F56"/>
    <w:p w14:paraId="045B33B2" w14:textId="77777777" w:rsidR="00024F56" w:rsidRDefault="0022519B">
      <w:r>
        <w:rPr>
          <w:rFonts w:hint="eastAsia"/>
          <w:noProof/>
        </w:rPr>
        <w:drawing>
          <wp:inline distT="0" distB="0" distL="114300" distR="114300" wp14:anchorId="3257EBAC" wp14:editId="71F8F102">
            <wp:extent cx="6189345" cy="2827655"/>
            <wp:effectExtent l="0" t="0" r="13335" b="6985"/>
            <wp:docPr id="3" name="图片 3" descr="blind-data inform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blind-data information"/>
                    <pic:cNvPicPr>
                      <a:picLocks noChangeAspect="1"/>
                    </pic:cNvPicPr>
                  </pic:nvPicPr>
                  <pic:blipFill>
                    <a:blip r:embed="rId9"/>
                    <a:stretch>
                      <a:fillRect/>
                    </a:stretch>
                  </pic:blipFill>
                  <pic:spPr>
                    <a:xfrm>
                      <a:off x="0" y="0"/>
                      <a:ext cx="6189345" cy="2827655"/>
                    </a:xfrm>
                    <a:prstGeom prst="rect">
                      <a:avLst/>
                    </a:prstGeom>
                  </pic:spPr>
                </pic:pic>
              </a:graphicData>
            </a:graphic>
          </wp:inline>
        </w:drawing>
      </w:r>
    </w:p>
    <w:p w14:paraId="39DAD4A2" w14:textId="77777777" w:rsidR="00024F56" w:rsidRDefault="00024F56">
      <w:pPr>
        <w:jc w:val="center"/>
        <w:rPr>
          <w:rFonts w:ascii="Times New Roman" w:hAnsi="Times New Roman" w:cs="Times New Roman"/>
          <w:b/>
          <w:kern w:val="44"/>
          <w:sz w:val="20"/>
          <w:szCs w:val="20"/>
        </w:rPr>
      </w:pPr>
    </w:p>
    <w:p w14:paraId="1B1C21B2" w14:textId="77777777" w:rsidR="00024F56" w:rsidRDefault="00024F56">
      <w:pPr>
        <w:jc w:val="center"/>
        <w:rPr>
          <w:rFonts w:ascii="Times New Roman" w:hAnsi="Times New Roman" w:cs="Times New Roman"/>
          <w:b/>
          <w:kern w:val="44"/>
          <w:sz w:val="20"/>
          <w:szCs w:val="20"/>
        </w:rPr>
      </w:pPr>
    </w:p>
    <w:p w14:paraId="21457126" w14:textId="77777777" w:rsidR="00024F56" w:rsidRDefault="0022519B">
      <w:pPr>
        <w:jc w:val="center"/>
        <w:rPr>
          <w:rFonts w:ascii="Times New Roman" w:hAnsi="Times New Roman" w:cs="Times New Roman"/>
          <w:bCs/>
          <w:kern w:val="44"/>
          <w:sz w:val="20"/>
          <w:szCs w:val="20"/>
        </w:rPr>
      </w:pPr>
      <w:r>
        <w:rPr>
          <w:rFonts w:ascii="Times New Roman" w:hAnsi="Times New Roman" w:cs="Times New Roman"/>
          <w:b/>
          <w:kern w:val="44"/>
          <w:sz w:val="20"/>
          <w:szCs w:val="20"/>
        </w:rPr>
        <w:t>Fig</w:t>
      </w:r>
      <w:r>
        <w:rPr>
          <w:rFonts w:ascii="Times New Roman" w:hAnsi="Times New Roman" w:cs="Times New Roman" w:hint="eastAsia"/>
          <w:b/>
          <w:kern w:val="44"/>
          <w:sz w:val="20"/>
          <w:szCs w:val="20"/>
        </w:rPr>
        <w:t>.</w:t>
      </w:r>
      <w:r>
        <w:rPr>
          <w:rFonts w:ascii="Times New Roman" w:hAnsi="Times New Roman" w:cs="Times New Roman"/>
          <w:b/>
          <w:kern w:val="44"/>
          <w:sz w:val="20"/>
          <w:szCs w:val="20"/>
        </w:rPr>
        <w:t xml:space="preserve"> </w:t>
      </w:r>
      <w:r>
        <w:rPr>
          <w:rFonts w:ascii="Times New Roman" w:hAnsi="Times New Roman" w:cs="Times New Roman" w:hint="eastAsia"/>
          <w:b/>
          <w:kern w:val="44"/>
          <w:sz w:val="20"/>
          <w:szCs w:val="20"/>
        </w:rPr>
        <w:t>S1</w:t>
      </w:r>
      <w:r>
        <w:rPr>
          <w:rFonts w:ascii="Times New Roman" w:hAnsi="Times New Roman" w:cs="Times New Roman"/>
          <w:bCs/>
          <w:kern w:val="44"/>
          <w:sz w:val="20"/>
          <w:szCs w:val="20"/>
        </w:rPr>
        <w:t xml:space="preserve"> </w:t>
      </w:r>
      <w:r>
        <w:rPr>
          <w:rFonts w:ascii="Times New Roman" w:hAnsi="Times New Roman" w:cs="Times New Roman" w:hint="eastAsia"/>
          <w:bCs/>
          <w:kern w:val="44"/>
          <w:sz w:val="20"/>
          <w:szCs w:val="20"/>
        </w:rPr>
        <w:t>Data information</w:t>
      </w:r>
      <w:r>
        <w:rPr>
          <w:rFonts w:ascii="Times New Roman" w:hAnsi="Times New Roman" w:cs="Times New Roman" w:hint="eastAsia"/>
          <w:bCs/>
          <w:kern w:val="44"/>
          <w:sz w:val="20"/>
          <w:szCs w:val="20"/>
        </w:rPr>
        <w:t>.</w:t>
      </w:r>
    </w:p>
    <w:p w14:paraId="00127D39" w14:textId="77777777" w:rsidR="00024F56" w:rsidRDefault="00024F56"/>
    <w:p w14:paraId="605AB2F2" w14:textId="77777777" w:rsidR="00024F56" w:rsidRDefault="0022519B">
      <w:pPr>
        <w:spacing w:line="480" w:lineRule="auto"/>
        <w:rPr>
          <w:rFonts w:ascii="Times New Roman" w:hAnsi="Times New Roman" w:cs="Times New Roman"/>
          <w:bCs/>
          <w:sz w:val="20"/>
          <w:szCs w:val="20"/>
        </w:rPr>
      </w:pPr>
      <w:r>
        <w:rPr>
          <w:rFonts w:ascii="Times New Roman" w:hAnsi="Times New Roman" w:cs="Times New Roman" w:hint="eastAsia"/>
          <w:bCs/>
          <w:noProof/>
          <w:sz w:val="20"/>
          <w:szCs w:val="20"/>
        </w:rPr>
        <w:lastRenderedPageBreak/>
        <w:drawing>
          <wp:inline distT="0" distB="0" distL="114300" distR="114300" wp14:anchorId="7642DD86" wp14:editId="7E394AFF">
            <wp:extent cx="6186170" cy="3450590"/>
            <wp:effectExtent l="0" t="0" r="5080" b="16510"/>
            <wp:docPr id="8" name="图片 8" descr="embeded-5index-vis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embeded-5index-vis2024"/>
                    <pic:cNvPicPr>
                      <a:picLocks noChangeAspect="1"/>
                    </pic:cNvPicPr>
                  </pic:nvPicPr>
                  <pic:blipFill>
                    <a:blip r:embed="rId10"/>
                    <a:stretch>
                      <a:fillRect/>
                    </a:stretch>
                  </pic:blipFill>
                  <pic:spPr>
                    <a:xfrm>
                      <a:off x="0" y="0"/>
                      <a:ext cx="6186170" cy="3450590"/>
                    </a:xfrm>
                    <a:prstGeom prst="rect">
                      <a:avLst/>
                    </a:prstGeom>
                  </pic:spPr>
                </pic:pic>
              </a:graphicData>
            </a:graphic>
          </wp:inline>
        </w:drawing>
      </w:r>
    </w:p>
    <w:p w14:paraId="128FD372" w14:textId="77777777" w:rsidR="00024F56" w:rsidRDefault="0022519B">
      <w:pPr>
        <w:jc w:val="center"/>
        <w:rPr>
          <w:rFonts w:ascii="Times New Roman" w:hAnsi="Times New Roman" w:cs="Times New Roman"/>
          <w:bCs/>
          <w:sz w:val="20"/>
          <w:szCs w:val="20"/>
        </w:rPr>
      </w:pPr>
      <w:r>
        <w:rPr>
          <w:rFonts w:ascii="Times New Roman" w:hAnsi="Times New Roman" w:cs="Times New Roman"/>
          <w:bCs/>
          <w:sz w:val="20"/>
          <w:szCs w:val="20"/>
        </w:rPr>
        <w:t>Fig.</w:t>
      </w:r>
      <w:r>
        <w:rPr>
          <w:rFonts w:ascii="Times New Roman" w:hAnsi="Times New Roman" w:cs="Times New Roman" w:hint="eastAsia"/>
          <w:bCs/>
          <w:sz w:val="20"/>
          <w:szCs w:val="20"/>
        </w:rPr>
        <w:t xml:space="preserve"> S</w:t>
      </w:r>
      <w:r>
        <w:rPr>
          <w:rFonts w:ascii="Times New Roman" w:hAnsi="Times New Roman" w:cs="Times New Roman" w:hint="eastAsia"/>
          <w:bCs/>
          <w:sz w:val="20"/>
          <w:szCs w:val="20"/>
        </w:rPr>
        <w:t>2</w:t>
      </w:r>
      <w:r>
        <w:rPr>
          <w:rFonts w:ascii="Times New Roman" w:hAnsi="Times New Roman" w:cs="Times New Roman"/>
          <w:bCs/>
          <w:sz w:val="20"/>
          <w:szCs w:val="20"/>
        </w:rPr>
        <w:t xml:space="preserve"> </w:t>
      </w:r>
      <w:r>
        <w:rPr>
          <w:rFonts w:ascii="Times New Roman" w:hAnsi="Times New Roman" w:cs="Times New Roman" w:hint="eastAsia"/>
          <w:bCs/>
          <w:sz w:val="20"/>
          <w:szCs w:val="20"/>
        </w:rPr>
        <w:t xml:space="preserve">Model performance of EGFR mutation status predictive models based on </w:t>
      </w:r>
      <w:bookmarkStart w:id="2" w:name="OLE_LINK4"/>
      <w:r>
        <w:rPr>
          <w:rFonts w:ascii="Times New Roman" w:hAnsi="Times New Roman" w:cs="Times New Roman" w:hint="eastAsia"/>
          <w:bCs/>
          <w:sz w:val="20"/>
          <w:szCs w:val="20"/>
        </w:rPr>
        <w:t>embedded</w:t>
      </w:r>
      <w:bookmarkEnd w:id="2"/>
      <w:r>
        <w:rPr>
          <w:rFonts w:ascii="Times New Roman" w:hAnsi="Times New Roman" w:cs="Times New Roman" w:hint="eastAsia"/>
          <w:bCs/>
          <w:sz w:val="20"/>
          <w:szCs w:val="20"/>
        </w:rPr>
        <w:t xml:space="preserve"> feature selection methods.</w:t>
      </w:r>
    </w:p>
    <w:p w14:paraId="32AF8240" w14:textId="77777777" w:rsidR="00024F56" w:rsidRDefault="00024F56">
      <w:pPr>
        <w:jc w:val="center"/>
        <w:rPr>
          <w:rFonts w:ascii="Times New Roman" w:hAnsi="Times New Roman" w:cs="Times New Roman"/>
          <w:bCs/>
          <w:sz w:val="20"/>
          <w:szCs w:val="20"/>
        </w:rPr>
      </w:pPr>
    </w:p>
    <w:p w14:paraId="12248FD1" w14:textId="77777777" w:rsidR="00024F56" w:rsidRDefault="00024F56">
      <w:pPr>
        <w:jc w:val="center"/>
        <w:rPr>
          <w:rFonts w:ascii="Times New Roman" w:hAnsi="Times New Roman" w:cs="Times New Roman"/>
          <w:bCs/>
          <w:sz w:val="20"/>
          <w:szCs w:val="20"/>
        </w:rPr>
      </w:pPr>
    </w:p>
    <w:p w14:paraId="1FAE121B" w14:textId="77777777" w:rsidR="00024F56" w:rsidRDefault="0022519B">
      <w:pPr>
        <w:spacing w:line="480" w:lineRule="auto"/>
        <w:jc w:val="center"/>
        <w:rPr>
          <w:rFonts w:ascii="Times New Roman" w:hAnsi="Times New Roman" w:cs="Times New Roman"/>
          <w:b/>
          <w:color w:val="FF0000"/>
          <w:sz w:val="20"/>
          <w:szCs w:val="20"/>
        </w:rPr>
      </w:pPr>
      <w:r>
        <w:rPr>
          <w:rFonts w:ascii="Times New Roman" w:hAnsi="Times New Roman" w:cs="Times New Roman" w:hint="eastAsia"/>
          <w:b/>
          <w:noProof/>
          <w:color w:val="FF0000"/>
          <w:sz w:val="20"/>
          <w:szCs w:val="20"/>
        </w:rPr>
        <w:drawing>
          <wp:inline distT="0" distB="0" distL="114300" distR="114300" wp14:anchorId="76FF196F" wp14:editId="337FC0D2">
            <wp:extent cx="6186170" cy="3450590"/>
            <wp:effectExtent l="0" t="0" r="5080" b="16510"/>
            <wp:docPr id="9" name="图片 9" descr="wrapper-5index-vis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wrapper-5index-vis2024"/>
                    <pic:cNvPicPr>
                      <a:picLocks noChangeAspect="1"/>
                    </pic:cNvPicPr>
                  </pic:nvPicPr>
                  <pic:blipFill>
                    <a:blip r:embed="rId11"/>
                    <a:stretch>
                      <a:fillRect/>
                    </a:stretch>
                  </pic:blipFill>
                  <pic:spPr>
                    <a:xfrm>
                      <a:off x="0" y="0"/>
                      <a:ext cx="6186170" cy="3450590"/>
                    </a:xfrm>
                    <a:prstGeom prst="rect">
                      <a:avLst/>
                    </a:prstGeom>
                  </pic:spPr>
                </pic:pic>
              </a:graphicData>
            </a:graphic>
          </wp:inline>
        </w:drawing>
      </w:r>
    </w:p>
    <w:p w14:paraId="73F94CBA" w14:textId="77777777" w:rsidR="00024F56" w:rsidRDefault="0022519B">
      <w:pPr>
        <w:jc w:val="center"/>
        <w:rPr>
          <w:rFonts w:ascii="Times New Roman" w:hAnsi="Times New Roman" w:cs="Times New Roman"/>
          <w:b/>
          <w:color w:val="FF0000"/>
          <w:sz w:val="20"/>
          <w:szCs w:val="20"/>
        </w:rPr>
      </w:pPr>
      <w:r>
        <w:rPr>
          <w:rFonts w:ascii="Times New Roman" w:hAnsi="Times New Roman" w:cs="Times New Roman"/>
          <w:bCs/>
          <w:sz w:val="20"/>
          <w:szCs w:val="20"/>
        </w:rPr>
        <w:t>Fig.</w:t>
      </w:r>
      <w:r>
        <w:rPr>
          <w:rFonts w:ascii="Times New Roman" w:hAnsi="Times New Roman" w:cs="Times New Roman" w:hint="eastAsia"/>
          <w:bCs/>
          <w:sz w:val="20"/>
          <w:szCs w:val="20"/>
        </w:rPr>
        <w:t xml:space="preserve"> S</w:t>
      </w:r>
      <w:r>
        <w:rPr>
          <w:rFonts w:ascii="Times New Roman" w:hAnsi="Times New Roman" w:cs="Times New Roman" w:hint="eastAsia"/>
          <w:bCs/>
          <w:sz w:val="20"/>
          <w:szCs w:val="20"/>
        </w:rPr>
        <w:t>3</w:t>
      </w:r>
      <w:r>
        <w:rPr>
          <w:rFonts w:ascii="Times New Roman" w:hAnsi="Times New Roman" w:cs="Times New Roman"/>
          <w:bCs/>
          <w:sz w:val="20"/>
          <w:szCs w:val="20"/>
        </w:rPr>
        <w:t xml:space="preserve"> </w:t>
      </w:r>
      <w:r>
        <w:rPr>
          <w:rFonts w:ascii="Times New Roman" w:hAnsi="Times New Roman" w:cs="Times New Roman" w:hint="eastAsia"/>
          <w:bCs/>
          <w:sz w:val="20"/>
          <w:szCs w:val="20"/>
        </w:rPr>
        <w:t>Model performance of EGFR mutation status predictive models based on wrapper feature selection methods</w:t>
      </w:r>
      <w:r>
        <w:rPr>
          <w:rFonts w:ascii="Times New Roman" w:hAnsi="Times New Roman" w:cs="Times New Roman" w:hint="eastAsia"/>
          <w:bCs/>
          <w:sz w:val="20"/>
          <w:szCs w:val="20"/>
        </w:rPr>
        <w:t>.</w:t>
      </w:r>
    </w:p>
    <w:p w14:paraId="3E01813E" w14:textId="77777777" w:rsidR="00024F56" w:rsidRDefault="00024F56"/>
    <w:p w14:paraId="5AC80329" w14:textId="77777777" w:rsidR="00024F56" w:rsidRDefault="0022519B">
      <w:pPr>
        <w:widowControl/>
        <w:spacing w:line="480" w:lineRule="auto"/>
        <w:jc w:val="center"/>
        <w:rPr>
          <w:rFonts w:ascii="Times New Roman" w:hAnsi="Times New Roman" w:cs="Times New Roman"/>
          <w:bCs/>
          <w:sz w:val="20"/>
          <w:szCs w:val="20"/>
        </w:rPr>
      </w:pPr>
      <w:r>
        <w:rPr>
          <w:rFonts w:ascii="Times New Roman" w:hAnsi="Times New Roman" w:cs="Times New Roman" w:hint="eastAsia"/>
          <w:bCs/>
          <w:noProof/>
          <w:sz w:val="20"/>
          <w:szCs w:val="20"/>
        </w:rPr>
        <w:lastRenderedPageBreak/>
        <w:drawing>
          <wp:inline distT="0" distB="0" distL="114300" distR="114300" wp14:anchorId="4714F7C1" wp14:editId="0A717B30">
            <wp:extent cx="5510530" cy="4353560"/>
            <wp:effectExtent l="0" t="0" r="13970" b="8890"/>
            <wp:docPr id="12" name="图片 12" descr="C:/Users/zuoya/Documents/complexheatmap/tripleclassification/s-confusion.jpgs-confu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C:/Users/zuoya/Documents/complexheatmap/tripleclassification/s-confusion.jpgs-confusion"/>
                    <pic:cNvPicPr>
                      <a:picLocks noChangeAspect="1"/>
                    </pic:cNvPicPr>
                  </pic:nvPicPr>
                  <pic:blipFill>
                    <a:blip r:embed="rId12"/>
                    <a:srcRect t="6" b="6"/>
                    <a:stretch>
                      <a:fillRect/>
                    </a:stretch>
                  </pic:blipFill>
                  <pic:spPr>
                    <a:xfrm>
                      <a:off x="0" y="0"/>
                      <a:ext cx="5510530" cy="4353560"/>
                    </a:xfrm>
                    <a:prstGeom prst="rect">
                      <a:avLst/>
                    </a:prstGeom>
                  </pic:spPr>
                </pic:pic>
              </a:graphicData>
            </a:graphic>
          </wp:inline>
        </w:drawing>
      </w:r>
    </w:p>
    <w:p w14:paraId="462E1B5A" w14:textId="77777777" w:rsidR="00024F56" w:rsidRDefault="0022519B">
      <w:pPr>
        <w:widowControl/>
        <w:jc w:val="center"/>
        <w:rPr>
          <w:rFonts w:ascii="Times New Roman" w:hAnsi="Times New Roman" w:cs="Times New Roman"/>
          <w:bCs/>
          <w:sz w:val="20"/>
          <w:szCs w:val="20"/>
        </w:rPr>
      </w:pPr>
      <w:r>
        <w:rPr>
          <w:rFonts w:ascii="Times New Roman" w:hAnsi="Times New Roman" w:cs="Times New Roman"/>
          <w:bCs/>
          <w:sz w:val="20"/>
          <w:szCs w:val="20"/>
        </w:rPr>
        <w:t>Fig.</w:t>
      </w:r>
      <w:r>
        <w:rPr>
          <w:rFonts w:ascii="Times New Roman" w:hAnsi="Times New Roman" w:cs="Times New Roman" w:hint="eastAsia"/>
          <w:bCs/>
          <w:sz w:val="20"/>
          <w:szCs w:val="20"/>
        </w:rPr>
        <w:t xml:space="preserve"> S</w:t>
      </w:r>
      <w:r>
        <w:rPr>
          <w:rFonts w:ascii="Times New Roman" w:hAnsi="Times New Roman" w:cs="Times New Roman" w:hint="eastAsia"/>
          <w:bCs/>
          <w:sz w:val="20"/>
          <w:szCs w:val="20"/>
        </w:rPr>
        <w:t>4</w:t>
      </w:r>
      <w:r>
        <w:rPr>
          <w:rFonts w:ascii="Times New Roman" w:hAnsi="Times New Roman" w:cs="Times New Roman"/>
          <w:bCs/>
          <w:sz w:val="20"/>
          <w:szCs w:val="20"/>
        </w:rPr>
        <w:t xml:space="preserve"> </w:t>
      </w:r>
      <w:r>
        <w:rPr>
          <w:rFonts w:ascii="Times New Roman" w:hAnsi="Times New Roman" w:cs="Times New Roman" w:hint="eastAsia"/>
          <w:sz w:val="20"/>
          <w:szCs w:val="20"/>
        </w:rPr>
        <w:t xml:space="preserve">model </w:t>
      </w:r>
      <w:r>
        <w:rPr>
          <w:rFonts w:ascii="Times New Roman" w:hAnsi="Times New Roman" w:cs="Times New Roman" w:hint="eastAsia"/>
          <w:sz w:val="20"/>
          <w:szCs w:val="20"/>
        </w:rPr>
        <w:t>visualization results</w:t>
      </w:r>
      <w:r>
        <w:rPr>
          <w:rFonts w:ascii="Times New Roman" w:hAnsi="Times New Roman" w:cs="Times New Roman"/>
          <w:bCs/>
          <w:sz w:val="20"/>
          <w:szCs w:val="20"/>
        </w:rPr>
        <w:t xml:space="preserve"> </w:t>
      </w:r>
      <w:r>
        <w:rPr>
          <w:rFonts w:ascii="Times New Roman" w:hAnsi="Times New Roman" w:cs="Times New Roman" w:hint="eastAsia"/>
          <w:bCs/>
          <w:sz w:val="20"/>
          <w:szCs w:val="20"/>
        </w:rPr>
        <w:t xml:space="preserve">of </w:t>
      </w:r>
      <w:r>
        <w:rPr>
          <w:rFonts w:ascii="Times New Roman" w:hAnsi="Times New Roman" w:cs="Times New Roman" w:hint="eastAsia"/>
          <w:bCs/>
          <w:sz w:val="20"/>
          <w:szCs w:val="20"/>
        </w:rPr>
        <w:t>the</w:t>
      </w:r>
      <w:r>
        <w:rPr>
          <w:rFonts w:ascii="Times New Roman" w:hAnsi="Times New Roman" w:cs="Times New Roman" w:hint="eastAsia"/>
          <w:bCs/>
          <w:sz w:val="20"/>
          <w:szCs w:val="20"/>
        </w:rPr>
        <w:t xml:space="preserve"> </w:t>
      </w:r>
      <w:r>
        <w:rPr>
          <w:rFonts w:ascii="Times New Roman" w:hAnsi="Times New Roman" w:cs="Times New Roman" w:hint="eastAsia"/>
          <w:bCs/>
          <w:sz w:val="20"/>
          <w:szCs w:val="20"/>
        </w:rPr>
        <w:t>optimal model in predicting EGFR mutation status.</w:t>
      </w:r>
    </w:p>
    <w:p w14:paraId="71DC3544" w14:textId="77777777" w:rsidR="00024F56" w:rsidRDefault="0022519B">
      <w:pPr>
        <w:widowControl/>
        <w:jc w:val="center"/>
        <w:rPr>
          <w:rFonts w:ascii="Times New Roman" w:hAnsi="Times New Roman" w:cs="Times New Roman"/>
          <w:b/>
          <w:sz w:val="20"/>
          <w:szCs w:val="20"/>
        </w:rPr>
      </w:pPr>
      <w:r>
        <w:rPr>
          <w:rFonts w:ascii="Times New Roman" w:hAnsi="Times New Roman" w:cs="Times New Roman" w:hint="eastAsia"/>
          <w:sz w:val="20"/>
          <w:szCs w:val="20"/>
        </w:rPr>
        <w:t>a</w:t>
      </w:r>
      <w:r>
        <w:rPr>
          <w:rFonts w:ascii="Times New Roman" w:hAnsi="Times New Roman" w:cs="Times New Roman"/>
          <w:sz w:val="20"/>
          <w:szCs w:val="20"/>
        </w:rPr>
        <w:t xml:space="preserve">, </w:t>
      </w:r>
      <w:r>
        <w:rPr>
          <w:rFonts w:ascii="Times New Roman" w:hAnsi="Times New Roman" w:cs="Times New Roman" w:hint="eastAsia"/>
          <w:sz w:val="20"/>
          <w:szCs w:val="20"/>
        </w:rPr>
        <w:t>c</w:t>
      </w:r>
      <w:r>
        <w:rPr>
          <w:rFonts w:ascii="Times New Roman" w:hAnsi="Times New Roman" w:cs="Times New Roman"/>
          <w:sz w:val="20"/>
          <w:szCs w:val="20"/>
        </w:rPr>
        <w:t xml:space="preserve">lassification report of </w:t>
      </w:r>
      <w:r>
        <w:rPr>
          <w:rFonts w:ascii="Times New Roman" w:hAnsi="Times New Roman" w:cs="Times New Roman" w:hint="eastAsia"/>
          <w:sz w:val="20"/>
          <w:szCs w:val="20"/>
        </w:rPr>
        <w:t xml:space="preserve">the </w:t>
      </w:r>
      <w:r>
        <w:rPr>
          <w:rFonts w:ascii="Times New Roman" w:hAnsi="Times New Roman" w:cs="Times New Roman"/>
          <w:sz w:val="20"/>
          <w:szCs w:val="20"/>
        </w:rPr>
        <w:t xml:space="preserve">internal test group </w:t>
      </w:r>
      <w:bookmarkStart w:id="3" w:name="OLE_LINK14"/>
      <w:r>
        <w:rPr>
          <w:rFonts w:ascii="Times New Roman" w:hAnsi="Times New Roman" w:cs="Times New Roman"/>
          <w:sz w:val="20"/>
          <w:szCs w:val="20"/>
        </w:rPr>
        <w:t>of optimal predictive model</w:t>
      </w:r>
      <w:bookmarkEnd w:id="3"/>
      <w:r>
        <w:rPr>
          <w:rFonts w:ascii="Times New Roman" w:hAnsi="Times New Roman" w:cs="Times New Roman"/>
          <w:sz w:val="20"/>
          <w:szCs w:val="20"/>
        </w:rPr>
        <w:t xml:space="preserve">. </w:t>
      </w:r>
      <w:r>
        <w:rPr>
          <w:rFonts w:ascii="Times New Roman" w:hAnsi="Times New Roman" w:cs="Times New Roman" w:hint="eastAsia"/>
          <w:sz w:val="20"/>
          <w:szCs w:val="20"/>
        </w:rPr>
        <w:t>b</w:t>
      </w:r>
      <w:r>
        <w:rPr>
          <w:rFonts w:ascii="Times New Roman" w:hAnsi="Times New Roman" w:cs="Times New Roman"/>
          <w:sz w:val="20"/>
          <w:szCs w:val="20"/>
        </w:rPr>
        <w:t xml:space="preserve">, </w:t>
      </w:r>
      <w:r>
        <w:rPr>
          <w:rFonts w:ascii="Times New Roman" w:hAnsi="Times New Roman" w:cs="Times New Roman" w:hint="eastAsia"/>
          <w:sz w:val="20"/>
          <w:szCs w:val="20"/>
        </w:rPr>
        <w:t>c</w:t>
      </w:r>
      <w:r>
        <w:rPr>
          <w:rFonts w:ascii="Times New Roman" w:hAnsi="Times New Roman" w:cs="Times New Roman"/>
          <w:sz w:val="20"/>
          <w:szCs w:val="20"/>
        </w:rPr>
        <w:t xml:space="preserve">onfusion matrix of </w:t>
      </w:r>
      <w:r>
        <w:rPr>
          <w:rFonts w:ascii="Times New Roman" w:hAnsi="Times New Roman" w:cs="Times New Roman" w:hint="eastAsia"/>
          <w:sz w:val="20"/>
          <w:szCs w:val="20"/>
        </w:rPr>
        <w:t>ex</w:t>
      </w:r>
      <w:r>
        <w:rPr>
          <w:rFonts w:ascii="Times New Roman" w:hAnsi="Times New Roman" w:cs="Times New Roman"/>
          <w:sz w:val="20"/>
          <w:szCs w:val="20"/>
        </w:rPr>
        <w:t>ternal test group</w:t>
      </w:r>
      <w:r>
        <w:rPr>
          <w:rFonts w:ascii="Times New Roman" w:hAnsi="Times New Roman" w:cs="Times New Roman" w:hint="eastAsia"/>
          <w:sz w:val="20"/>
          <w:szCs w:val="20"/>
        </w:rPr>
        <w:t xml:space="preserve"> </w:t>
      </w:r>
      <w:r>
        <w:rPr>
          <w:rFonts w:ascii="Times New Roman" w:hAnsi="Times New Roman" w:cs="Times New Roman"/>
          <w:sz w:val="20"/>
          <w:szCs w:val="20"/>
        </w:rPr>
        <w:t>of optimal predictive model</w:t>
      </w:r>
      <w:r>
        <w:rPr>
          <w:rFonts w:ascii="Times New Roman" w:hAnsi="Times New Roman" w:cs="Times New Roman" w:hint="eastAsia"/>
          <w:sz w:val="20"/>
          <w:szCs w:val="20"/>
        </w:rPr>
        <w:t xml:space="preserve">; c, class prediction error in the internal test group </w:t>
      </w:r>
      <w:r>
        <w:rPr>
          <w:rFonts w:ascii="Times New Roman" w:hAnsi="Times New Roman" w:cs="Times New Roman"/>
          <w:sz w:val="20"/>
          <w:szCs w:val="20"/>
        </w:rPr>
        <w:t>of optimal predictive model</w:t>
      </w:r>
      <w:r>
        <w:rPr>
          <w:rFonts w:ascii="Times New Roman" w:hAnsi="Times New Roman" w:cs="Times New Roman" w:hint="eastAsia"/>
          <w:sz w:val="20"/>
          <w:szCs w:val="20"/>
        </w:rPr>
        <w:t>; d, c</w:t>
      </w:r>
      <w:r>
        <w:rPr>
          <w:rFonts w:ascii="Times New Roman" w:hAnsi="Times New Roman" w:cs="Times New Roman"/>
          <w:sz w:val="20"/>
          <w:szCs w:val="20"/>
        </w:rPr>
        <w:t xml:space="preserve">onfusion matrix </w:t>
      </w:r>
      <w:r>
        <w:rPr>
          <w:rFonts w:ascii="Times New Roman" w:hAnsi="Times New Roman" w:cs="Times New Roman" w:hint="eastAsia"/>
          <w:sz w:val="20"/>
          <w:szCs w:val="20"/>
        </w:rPr>
        <w:t>of</w:t>
      </w:r>
      <w:r>
        <w:rPr>
          <w:rFonts w:ascii="Times New Roman" w:hAnsi="Times New Roman" w:cs="Times New Roman"/>
          <w:sz w:val="20"/>
          <w:szCs w:val="20"/>
        </w:rPr>
        <w:t xml:space="preserve"> </w:t>
      </w:r>
      <w:r>
        <w:rPr>
          <w:rFonts w:ascii="Times New Roman" w:hAnsi="Times New Roman" w:cs="Times New Roman" w:hint="eastAsia"/>
          <w:sz w:val="20"/>
          <w:szCs w:val="20"/>
        </w:rPr>
        <w:t xml:space="preserve">the </w:t>
      </w:r>
      <w:r>
        <w:rPr>
          <w:rFonts w:ascii="Times New Roman" w:hAnsi="Times New Roman" w:cs="Times New Roman"/>
          <w:sz w:val="20"/>
          <w:szCs w:val="20"/>
        </w:rPr>
        <w:t>external test group</w:t>
      </w:r>
      <w:r>
        <w:rPr>
          <w:rFonts w:ascii="Times New Roman" w:hAnsi="Times New Roman" w:cs="Times New Roman" w:hint="eastAsia"/>
          <w:sz w:val="20"/>
          <w:szCs w:val="20"/>
        </w:rPr>
        <w:t xml:space="preserve"> </w:t>
      </w:r>
      <w:r>
        <w:rPr>
          <w:rFonts w:ascii="Times New Roman" w:hAnsi="Times New Roman" w:cs="Times New Roman"/>
          <w:sz w:val="20"/>
          <w:szCs w:val="20"/>
        </w:rPr>
        <w:t>of optimal predictive model.</w:t>
      </w:r>
    </w:p>
    <w:p w14:paraId="27F46F49" w14:textId="77777777" w:rsidR="00024F56" w:rsidRDefault="0022519B">
      <w:pPr>
        <w:spacing w:line="480" w:lineRule="auto"/>
        <w:rPr>
          <w:rFonts w:ascii="Times New Roman" w:hAnsi="Times New Roman" w:cs="Times New Roman"/>
          <w:b/>
          <w:color w:val="FF0000"/>
          <w:sz w:val="20"/>
          <w:szCs w:val="20"/>
        </w:rPr>
      </w:pPr>
      <w:r>
        <w:rPr>
          <w:rFonts w:ascii="Times New Roman" w:hAnsi="Times New Roman" w:cs="Times New Roman"/>
          <w:b/>
          <w:color w:val="FF0000"/>
          <w:sz w:val="20"/>
          <w:szCs w:val="20"/>
        </w:rPr>
        <w:br w:type="page"/>
      </w:r>
    </w:p>
    <w:p w14:paraId="675E077A" w14:textId="77777777" w:rsidR="00024F56" w:rsidRDefault="0022519B">
      <w:pPr>
        <w:spacing w:line="480" w:lineRule="auto"/>
        <w:jc w:val="center"/>
        <w:rPr>
          <w:rFonts w:ascii="宋体" w:eastAsia="宋体" w:hAnsi="宋体" w:cs="宋体"/>
          <w:sz w:val="20"/>
          <w:szCs w:val="20"/>
        </w:rPr>
      </w:pPr>
      <w:r>
        <w:rPr>
          <w:rFonts w:ascii="宋体" w:eastAsia="宋体" w:hAnsi="宋体" w:cs="宋体"/>
          <w:noProof/>
          <w:sz w:val="20"/>
          <w:szCs w:val="20"/>
        </w:rPr>
        <w:lastRenderedPageBreak/>
        <w:drawing>
          <wp:inline distT="0" distB="0" distL="114300" distR="114300" wp14:anchorId="3E8F8C45" wp14:editId="240516DF">
            <wp:extent cx="5717540" cy="5933440"/>
            <wp:effectExtent l="0" t="0" r="12700" b="10160"/>
            <wp:docPr id="2"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IMG_256"/>
                    <pic:cNvPicPr>
                      <a:picLocks noChangeAspect="1"/>
                    </pic:cNvPicPr>
                  </pic:nvPicPr>
                  <pic:blipFill>
                    <a:blip r:embed="rId13"/>
                    <a:stretch>
                      <a:fillRect/>
                    </a:stretch>
                  </pic:blipFill>
                  <pic:spPr>
                    <a:xfrm>
                      <a:off x="0" y="0"/>
                      <a:ext cx="5717540" cy="5933440"/>
                    </a:xfrm>
                    <a:prstGeom prst="rect">
                      <a:avLst/>
                    </a:prstGeom>
                    <a:noFill/>
                    <a:ln w="9525">
                      <a:noFill/>
                    </a:ln>
                  </pic:spPr>
                </pic:pic>
              </a:graphicData>
            </a:graphic>
          </wp:inline>
        </w:drawing>
      </w:r>
    </w:p>
    <w:p w14:paraId="1D51C9DC" w14:textId="77777777" w:rsidR="00024F56" w:rsidRDefault="0022519B">
      <w:pPr>
        <w:spacing w:line="360" w:lineRule="auto"/>
        <w:jc w:val="center"/>
        <w:rPr>
          <w:rFonts w:ascii="Times New Roman" w:hAnsi="Times New Roman" w:cs="Times New Roman"/>
          <w:b/>
          <w:color w:val="FF0000"/>
          <w:sz w:val="20"/>
          <w:szCs w:val="20"/>
        </w:rPr>
      </w:pPr>
      <w:r>
        <w:rPr>
          <w:rFonts w:ascii="Times New Roman" w:hAnsi="Times New Roman" w:cs="Times New Roman"/>
          <w:bCs/>
          <w:sz w:val="20"/>
          <w:szCs w:val="20"/>
        </w:rPr>
        <w:t>Fig.</w:t>
      </w:r>
      <w:r>
        <w:rPr>
          <w:rFonts w:ascii="Times New Roman" w:hAnsi="Times New Roman" w:cs="Times New Roman" w:hint="eastAsia"/>
          <w:bCs/>
          <w:sz w:val="20"/>
          <w:szCs w:val="20"/>
        </w:rPr>
        <w:t xml:space="preserve"> S</w:t>
      </w:r>
      <w:r>
        <w:rPr>
          <w:rFonts w:ascii="Times New Roman" w:hAnsi="Times New Roman" w:cs="Times New Roman" w:hint="eastAsia"/>
          <w:bCs/>
          <w:sz w:val="20"/>
          <w:szCs w:val="20"/>
        </w:rPr>
        <w:t>5</w:t>
      </w:r>
      <w:r>
        <w:rPr>
          <w:rFonts w:ascii="Times New Roman" w:hAnsi="Times New Roman" w:cs="Times New Roman"/>
          <w:bCs/>
          <w:sz w:val="20"/>
          <w:szCs w:val="20"/>
        </w:rPr>
        <w:t xml:space="preserve"> The correlation</w:t>
      </w:r>
      <w:r>
        <w:rPr>
          <w:rFonts w:ascii="Times New Roman" w:hAnsi="Times New Roman" w:cs="Times New Roman" w:hint="eastAsia"/>
          <w:bCs/>
          <w:sz w:val="20"/>
          <w:szCs w:val="20"/>
        </w:rPr>
        <w:t xml:space="preserve"> heatmap</w:t>
      </w:r>
      <w:r>
        <w:rPr>
          <w:rFonts w:ascii="Times New Roman" w:hAnsi="Times New Roman" w:cs="Times New Roman" w:hint="eastAsia"/>
          <w:bCs/>
          <w:sz w:val="20"/>
          <w:szCs w:val="20"/>
        </w:rPr>
        <w:t xml:space="preserve"> and signification difference</w:t>
      </w:r>
      <w:r>
        <w:rPr>
          <w:rFonts w:ascii="Times New Roman" w:hAnsi="Times New Roman" w:cs="Times New Roman"/>
          <w:bCs/>
          <w:sz w:val="20"/>
          <w:szCs w:val="20"/>
        </w:rPr>
        <w:t xml:space="preserve"> </w:t>
      </w:r>
      <w:r>
        <w:rPr>
          <w:rFonts w:ascii="Times New Roman" w:hAnsi="Times New Roman" w:cs="Times New Roman" w:hint="eastAsia"/>
          <w:bCs/>
          <w:sz w:val="20"/>
          <w:szCs w:val="20"/>
        </w:rPr>
        <w:t xml:space="preserve">information </w:t>
      </w:r>
      <w:r>
        <w:rPr>
          <w:rFonts w:ascii="Times New Roman" w:hAnsi="Times New Roman" w:cs="Times New Roman"/>
          <w:bCs/>
          <w:sz w:val="20"/>
          <w:szCs w:val="20"/>
        </w:rPr>
        <w:t xml:space="preserve">of </w:t>
      </w:r>
      <w:r>
        <w:rPr>
          <w:rFonts w:ascii="Times New Roman" w:hAnsi="Times New Roman" w:cs="Times New Roman" w:hint="eastAsia"/>
          <w:bCs/>
          <w:sz w:val="20"/>
          <w:szCs w:val="20"/>
        </w:rPr>
        <w:t>8</w:t>
      </w:r>
      <w:r>
        <w:rPr>
          <w:rFonts w:ascii="Times New Roman" w:hAnsi="Times New Roman" w:cs="Times New Roman"/>
          <w:bCs/>
          <w:sz w:val="20"/>
          <w:szCs w:val="20"/>
        </w:rPr>
        <w:t xml:space="preserve"> HRFs</w:t>
      </w:r>
      <w:r>
        <w:rPr>
          <w:rFonts w:ascii="Times New Roman" w:hAnsi="Times New Roman" w:cs="Times New Roman" w:hint="eastAsia"/>
          <w:bCs/>
          <w:sz w:val="20"/>
          <w:szCs w:val="20"/>
        </w:rPr>
        <w:t xml:space="preserve"> and 2 clinical factors</w:t>
      </w:r>
      <w:r>
        <w:rPr>
          <w:rFonts w:ascii="Times New Roman" w:hAnsi="Times New Roman" w:cs="Times New Roman"/>
          <w:bCs/>
          <w:sz w:val="20"/>
          <w:szCs w:val="20"/>
        </w:rPr>
        <w:t xml:space="preserve"> of optimal model</w:t>
      </w:r>
      <w:r>
        <w:rPr>
          <w:rFonts w:ascii="Times New Roman" w:hAnsi="Times New Roman" w:cs="Times New Roman" w:hint="eastAsia"/>
          <w:bCs/>
          <w:sz w:val="20"/>
          <w:szCs w:val="20"/>
        </w:rPr>
        <w:t>.</w:t>
      </w:r>
      <w:r>
        <w:rPr>
          <w:rFonts w:ascii="Times New Roman" w:hAnsi="Times New Roman" w:cs="Times New Roman" w:hint="eastAsia"/>
          <w:bCs/>
          <w:sz w:val="20"/>
          <w:szCs w:val="20"/>
        </w:rPr>
        <w:t xml:space="preserve"> </w:t>
      </w:r>
    </w:p>
    <w:p w14:paraId="65B9BE08" w14:textId="77777777" w:rsidR="00024F56" w:rsidRDefault="00024F56">
      <w:pPr>
        <w:spacing w:line="480" w:lineRule="auto"/>
        <w:rPr>
          <w:rFonts w:ascii="Times New Roman" w:hAnsi="Times New Roman" w:cs="Times New Roman"/>
          <w:b/>
          <w:color w:val="FF0000"/>
          <w:sz w:val="20"/>
          <w:szCs w:val="20"/>
        </w:rPr>
      </w:pPr>
    </w:p>
    <w:p w14:paraId="21BC3331" w14:textId="77777777" w:rsidR="00024F56" w:rsidRDefault="00024F56">
      <w:pPr>
        <w:widowControl/>
        <w:jc w:val="center"/>
        <w:rPr>
          <w:rFonts w:ascii="Times New Roman" w:hAnsi="Times New Roman" w:cs="Times New Roman"/>
          <w:bCs/>
          <w:sz w:val="20"/>
          <w:szCs w:val="20"/>
        </w:rPr>
      </w:pPr>
    </w:p>
    <w:p w14:paraId="4C04A30F" w14:textId="77777777" w:rsidR="00024F56" w:rsidRDefault="0022519B">
      <w:pPr>
        <w:widowControl/>
        <w:jc w:val="center"/>
        <w:rPr>
          <w:rFonts w:ascii="Times New Roman" w:hAnsi="Times New Roman" w:cs="Times New Roman"/>
          <w:bCs/>
          <w:sz w:val="20"/>
          <w:szCs w:val="20"/>
        </w:rPr>
      </w:pPr>
      <w:r>
        <w:rPr>
          <w:rFonts w:ascii="Times New Roman" w:hAnsi="Times New Roman" w:cs="Times New Roman" w:hint="eastAsia"/>
          <w:bCs/>
          <w:noProof/>
          <w:sz w:val="20"/>
          <w:szCs w:val="20"/>
        </w:rPr>
        <w:lastRenderedPageBreak/>
        <w:drawing>
          <wp:inline distT="0" distB="0" distL="114300" distR="114300" wp14:anchorId="724B40C0" wp14:editId="4BFFFA7D">
            <wp:extent cx="4604385" cy="7658735"/>
            <wp:effectExtent l="0" t="0" r="5715" b="18415"/>
            <wp:docPr id="10" name="图片 10" descr="XAI补充文件"/>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XAI补充文件"/>
                    <pic:cNvPicPr>
                      <a:picLocks noChangeAspect="1"/>
                    </pic:cNvPicPr>
                  </pic:nvPicPr>
                  <pic:blipFill>
                    <a:blip r:embed="rId14"/>
                    <a:stretch>
                      <a:fillRect/>
                    </a:stretch>
                  </pic:blipFill>
                  <pic:spPr>
                    <a:xfrm>
                      <a:off x="0" y="0"/>
                      <a:ext cx="4604385" cy="7658735"/>
                    </a:xfrm>
                    <a:prstGeom prst="rect">
                      <a:avLst/>
                    </a:prstGeom>
                  </pic:spPr>
                </pic:pic>
              </a:graphicData>
            </a:graphic>
          </wp:inline>
        </w:drawing>
      </w:r>
    </w:p>
    <w:p w14:paraId="68F0627E" w14:textId="77777777" w:rsidR="00024F56" w:rsidRDefault="0022519B">
      <w:pPr>
        <w:jc w:val="center"/>
        <w:rPr>
          <w:rFonts w:ascii="Times New Roman" w:hAnsi="Times New Roman" w:cs="Times New Roman"/>
          <w:b/>
          <w:color w:val="FF0000"/>
          <w:sz w:val="20"/>
          <w:szCs w:val="20"/>
        </w:rPr>
      </w:pPr>
      <w:r>
        <w:rPr>
          <w:rFonts w:ascii="Times New Roman" w:hAnsi="Times New Roman" w:cs="Times New Roman"/>
          <w:bCs/>
          <w:sz w:val="20"/>
          <w:szCs w:val="20"/>
        </w:rPr>
        <w:t>Fig.</w:t>
      </w:r>
      <w:r>
        <w:rPr>
          <w:rFonts w:ascii="Times New Roman" w:hAnsi="Times New Roman" w:cs="Times New Roman" w:hint="eastAsia"/>
          <w:bCs/>
          <w:sz w:val="20"/>
          <w:szCs w:val="20"/>
        </w:rPr>
        <w:t xml:space="preserve"> S</w:t>
      </w:r>
      <w:r>
        <w:rPr>
          <w:rFonts w:ascii="Times New Roman" w:hAnsi="Times New Roman" w:cs="Times New Roman" w:hint="eastAsia"/>
          <w:bCs/>
          <w:sz w:val="20"/>
          <w:szCs w:val="20"/>
        </w:rPr>
        <w:t>6</w:t>
      </w:r>
      <w:r>
        <w:rPr>
          <w:rFonts w:ascii="Times New Roman" w:hAnsi="Times New Roman" w:cs="Times New Roman"/>
          <w:bCs/>
          <w:sz w:val="20"/>
          <w:szCs w:val="20"/>
        </w:rPr>
        <w:t xml:space="preserve"> </w:t>
      </w:r>
      <w:r>
        <w:rPr>
          <w:rFonts w:ascii="Times New Roman" w:hAnsi="Times New Roman" w:cs="Times New Roman" w:hint="eastAsia"/>
          <w:bCs/>
          <w:sz w:val="20"/>
          <w:szCs w:val="20"/>
        </w:rPr>
        <w:t>Model interpretation of initial optimal EGFR mutation status prediction model</w:t>
      </w:r>
    </w:p>
    <w:p w14:paraId="68FF7920" w14:textId="77777777" w:rsidR="00024F56" w:rsidRDefault="0022519B">
      <w:pPr>
        <w:jc w:val="center"/>
        <w:rPr>
          <w:rFonts w:ascii="Times New Roman" w:hAnsi="Times New Roman" w:cs="Times New Roman"/>
          <w:bCs/>
          <w:sz w:val="20"/>
          <w:szCs w:val="20"/>
        </w:rPr>
      </w:pPr>
      <w:bookmarkStart w:id="4" w:name="OLE_LINK7"/>
      <w:r>
        <w:rPr>
          <w:rFonts w:ascii="Times New Roman" w:hAnsi="Times New Roman" w:cs="Times New Roman" w:hint="eastAsia"/>
          <w:bCs/>
          <w:sz w:val="20"/>
          <w:szCs w:val="20"/>
        </w:rPr>
        <w:t>a</w:t>
      </w:r>
      <w:r>
        <w:rPr>
          <w:rFonts w:ascii="Times New Roman" w:hAnsi="Times New Roman" w:cs="Times New Roman"/>
          <w:bCs/>
          <w:sz w:val="20"/>
          <w:szCs w:val="20"/>
        </w:rPr>
        <w:t xml:space="preserve">, </w:t>
      </w:r>
      <w:r>
        <w:rPr>
          <w:rFonts w:ascii="Times New Roman" w:hAnsi="Times New Roman" w:cs="Times New Roman" w:hint="eastAsia"/>
          <w:bCs/>
          <w:sz w:val="20"/>
          <w:szCs w:val="20"/>
        </w:rPr>
        <w:t>feature importance of the original initial prediction model</w:t>
      </w:r>
      <w:r>
        <w:rPr>
          <w:rFonts w:ascii="Times New Roman" w:hAnsi="Times New Roman" w:cs="Times New Roman"/>
          <w:bCs/>
          <w:sz w:val="20"/>
          <w:szCs w:val="20"/>
        </w:rPr>
        <w:t xml:space="preserve">; </w:t>
      </w:r>
      <w:r>
        <w:rPr>
          <w:rFonts w:ascii="Times New Roman" w:hAnsi="Times New Roman" w:cs="Times New Roman" w:hint="eastAsia"/>
          <w:bCs/>
          <w:sz w:val="20"/>
          <w:szCs w:val="20"/>
        </w:rPr>
        <w:t>b</w:t>
      </w:r>
      <w:r>
        <w:rPr>
          <w:rFonts w:ascii="Times New Roman" w:hAnsi="Times New Roman" w:cs="Times New Roman"/>
          <w:bCs/>
          <w:sz w:val="20"/>
          <w:szCs w:val="20"/>
        </w:rPr>
        <w:t>,</w:t>
      </w:r>
      <w:r>
        <w:rPr>
          <w:rFonts w:ascii="Times New Roman" w:hAnsi="Times New Roman" w:cs="Times New Roman" w:hint="eastAsia"/>
          <w:bCs/>
          <w:sz w:val="20"/>
          <w:szCs w:val="20"/>
        </w:rPr>
        <w:t xml:space="preserve"> </w:t>
      </w:r>
      <w:r>
        <w:rPr>
          <w:rFonts w:ascii="Times New Roman" w:hAnsi="Times New Roman" w:cs="Times New Roman" w:hint="eastAsia"/>
          <w:bCs/>
          <w:sz w:val="20"/>
          <w:szCs w:val="20"/>
        </w:rPr>
        <w:t xml:space="preserve">mean SHAP value of the initial optimal </w:t>
      </w:r>
      <w:r>
        <w:rPr>
          <w:rFonts w:ascii="Times New Roman" w:hAnsi="Times New Roman" w:cs="Times New Roman" w:hint="eastAsia"/>
          <w:bCs/>
          <w:sz w:val="20"/>
          <w:szCs w:val="20"/>
        </w:rPr>
        <w:t>prediction model</w:t>
      </w:r>
      <w:r>
        <w:rPr>
          <w:rFonts w:ascii="Times New Roman" w:hAnsi="Times New Roman" w:cs="Times New Roman"/>
          <w:bCs/>
          <w:sz w:val="20"/>
          <w:szCs w:val="20"/>
        </w:rPr>
        <w:t xml:space="preserve">; </w:t>
      </w:r>
      <w:r>
        <w:rPr>
          <w:rFonts w:ascii="Times New Roman" w:hAnsi="Times New Roman" w:cs="Times New Roman" w:hint="eastAsia"/>
          <w:bCs/>
          <w:sz w:val="20"/>
          <w:szCs w:val="20"/>
        </w:rPr>
        <w:t xml:space="preserve">c, </w:t>
      </w:r>
      <w:r>
        <w:rPr>
          <w:rFonts w:ascii="Times New Roman" w:hAnsi="Times New Roman" w:cs="Times New Roman" w:hint="eastAsia"/>
          <w:bCs/>
          <w:sz w:val="20"/>
          <w:szCs w:val="20"/>
        </w:rPr>
        <w:t>SHAP value of the initial optimal prediction model</w:t>
      </w:r>
      <w:r>
        <w:rPr>
          <w:rFonts w:ascii="Times New Roman" w:hAnsi="Times New Roman" w:cs="Times New Roman"/>
          <w:bCs/>
          <w:sz w:val="20"/>
          <w:szCs w:val="20"/>
        </w:rPr>
        <w:t xml:space="preserve">; </w:t>
      </w:r>
      <w:r>
        <w:rPr>
          <w:rFonts w:ascii="Times New Roman" w:hAnsi="Times New Roman" w:cs="Times New Roman" w:hint="eastAsia"/>
          <w:bCs/>
          <w:sz w:val="20"/>
          <w:szCs w:val="20"/>
        </w:rPr>
        <w:t>d</w:t>
      </w:r>
      <w:r>
        <w:rPr>
          <w:rFonts w:ascii="Times New Roman" w:hAnsi="Times New Roman" w:cs="Times New Roman"/>
          <w:bCs/>
          <w:sz w:val="20"/>
          <w:szCs w:val="20"/>
        </w:rPr>
        <w:t>,</w:t>
      </w:r>
      <w:r>
        <w:rPr>
          <w:rFonts w:ascii="Times New Roman" w:hAnsi="Times New Roman" w:cs="Times New Roman" w:hint="eastAsia"/>
          <w:bCs/>
          <w:sz w:val="20"/>
          <w:szCs w:val="20"/>
        </w:rPr>
        <w:t xml:space="preserve"> </w:t>
      </w:r>
      <w:r>
        <w:rPr>
          <w:rFonts w:ascii="Times New Roman" w:hAnsi="Times New Roman" w:cs="Times New Roman" w:hint="eastAsia"/>
          <w:bCs/>
          <w:sz w:val="20"/>
          <w:szCs w:val="20"/>
        </w:rPr>
        <w:t>LIME model interpretation</w:t>
      </w:r>
      <w:r>
        <w:rPr>
          <w:rFonts w:ascii="Times New Roman" w:hAnsi="Times New Roman" w:cs="Times New Roman" w:hint="eastAsia"/>
          <w:bCs/>
          <w:sz w:val="20"/>
          <w:szCs w:val="20"/>
        </w:rPr>
        <w:t xml:space="preserve">; e, </w:t>
      </w:r>
      <w:r>
        <w:rPr>
          <w:rFonts w:ascii="Times New Roman" w:hAnsi="Times New Roman" w:cs="Times New Roman" w:hint="eastAsia"/>
          <w:bCs/>
          <w:sz w:val="20"/>
          <w:szCs w:val="20"/>
        </w:rPr>
        <w:t>ELI5 model interpretation</w:t>
      </w:r>
      <w:r>
        <w:rPr>
          <w:rFonts w:ascii="Times New Roman" w:hAnsi="Times New Roman" w:cs="Times New Roman" w:hint="eastAsia"/>
          <w:bCs/>
          <w:sz w:val="20"/>
          <w:szCs w:val="20"/>
        </w:rPr>
        <w:t>.</w:t>
      </w:r>
      <w:bookmarkEnd w:id="4"/>
    </w:p>
    <w:p w14:paraId="2BD6BC68" w14:textId="77777777" w:rsidR="00024F56" w:rsidRDefault="00024F56">
      <w:pPr>
        <w:spacing w:line="480" w:lineRule="auto"/>
        <w:rPr>
          <w:rFonts w:ascii="Times New Roman" w:hAnsi="Times New Roman" w:cs="Times New Roman"/>
          <w:b/>
          <w:color w:val="FF0000"/>
          <w:sz w:val="20"/>
          <w:szCs w:val="20"/>
        </w:rPr>
      </w:pPr>
    </w:p>
    <w:p w14:paraId="6806BE51" w14:textId="77777777" w:rsidR="00024F56" w:rsidRDefault="00024F56">
      <w:pPr>
        <w:spacing w:line="480" w:lineRule="auto"/>
        <w:jc w:val="center"/>
        <w:rPr>
          <w:rFonts w:ascii="Times New Roman" w:hAnsi="Times New Roman" w:cs="Times New Roman"/>
          <w:b/>
          <w:color w:val="FF0000"/>
          <w:sz w:val="20"/>
          <w:szCs w:val="20"/>
        </w:rPr>
      </w:pPr>
    </w:p>
    <w:p w14:paraId="65C00FC7" w14:textId="77777777" w:rsidR="00024F56" w:rsidRDefault="0022519B">
      <w:pPr>
        <w:rPr>
          <w:rFonts w:ascii="Times New Roman" w:hAnsi="Times New Roman" w:cs="Times New Roman"/>
          <w:sz w:val="20"/>
          <w:szCs w:val="20"/>
        </w:rPr>
      </w:pPr>
      <w:r>
        <w:rPr>
          <w:rFonts w:ascii="Times New Roman" w:hAnsi="Times New Roman" w:cs="Times New Roman"/>
          <w:sz w:val="20"/>
          <w:szCs w:val="20"/>
        </w:rPr>
        <w:br w:type="page"/>
      </w:r>
    </w:p>
    <w:p w14:paraId="142A23C8" w14:textId="77777777" w:rsidR="00024F56" w:rsidRDefault="0022519B">
      <w:pPr>
        <w:pStyle w:val="2"/>
        <w:spacing w:before="120" w:after="120" w:line="480" w:lineRule="auto"/>
        <w:jc w:val="center"/>
        <w:rPr>
          <w:rFonts w:ascii="Times New Roman" w:hAnsi="Times New Roman" w:cs="Times New Roman"/>
          <w:sz w:val="20"/>
          <w:szCs w:val="20"/>
        </w:rPr>
      </w:pPr>
      <w:r>
        <w:rPr>
          <w:rFonts w:ascii="Times New Roman" w:hAnsi="Times New Roman" w:cs="Times New Roman"/>
          <w:sz w:val="20"/>
          <w:szCs w:val="20"/>
        </w:rPr>
        <w:lastRenderedPageBreak/>
        <w:t>T</w:t>
      </w:r>
      <w:r>
        <w:rPr>
          <w:rFonts w:ascii="Times New Roman" w:hAnsi="Times New Roman" w:cs="Times New Roman"/>
          <w:kern w:val="44"/>
          <w:sz w:val="20"/>
          <w:szCs w:val="20"/>
        </w:rPr>
        <w:t xml:space="preserve">able </w:t>
      </w:r>
      <w:r>
        <w:rPr>
          <w:rFonts w:ascii="Times New Roman" w:hAnsi="Times New Roman" w:cs="Times New Roman" w:hint="eastAsia"/>
          <w:kern w:val="44"/>
          <w:sz w:val="20"/>
          <w:szCs w:val="20"/>
        </w:rPr>
        <w:t>S</w:t>
      </w:r>
      <w:r>
        <w:rPr>
          <w:rFonts w:ascii="Times New Roman" w:hAnsi="Times New Roman" w:cs="Times New Roman"/>
          <w:kern w:val="44"/>
          <w:sz w:val="20"/>
          <w:szCs w:val="20"/>
        </w:rPr>
        <w:t>1 S</w:t>
      </w:r>
      <w:r>
        <w:rPr>
          <w:rFonts w:ascii="Times New Roman" w:hAnsi="Times New Roman" w:cs="Times New Roman"/>
          <w:sz w:val="20"/>
          <w:szCs w:val="20"/>
        </w:rPr>
        <w:t>canner information and imaging protocols</w:t>
      </w:r>
    </w:p>
    <w:tbl>
      <w:tblPr>
        <w:tblStyle w:val="21"/>
        <w:tblpPr w:leftFromText="181" w:rightFromText="181" w:vertAnchor="text" w:horzAnchor="page" w:tblpXSpec="center" w:tblpY="71"/>
        <w:tblOverlap w:val="never"/>
        <w:tblW w:w="9842" w:type="dxa"/>
        <w:jc w:val="center"/>
        <w:tblInd w:w="0" w:type="dxa"/>
        <w:tblBorders>
          <w:left w:val="none" w:sz="0" w:space="0" w:color="auto"/>
          <w:right w:val="none" w:sz="0" w:space="0" w:color="auto"/>
          <w:insideH w:val="none" w:sz="0" w:space="0" w:color="auto"/>
          <w:insideV w:val="none" w:sz="0" w:space="0" w:color="auto"/>
        </w:tblBorders>
        <w:tblLayout w:type="fixed"/>
        <w:tblCellMar>
          <w:left w:w="108" w:type="dxa"/>
          <w:right w:w="108" w:type="dxa"/>
        </w:tblCellMar>
        <w:tblLook w:val="04A0" w:firstRow="1" w:lastRow="0" w:firstColumn="1" w:lastColumn="0" w:noHBand="0" w:noVBand="1"/>
      </w:tblPr>
      <w:tblGrid>
        <w:gridCol w:w="3172"/>
        <w:gridCol w:w="3004"/>
        <w:gridCol w:w="3666"/>
      </w:tblGrid>
      <w:tr w:rsidR="00024F56" w14:paraId="49729055" w14:textId="77777777">
        <w:trPr>
          <w:jc w:val="center"/>
        </w:trPr>
        <w:tc>
          <w:tcPr>
            <w:tcW w:w="3172" w:type="dxa"/>
            <w:tcBorders>
              <w:bottom w:val="single" w:sz="4" w:space="0" w:color="auto"/>
            </w:tcBorders>
            <w:vAlign w:val="center"/>
          </w:tcPr>
          <w:p w14:paraId="2FAB6502" w14:textId="77777777" w:rsidR="00024F56" w:rsidRDefault="0022519B">
            <w:pPr>
              <w:spacing w:line="360" w:lineRule="auto"/>
              <w:jc w:val="center"/>
              <w:rPr>
                <w:rFonts w:ascii="Times New Roman" w:eastAsia="宋体" w:hAnsi="Times New Roman" w:cs="Times New Roman"/>
                <w:sz w:val="20"/>
                <w:szCs w:val="20"/>
              </w:rPr>
            </w:pPr>
            <w:bookmarkStart w:id="5" w:name="OLE_LINK26"/>
            <w:r>
              <w:rPr>
                <w:rFonts w:ascii="Times New Roman" w:eastAsia="宋体" w:hAnsi="Times New Roman" w:cs="Times New Roman"/>
                <w:sz w:val="20"/>
                <w:szCs w:val="20"/>
              </w:rPr>
              <w:t>Characteristics</w:t>
            </w:r>
          </w:p>
        </w:tc>
        <w:tc>
          <w:tcPr>
            <w:tcW w:w="3004" w:type="dxa"/>
            <w:tcBorders>
              <w:bottom w:val="single" w:sz="4" w:space="0" w:color="auto"/>
            </w:tcBorders>
            <w:vAlign w:val="center"/>
          </w:tcPr>
          <w:p w14:paraId="5D4EBDCA" w14:textId="77777777" w:rsidR="00024F56" w:rsidRDefault="0022519B">
            <w:pPr>
              <w:spacing w:line="360" w:lineRule="auto"/>
              <w:jc w:val="center"/>
              <w:rPr>
                <w:rFonts w:ascii="Times New Roman" w:eastAsia="宋体" w:hAnsi="Times New Roman" w:cs="Times New Roman"/>
                <w:sz w:val="20"/>
                <w:szCs w:val="20"/>
              </w:rPr>
            </w:pPr>
            <w:bookmarkStart w:id="6" w:name="OLE_LINK5"/>
            <w:r>
              <w:rPr>
                <w:rFonts w:ascii="Times New Roman" w:eastAsia="宋体" w:hAnsi="Times New Roman" w:cs="Times New Roman" w:hint="eastAsia"/>
                <w:sz w:val="20"/>
                <w:szCs w:val="20"/>
              </w:rPr>
              <w:t>Hospital A</w:t>
            </w:r>
            <w:bookmarkEnd w:id="6"/>
          </w:p>
        </w:tc>
        <w:tc>
          <w:tcPr>
            <w:tcW w:w="3666" w:type="dxa"/>
            <w:tcBorders>
              <w:bottom w:val="single" w:sz="4" w:space="0" w:color="auto"/>
            </w:tcBorders>
            <w:vAlign w:val="center"/>
          </w:tcPr>
          <w:p w14:paraId="30D3D3D6" w14:textId="77777777" w:rsidR="00024F56" w:rsidRDefault="0022519B">
            <w:pPr>
              <w:spacing w:line="360" w:lineRule="auto"/>
              <w:jc w:val="center"/>
              <w:rPr>
                <w:rFonts w:ascii="Times New Roman" w:eastAsia="宋体" w:hAnsi="Times New Roman" w:cs="Times New Roman"/>
                <w:sz w:val="20"/>
                <w:szCs w:val="20"/>
              </w:rPr>
            </w:pPr>
            <w:r>
              <w:rPr>
                <w:rFonts w:ascii="Times New Roman" w:eastAsia="宋体" w:hAnsi="Times New Roman" w:cs="Times New Roman" w:hint="eastAsia"/>
                <w:sz w:val="20"/>
                <w:szCs w:val="20"/>
              </w:rPr>
              <w:t>Hospital B</w:t>
            </w:r>
          </w:p>
        </w:tc>
      </w:tr>
      <w:tr w:rsidR="00024F56" w14:paraId="42A3B818" w14:textId="77777777">
        <w:trPr>
          <w:jc w:val="center"/>
        </w:trPr>
        <w:tc>
          <w:tcPr>
            <w:tcW w:w="3172" w:type="dxa"/>
            <w:tcBorders>
              <w:top w:val="single" w:sz="4" w:space="0" w:color="auto"/>
              <w:tl2br w:val="nil"/>
              <w:tr2bl w:val="nil"/>
            </w:tcBorders>
            <w:vAlign w:val="center"/>
          </w:tcPr>
          <w:p w14:paraId="4B17F3AE" w14:textId="77777777" w:rsidR="00024F56" w:rsidRDefault="0022519B">
            <w:pPr>
              <w:spacing w:line="360" w:lineRule="auto"/>
              <w:jc w:val="center"/>
              <w:rPr>
                <w:rFonts w:ascii="Times New Roman" w:eastAsia="宋体" w:hAnsi="Times New Roman" w:cs="Times New Roman"/>
                <w:sz w:val="20"/>
                <w:szCs w:val="20"/>
              </w:rPr>
            </w:pPr>
            <w:r>
              <w:rPr>
                <w:rFonts w:ascii="Times New Roman" w:eastAsia="宋体" w:hAnsi="Times New Roman" w:cs="Times New Roman"/>
                <w:sz w:val="20"/>
                <w:szCs w:val="20"/>
              </w:rPr>
              <w:t>Equipment</w:t>
            </w:r>
          </w:p>
        </w:tc>
        <w:tc>
          <w:tcPr>
            <w:tcW w:w="3004" w:type="dxa"/>
            <w:tcBorders>
              <w:top w:val="single" w:sz="4" w:space="0" w:color="auto"/>
              <w:tl2br w:val="nil"/>
              <w:tr2bl w:val="nil"/>
            </w:tcBorders>
            <w:vAlign w:val="center"/>
          </w:tcPr>
          <w:p w14:paraId="70EC3C24" w14:textId="77777777" w:rsidR="00024F56" w:rsidRDefault="0022519B">
            <w:pPr>
              <w:spacing w:line="360" w:lineRule="auto"/>
              <w:jc w:val="center"/>
              <w:rPr>
                <w:rFonts w:ascii="Times New Roman" w:eastAsia="宋体" w:hAnsi="Times New Roman" w:cs="Times New Roman"/>
                <w:bCs/>
                <w:kern w:val="44"/>
                <w:sz w:val="20"/>
                <w:szCs w:val="20"/>
              </w:rPr>
            </w:pPr>
            <w:r>
              <w:rPr>
                <w:rFonts w:ascii="Times New Roman" w:eastAsia="宋体" w:hAnsi="Times New Roman" w:cs="Times New Roman"/>
                <w:bCs/>
                <w:kern w:val="44"/>
                <w:sz w:val="20"/>
                <w:szCs w:val="20"/>
              </w:rPr>
              <w:t>SIEMENS</w:t>
            </w:r>
          </w:p>
          <w:p w14:paraId="31CC1A6E" w14:textId="77777777" w:rsidR="00024F56" w:rsidRDefault="0022519B">
            <w:pPr>
              <w:spacing w:line="360" w:lineRule="auto"/>
              <w:jc w:val="center"/>
              <w:rPr>
                <w:rFonts w:ascii="Times New Roman" w:eastAsia="宋体" w:hAnsi="Times New Roman" w:cs="Times New Roman"/>
                <w:sz w:val="20"/>
                <w:szCs w:val="20"/>
              </w:rPr>
            </w:pPr>
            <w:r>
              <w:rPr>
                <w:rFonts w:ascii="Times New Roman" w:eastAsia="宋体" w:hAnsi="Times New Roman" w:cs="Times New Roman"/>
                <w:bCs/>
                <w:kern w:val="44"/>
                <w:sz w:val="20"/>
                <w:szCs w:val="20"/>
              </w:rPr>
              <w:t>Biogragh 16HR</w:t>
            </w:r>
          </w:p>
        </w:tc>
        <w:tc>
          <w:tcPr>
            <w:tcW w:w="3666" w:type="dxa"/>
            <w:tcBorders>
              <w:top w:val="single" w:sz="4" w:space="0" w:color="auto"/>
              <w:tl2br w:val="nil"/>
              <w:tr2bl w:val="nil"/>
            </w:tcBorders>
            <w:vAlign w:val="center"/>
          </w:tcPr>
          <w:p w14:paraId="7E1EB06B" w14:textId="77777777" w:rsidR="00024F56" w:rsidRDefault="0022519B">
            <w:pPr>
              <w:spacing w:line="360" w:lineRule="auto"/>
              <w:jc w:val="center"/>
              <w:rPr>
                <w:rFonts w:ascii="Times New Roman" w:eastAsia="宋体" w:hAnsi="Times New Roman" w:cs="Times New Roman"/>
                <w:bCs/>
                <w:kern w:val="44"/>
                <w:sz w:val="20"/>
                <w:szCs w:val="20"/>
              </w:rPr>
            </w:pPr>
            <w:r>
              <w:rPr>
                <w:rFonts w:ascii="Times New Roman" w:eastAsia="宋体" w:hAnsi="Times New Roman" w:cs="Times New Roman"/>
                <w:bCs/>
                <w:kern w:val="44"/>
                <w:sz w:val="20"/>
                <w:szCs w:val="20"/>
              </w:rPr>
              <w:t>SIEMENS</w:t>
            </w:r>
          </w:p>
          <w:p w14:paraId="7A62FD7E" w14:textId="77777777" w:rsidR="00024F56" w:rsidRDefault="0022519B">
            <w:pPr>
              <w:spacing w:line="360" w:lineRule="auto"/>
              <w:jc w:val="center"/>
              <w:rPr>
                <w:rFonts w:ascii="Times New Roman" w:eastAsia="宋体" w:hAnsi="Times New Roman" w:cs="Times New Roman"/>
                <w:sz w:val="20"/>
                <w:szCs w:val="20"/>
              </w:rPr>
            </w:pPr>
            <w:bookmarkStart w:id="7" w:name="OLE_LINK8"/>
            <w:r>
              <w:rPr>
                <w:rFonts w:ascii="Times New Roman" w:eastAsia="宋体" w:hAnsi="Times New Roman" w:cs="Times New Roman"/>
                <w:bCs/>
                <w:kern w:val="44"/>
                <w:sz w:val="20"/>
                <w:szCs w:val="20"/>
              </w:rPr>
              <w:t>Biograph mCT-s</w:t>
            </w:r>
            <w:bookmarkEnd w:id="7"/>
          </w:p>
        </w:tc>
      </w:tr>
      <w:tr w:rsidR="00024F56" w14:paraId="09F17166" w14:textId="77777777">
        <w:trPr>
          <w:jc w:val="center"/>
        </w:trPr>
        <w:tc>
          <w:tcPr>
            <w:tcW w:w="3172" w:type="dxa"/>
            <w:tcBorders>
              <w:tl2br w:val="nil"/>
              <w:tr2bl w:val="nil"/>
            </w:tcBorders>
            <w:vAlign w:val="center"/>
          </w:tcPr>
          <w:p w14:paraId="1DDA4B29" w14:textId="77777777" w:rsidR="00024F56" w:rsidRDefault="0022519B">
            <w:pPr>
              <w:spacing w:line="360" w:lineRule="auto"/>
              <w:jc w:val="center"/>
              <w:rPr>
                <w:rFonts w:ascii="Times New Roman" w:eastAsia="宋体" w:hAnsi="Times New Roman" w:cs="Times New Roman"/>
                <w:sz w:val="20"/>
                <w:szCs w:val="20"/>
              </w:rPr>
            </w:pPr>
            <w:r>
              <w:rPr>
                <w:rFonts w:ascii="Times New Roman" w:eastAsia="宋体" w:hAnsi="Times New Roman" w:cs="Times New Roman"/>
                <w:bCs/>
                <w:kern w:val="44"/>
                <w:sz w:val="20"/>
                <w:szCs w:val="20"/>
              </w:rPr>
              <w:t>Reconstruction</w:t>
            </w:r>
          </w:p>
        </w:tc>
        <w:tc>
          <w:tcPr>
            <w:tcW w:w="3004" w:type="dxa"/>
            <w:tcBorders>
              <w:tl2br w:val="nil"/>
              <w:tr2bl w:val="nil"/>
            </w:tcBorders>
            <w:vAlign w:val="center"/>
          </w:tcPr>
          <w:p w14:paraId="5A822096" w14:textId="77777777" w:rsidR="00024F56" w:rsidRDefault="0022519B">
            <w:pPr>
              <w:spacing w:line="360" w:lineRule="auto"/>
              <w:jc w:val="center"/>
              <w:rPr>
                <w:rFonts w:ascii="Times New Roman" w:eastAsia="宋体" w:hAnsi="Times New Roman" w:cs="Times New Roman"/>
                <w:sz w:val="20"/>
                <w:szCs w:val="20"/>
              </w:rPr>
            </w:pPr>
            <w:r>
              <w:rPr>
                <w:rFonts w:ascii="Times New Roman" w:eastAsia="宋体" w:hAnsi="Times New Roman" w:cs="Times New Roman"/>
                <w:sz w:val="20"/>
                <w:szCs w:val="20"/>
              </w:rPr>
              <w:t>OSEM</w:t>
            </w:r>
          </w:p>
          <w:p w14:paraId="4D28F947" w14:textId="77777777" w:rsidR="00024F56" w:rsidRDefault="0022519B">
            <w:pPr>
              <w:spacing w:line="360" w:lineRule="auto"/>
              <w:jc w:val="center"/>
              <w:rPr>
                <w:rFonts w:ascii="Times New Roman" w:eastAsia="宋体" w:hAnsi="Times New Roman" w:cs="Times New Roman"/>
                <w:sz w:val="20"/>
                <w:szCs w:val="20"/>
              </w:rPr>
            </w:pPr>
            <w:r>
              <w:rPr>
                <w:rFonts w:ascii="Times New Roman" w:eastAsia="宋体" w:hAnsi="Times New Roman" w:cs="Times New Roman"/>
                <w:sz w:val="20"/>
                <w:szCs w:val="20"/>
              </w:rPr>
              <w:t>(Iterations 4; subsets 8)</w:t>
            </w:r>
          </w:p>
        </w:tc>
        <w:tc>
          <w:tcPr>
            <w:tcW w:w="3666" w:type="dxa"/>
            <w:tcBorders>
              <w:tl2br w:val="nil"/>
              <w:tr2bl w:val="nil"/>
            </w:tcBorders>
            <w:vAlign w:val="center"/>
          </w:tcPr>
          <w:p w14:paraId="37EFEA04" w14:textId="77777777" w:rsidR="00024F56" w:rsidRDefault="0022519B">
            <w:pPr>
              <w:spacing w:line="360" w:lineRule="auto"/>
              <w:jc w:val="center"/>
              <w:rPr>
                <w:rFonts w:ascii="Times New Roman" w:eastAsia="宋体" w:hAnsi="Times New Roman" w:cs="Times New Roman"/>
                <w:sz w:val="20"/>
                <w:szCs w:val="20"/>
              </w:rPr>
            </w:pPr>
            <w:r>
              <w:rPr>
                <w:rFonts w:ascii="Times New Roman" w:eastAsia="宋体" w:hAnsi="Times New Roman" w:cs="Times New Roman"/>
                <w:sz w:val="20"/>
                <w:szCs w:val="20"/>
              </w:rPr>
              <w:t>PSF+TOF</w:t>
            </w:r>
          </w:p>
        </w:tc>
      </w:tr>
      <w:tr w:rsidR="00024F56" w14:paraId="62DA7EBD" w14:textId="77777777">
        <w:trPr>
          <w:jc w:val="center"/>
        </w:trPr>
        <w:tc>
          <w:tcPr>
            <w:tcW w:w="3172" w:type="dxa"/>
            <w:tcBorders>
              <w:tl2br w:val="nil"/>
              <w:tr2bl w:val="nil"/>
            </w:tcBorders>
            <w:vAlign w:val="center"/>
          </w:tcPr>
          <w:p w14:paraId="0E9816A5" w14:textId="77777777" w:rsidR="00024F56" w:rsidRDefault="0022519B">
            <w:pPr>
              <w:spacing w:line="360" w:lineRule="auto"/>
              <w:jc w:val="center"/>
              <w:rPr>
                <w:rFonts w:ascii="Times New Roman" w:eastAsia="宋体" w:hAnsi="Times New Roman" w:cs="Times New Roman"/>
                <w:bCs/>
                <w:kern w:val="44"/>
                <w:sz w:val="20"/>
                <w:szCs w:val="20"/>
              </w:rPr>
            </w:pPr>
            <w:r>
              <w:rPr>
                <w:rFonts w:ascii="Times New Roman" w:eastAsia="宋体" w:hAnsi="Times New Roman" w:cs="Times New Roman"/>
                <w:bCs/>
                <w:kern w:val="44"/>
                <w:sz w:val="20"/>
                <w:szCs w:val="20"/>
              </w:rPr>
              <w:t>Tube Voltage (CT)</w:t>
            </w:r>
          </w:p>
        </w:tc>
        <w:tc>
          <w:tcPr>
            <w:tcW w:w="3004" w:type="dxa"/>
            <w:tcBorders>
              <w:tl2br w:val="nil"/>
              <w:tr2bl w:val="nil"/>
            </w:tcBorders>
            <w:vAlign w:val="center"/>
          </w:tcPr>
          <w:p w14:paraId="7BA98171" w14:textId="77777777" w:rsidR="00024F56" w:rsidRDefault="0022519B">
            <w:pPr>
              <w:spacing w:line="360" w:lineRule="auto"/>
              <w:jc w:val="center"/>
              <w:rPr>
                <w:rFonts w:ascii="Times New Roman" w:eastAsia="宋体" w:hAnsi="Times New Roman" w:cs="Times New Roman"/>
                <w:sz w:val="20"/>
                <w:szCs w:val="20"/>
              </w:rPr>
            </w:pPr>
            <w:r>
              <w:rPr>
                <w:rFonts w:ascii="Times New Roman" w:eastAsia="宋体" w:hAnsi="Times New Roman" w:cs="Times New Roman"/>
                <w:sz w:val="20"/>
                <w:szCs w:val="20"/>
              </w:rPr>
              <w:t>120 kV</w:t>
            </w:r>
          </w:p>
        </w:tc>
        <w:tc>
          <w:tcPr>
            <w:tcW w:w="3666" w:type="dxa"/>
            <w:tcBorders>
              <w:tl2br w:val="nil"/>
              <w:tr2bl w:val="nil"/>
            </w:tcBorders>
            <w:vAlign w:val="center"/>
          </w:tcPr>
          <w:p w14:paraId="30D7D386" w14:textId="77777777" w:rsidR="00024F56" w:rsidRDefault="0022519B">
            <w:pPr>
              <w:spacing w:line="360" w:lineRule="auto"/>
              <w:jc w:val="center"/>
              <w:rPr>
                <w:rFonts w:ascii="Times New Roman" w:eastAsia="宋体" w:hAnsi="Times New Roman" w:cs="Times New Roman"/>
                <w:sz w:val="20"/>
                <w:szCs w:val="20"/>
              </w:rPr>
            </w:pPr>
            <w:r>
              <w:rPr>
                <w:rFonts w:ascii="Times New Roman" w:eastAsia="宋体" w:hAnsi="Times New Roman" w:cs="Times New Roman"/>
                <w:sz w:val="20"/>
                <w:szCs w:val="20"/>
              </w:rPr>
              <w:t>120 kV</w:t>
            </w:r>
          </w:p>
        </w:tc>
      </w:tr>
      <w:tr w:rsidR="00024F56" w14:paraId="531402FA" w14:textId="77777777">
        <w:trPr>
          <w:jc w:val="center"/>
        </w:trPr>
        <w:tc>
          <w:tcPr>
            <w:tcW w:w="3172" w:type="dxa"/>
            <w:tcBorders>
              <w:tl2br w:val="nil"/>
              <w:tr2bl w:val="nil"/>
            </w:tcBorders>
            <w:vAlign w:val="center"/>
          </w:tcPr>
          <w:p w14:paraId="733D084D" w14:textId="77777777" w:rsidR="00024F56" w:rsidRDefault="0022519B">
            <w:pPr>
              <w:spacing w:line="360" w:lineRule="auto"/>
              <w:jc w:val="center"/>
              <w:rPr>
                <w:rFonts w:ascii="Times New Roman" w:eastAsia="宋体" w:hAnsi="Times New Roman" w:cs="Times New Roman"/>
                <w:sz w:val="20"/>
                <w:szCs w:val="20"/>
              </w:rPr>
            </w:pPr>
            <w:r>
              <w:rPr>
                <w:rFonts w:ascii="Times New Roman" w:eastAsia="宋体" w:hAnsi="Times New Roman" w:cs="Times New Roman"/>
                <w:bCs/>
                <w:kern w:val="44"/>
                <w:sz w:val="20"/>
                <w:szCs w:val="20"/>
              </w:rPr>
              <w:t>Tube Current (CT)</w:t>
            </w:r>
          </w:p>
        </w:tc>
        <w:tc>
          <w:tcPr>
            <w:tcW w:w="3004" w:type="dxa"/>
            <w:tcBorders>
              <w:tl2br w:val="nil"/>
              <w:tr2bl w:val="nil"/>
            </w:tcBorders>
            <w:vAlign w:val="center"/>
          </w:tcPr>
          <w:p w14:paraId="0774648B" w14:textId="77777777" w:rsidR="00024F56" w:rsidRDefault="0022519B">
            <w:pPr>
              <w:spacing w:line="360" w:lineRule="auto"/>
              <w:jc w:val="center"/>
              <w:rPr>
                <w:rFonts w:ascii="Times New Roman" w:eastAsia="宋体" w:hAnsi="Times New Roman" w:cs="Times New Roman"/>
                <w:sz w:val="20"/>
                <w:szCs w:val="20"/>
              </w:rPr>
            </w:pPr>
            <w:r>
              <w:rPr>
                <w:rFonts w:ascii="Times New Roman" w:eastAsia="宋体" w:hAnsi="Times New Roman" w:cs="Times New Roman"/>
                <w:sz w:val="20"/>
                <w:szCs w:val="20"/>
              </w:rPr>
              <w:t>140 mA</w:t>
            </w:r>
          </w:p>
        </w:tc>
        <w:tc>
          <w:tcPr>
            <w:tcW w:w="3666" w:type="dxa"/>
            <w:tcBorders>
              <w:tl2br w:val="nil"/>
              <w:tr2bl w:val="nil"/>
            </w:tcBorders>
            <w:vAlign w:val="center"/>
          </w:tcPr>
          <w:p w14:paraId="1741D1A2" w14:textId="77777777" w:rsidR="00024F56" w:rsidRDefault="0022519B">
            <w:pPr>
              <w:spacing w:line="360" w:lineRule="auto"/>
              <w:jc w:val="center"/>
              <w:rPr>
                <w:rFonts w:ascii="Times New Roman" w:eastAsia="宋体" w:hAnsi="Times New Roman" w:cs="Times New Roman"/>
                <w:sz w:val="20"/>
                <w:szCs w:val="20"/>
              </w:rPr>
            </w:pPr>
            <w:r>
              <w:rPr>
                <w:rFonts w:ascii="Times New Roman" w:eastAsia="宋体" w:hAnsi="Times New Roman" w:cs="Times New Roman"/>
                <w:sz w:val="20"/>
                <w:szCs w:val="20"/>
              </w:rPr>
              <w:t>Adjusted by CAREDose 4D technology</w:t>
            </w:r>
          </w:p>
        </w:tc>
      </w:tr>
      <w:tr w:rsidR="00024F56" w14:paraId="77FD6582" w14:textId="77777777">
        <w:trPr>
          <w:jc w:val="center"/>
        </w:trPr>
        <w:tc>
          <w:tcPr>
            <w:tcW w:w="3172" w:type="dxa"/>
            <w:tcBorders>
              <w:tl2br w:val="nil"/>
              <w:tr2bl w:val="nil"/>
            </w:tcBorders>
            <w:vAlign w:val="center"/>
          </w:tcPr>
          <w:p w14:paraId="41C30377" w14:textId="77777777" w:rsidR="00024F56" w:rsidRDefault="0022519B">
            <w:pPr>
              <w:spacing w:line="360" w:lineRule="auto"/>
              <w:jc w:val="center"/>
              <w:rPr>
                <w:rFonts w:ascii="Times New Roman" w:eastAsia="宋体" w:hAnsi="Times New Roman" w:cs="Times New Roman"/>
                <w:sz w:val="20"/>
                <w:szCs w:val="20"/>
              </w:rPr>
            </w:pPr>
            <w:r>
              <w:rPr>
                <w:rFonts w:ascii="Times New Roman" w:eastAsia="宋体" w:hAnsi="Times New Roman" w:cs="Times New Roman"/>
                <w:sz w:val="20"/>
                <w:szCs w:val="20"/>
              </w:rPr>
              <w:t>Slice thickness (PET, mm)</w:t>
            </w:r>
          </w:p>
        </w:tc>
        <w:tc>
          <w:tcPr>
            <w:tcW w:w="3004" w:type="dxa"/>
            <w:tcBorders>
              <w:tl2br w:val="nil"/>
              <w:tr2bl w:val="nil"/>
            </w:tcBorders>
            <w:vAlign w:val="center"/>
          </w:tcPr>
          <w:p w14:paraId="7168D37B" w14:textId="77777777" w:rsidR="00024F56" w:rsidRDefault="0022519B">
            <w:pPr>
              <w:spacing w:line="360" w:lineRule="auto"/>
              <w:jc w:val="center"/>
              <w:rPr>
                <w:rFonts w:ascii="Times New Roman" w:eastAsia="宋体" w:hAnsi="Times New Roman" w:cs="Times New Roman"/>
                <w:sz w:val="20"/>
                <w:szCs w:val="20"/>
              </w:rPr>
            </w:pPr>
            <w:r>
              <w:rPr>
                <w:rFonts w:ascii="Times New Roman" w:eastAsia="宋体" w:hAnsi="Times New Roman" w:cs="Times New Roman"/>
                <w:sz w:val="20"/>
                <w:szCs w:val="20"/>
              </w:rPr>
              <w:t>5.00</w:t>
            </w:r>
          </w:p>
        </w:tc>
        <w:tc>
          <w:tcPr>
            <w:tcW w:w="3666" w:type="dxa"/>
            <w:tcBorders>
              <w:tl2br w:val="nil"/>
              <w:tr2bl w:val="nil"/>
            </w:tcBorders>
            <w:vAlign w:val="center"/>
          </w:tcPr>
          <w:p w14:paraId="5D85FB0F" w14:textId="77777777" w:rsidR="00024F56" w:rsidRDefault="0022519B">
            <w:pPr>
              <w:spacing w:line="360" w:lineRule="auto"/>
              <w:jc w:val="center"/>
              <w:rPr>
                <w:rFonts w:ascii="Times New Roman" w:eastAsia="宋体" w:hAnsi="Times New Roman" w:cs="Times New Roman"/>
                <w:sz w:val="20"/>
                <w:szCs w:val="20"/>
              </w:rPr>
            </w:pPr>
            <w:r>
              <w:rPr>
                <w:rFonts w:ascii="Times New Roman" w:eastAsia="宋体" w:hAnsi="Times New Roman" w:cs="Times New Roman"/>
                <w:sz w:val="20"/>
                <w:szCs w:val="20"/>
              </w:rPr>
              <w:t>5.00</w:t>
            </w:r>
          </w:p>
        </w:tc>
      </w:tr>
      <w:tr w:rsidR="00024F56" w14:paraId="357A3305" w14:textId="77777777">
        <w:trPr>
          <w:jc w:val="center"/>
        </w:trPr>
        <w:tc>
          <w:tcPr>
            <w:tcW w:w="3172" w:type="dxa"/>
            <w:tcBorders>
              <w:tl2br w:val="nil"/>
              <w:tr2bl w:val="nil"/>
            </w:tcBorders>
            <w:vAlign w:val="center"/>
          </w:tcPr>
          <w:p w14:paraId="4F2C1E1E" w14:textId="77777777" w:rsidR="00024F56" w:rsidRDefault="0022519B">
            <w:pPr>
              <w:spacing w:line="360" w:lineRule="auto"/>
              <w:jc w:val="center"/>
              <w:rPr>
                <w:rFonts w:ascii="Times New Roman" w:eastAsia="宋体" w:hAnsi="Times New Roman" w:cs="Times New Roman"/>
                <w:sz w:val="20"/>
                <w:szCs w:val="20"/>
              </w:rPr>
            </w:pPr>
            <w:r>
              <w:rPr>
                <w:rFonts w:ascii="Times New Roman" w:eastAsia="宋体" w:hAnsi="Times New Roman" w:cs="Times New Roman"/>
                <w:sz w:val="20"/>
                <w:szCs w:val="20"/>
              </w:rPr>
              <w:t>Slice thickness (CT, mm)</w:t>
            </w:r>
          </w:p>
        </w:tc>
        <w:tc>
          <w:tcPr>
            <w:tcW w:w="3004" w:type="dxa"/>
            <w:tcBorders>
              <w:tl2br w:val="nil"/>
              <w:tr2bl w:val="nil"/>
            </w:tcBorders>
            <w:vAlign w:val="center"/>
          </w:tcPr>
          <w:p w14:paraId="6A8C4255" w14:textId="77777777" w:rsidR="00024F56" w:rsidRDefault="0022519B">
            <w:pPr>
              <w:spacing w:line="360" w:lineRule="auto"/>
              <w:jc w:val="center"/>
              <w:rPr>
                <w:rFonts w:ascii="Times New Roman" w:eastAsia="宋体" w:hAnsi="Times New Roman" w:cs="Times New Roman"/>
                <w:sz w:val="20"/>
                <w:szCs w:val="20"/>
              </w:rPr>
            </w:pPr>
            <w:r>
              <w:rPr>
                <w:rFonts w:ascii="Times New Roman" w:eastAsia="宋体" w:hAnsi="Times New Roman" w:cs="Times New Roman"/>
                <w:sz w:val="20"/>
                <w:szCs w:val="20"/>
              </w:rPr>
              <w:t>5.00</w:t>
            </w:r>
          </w:p>
        </w:tc>
        <w:tc>
          <w:tcPr>
            <w:tcW w:w="3666" w:type="dxa"/>
            <w:tcBorders>
              <w:tl2br w:val="nil"/>
              <w:tr2bl w:val="nil"/>
            </w:tcBorders>
            <w:vAlign w:val="center"/>
          </w:tcPr>
          <w:p w14:paraId="21D9A420" w14:textId="77777777" w:rsidR="00024F56" w:rsidRDefault="0022519B">
            <w:pPr>
              <w:spacing w:line="360" w:lineRule="auto"/>
              <w:jc w:val="center"/>
              <w:rPr>
                <w:rFonts w:ascii="Times New Roman" w:eastAsia="宋体" w:hAnsi="Times New Roman" w:cs="Times New Roman"/>
                <w:sz w:val="20"/>
                <w:szCs w:val="20"/>
              </w:rPr>
            </w:pPr>
            <w:r>
              <w:rPr>
                <w:rFonts w:ascii="Times New Roman" w:eastAsia="宋体" w:hAnsi="Times New Roman" w:cs="Times New Roman"/>
                <w:sz w:val="20"/>
                <w:szCs w:val="20"/>
              </w:rPr>
              <w:t>3.00</w:t>
            </w:r>
          </w:p>
        </w:tc>
      </w:tr>
      <w:tr w:rsidR="00024F56" w14:paraId="4E93C01E" w14:textId="77777777">
        <w:trPr>
          <w:jc w:val="center"/>
        </w:trPr>
        <w:tc>
          <w:tcPr>
            <w:tcW w:w="3172" w:type="dxa"/>
            <w:tcBorders>
              <w:tl2br w:val="nil"/>
              <w:tr2bl w:val="nil"/>
            </w:tcBorders>
            <w:vAlign w:val="center"/>
          </w:tcPr>
          <w:p w14:paraId="2C042707" w14:textId="77777777" w:rsidR="00024F56" w:rsidRDefault="0022519B">
            <w:pPr>
              <w:spacing w:line="360" w:lineRule="auto"/>
              <w:jc w:val="center"/>
              <w:rPr>
                <w:rFonts w:ascii="Times New Roman" w:eastAsia="宋体" w:hAnsi="Times New Roman" w:cs="Times New Roman"/>
                <w:sz w:val="20"/>
                <w:szCs w:val="20"/>
              </w:rPr>
            </w:pPr>
            <w:r>
              <w:rPr>
                <w:rFonts w:ascii="Times New Roman" w:eastAsia="宋体" w:hAnsi="Times New Roman" w:cs="Times New Roman"/>
                <w:sz w:val="20"/>
                <w:szCs w:val="20"/>
              </w:rPr>
              <w:t>Image size (PET, pixel)</w:t>
            </w:r>
          </w:p>
        </w:tc>
        <w:tc>
          <w:tcPr>
            <w:tcW w:w="3004" w:type="dxa"/>
            <w:tcBorders>
              <w:tl2br w:val="nil"/>
              <w:tr2bl w:val="nil"/>
            </w:tcBorders>
            <w:vAlign w:val="center"/>
          </w:tcPr>
          <w:p w14:paraId="3659F3B6" w14:textId="77777777" w:rsidR="00024F56" w:rsidRDefault="0022519B">
            <w:pPr>
              <w:spacing w:line="360" w:lineRule="auto"/>
              <w:jc w:val="center"/>
              <w:rPr>
                <w:rFonts w:ascii="Times New Roman" w:eastAsia="宋体" w:hAnsi="Times New Roman" w:cs="Times New Roman"/>
                <w:sz w:val="20"/>
                <w:szCs w:val="20"/>
              </w:rPr>
            </w:pPr>
            <w:r>
              <w:rPr>
                <w:rFonts w:ascii="Times New Roman" w:eastAsia="宋体" w:hAnsi="Times New Roman" w:cs="Times New Roman"/>
                <w:sz w:val="20"/>
                <w:szCs w:val="20"/>
              </w:rPr>
              <w:t>168*168/192*192/200*200</w:t>
            </w:r>
          </w:p>
        </w:tc>
        <w:tc>
          <w:tcPr>
            <w:tcW w:w="3666" w:type="dxa"/>
            <w:tcBorders>
              <w:tl2br w:val="nil"/>
              <w:tr2bl w:val="nil"/>
            </w:tcBorders>
            <w:vAlign w:val="center"/>
          </w:tcPr>
          <w:p w14:paraId="33E7617D" w14:textId="77777777" w:rsidR="00024F56" w:rsidRDefault="0022519B">
            <w:pPr>
              <w:spacing w:line="360" w:lineRule="auto"/>
              <w:jc w:val="center"/>
              <w:rPr>
                <w:rFonts w:ascii="Times New Roman" w:eastAsia="宋体" w:hAnsi="Times New Roman" w:cs="Times New Roman"/>
                <w:sz w:val="20"/>
                <w:szCs w:val="20"/>
              </w:rPr>
            </w:pPr>
            <w:r>
              <w:rPr>
                <w:rFonts w:ascii="Times New Roman" w:eastAsia="宋体" w:hAnsi="Times New Roman" w:cs="Times New Roman"/>
                <w:sz w:val="20"/>
                <w:szCs w:val="20"/>
              </w:rPr>
              <w:t>200*200</w:t>
            </w:r>
          </w:p>
        </w:tc>
      </w:tr>
      <w:tr w:rsidR="00024F56" w14:paraId="648F1DA6" w14:textId="77777777">
        <w:trPr>
          <w:jc w:val="center"/>
        </w:trPr>
        <w:tc>
          <w:tcPr>
            <w:tcW w:w="3172" w:type="dxa"/>
            <w:tcBorders>
              <w:tl2br w:val="nil"/>
              <w:tr2bl w:val="nil"/>
            </w:tcBorders>
            <w:vAlign w:val="center"/>
          </w:tcPr>
          <w:p w14:paraId="153E1239" w14:textId="77777777" w:rsidR="00024F56" w:rsidRDefault="0022519B">
            <w:pPr>
              <w:spacing w:line="360" w:lineRule="auto"/>
              <w:jc w:val="center"/>
              <w:rPr>
                <w:rFonts w:ascii="Times New Roman" w:eastAsia="宋体" w:hAnsi="Times New Roman" w:cs="Times New Roman"/>
                <w:sz w:val="20"/>
                <w:szCs w:val="20"/>
              </w:rPr>
            </w:pPr>
            <w:r>
              <w:rPr>
                <w:rFonts w:ascii="Times New Roman" w:eastAsia="宋体" w:hAnsi="Times New Roman" w:cs="Times New Roman"/>
                <w:sz w:val="20"/>
                <w:szCs w:val="20"/>
              </w:rPr>
              <w:t>Image size (CT, pixel)</w:t>
            </w:r>
          </w:p>
        </w:tc>
        <w:tc>
          <w:tcPr>
            <w:tcW w:w="3004" w:type="dxa"/>
            <w:tcBorders>
              <w:tl2br w:val="nil"/>
              <w:tr2bl w:val="nil"/>
            </w:tcBorders>
            <w:vAlign w:val="center"/>
          </w:tcPr>
          <w:p w14:paraId="094DC796" w14:textId="77777777" w:rsidR="00024F56" w:rsidRDefault="0022519B">
            <w:pPr>
              <w:spacing w:line="360" w:lineRule="auto"/>
              <w:jc w:val="center"/>
              <w:rPr>
                <w:rFonts w:ascii="Times New Roman" w:eastAsia="宋体" w:hAnsi="Times New Roman" w:cs="Times New Roman"/>
                <w:sz w:val="20"/>
                <w:szCs w:val="20"/>
              </w:rPr>
            </w:pPr>
            <w:r>
              <w:rPr>
                <w:rFonts w:ascii="Times New Roman" w:eastAsia="宋体" w:hAnsi="Times New Roman" w:cs="Times New Roman"/>
                <w:sz w:val="20"/>
                <w:szCs w:val="20"/>
              </w:rPr>
              <w:t>512*512</w:t>
            </w:r>
          </w:p>
        </w:tc>
        <w:tc>
          <w:tcPr>
            <w:tcW w:w="3666" w:type="dxa"/>
            <w:tcBorders>
              <w:tl2br w:val="nil"/>
              <w:tr2bl w:val="nil"/>
            </w:tcBorders>
            <w:vAlign w:val="center"/>
          </w:tcPr>
          <w:p w14:paraId="07EE85C9" w14:textId="77777777" w:rsidR="00024F56" w:rsidRDefault="0022519B">
            <w:pPr>
              <w:spacing w:line="360" w:lineRule="auto"/>
              <w:jc w:val="center"/>
              <w:rPr>
                <w:rFonts w:ascii="Times New Roman" w:eastAsia="宋体" w:hAnsi="Times New Roman" w:cs="Times New Roman"/>
                <w:sz w:val="20"/>
                <w:szCs w:val="20"/>
              </w:rPr>
            </w:pPr>
            <w:r>
              <w:rPr>
                <w:rFonts w:ascii="Times New Roman" w:eastAsia="宋体" w:hAnsi="Times New Roman" w:cs="Times New Roman"/>
                <w:sz w:val="20"/>
                <w:szCs w:val="20"/>
              </w:rPr>
              <w:t>512*512</w:t>
            </w:r>
          </w:p>
        </w:tc>
      </w:tr>
      <w:tr w:rsidR="00024F56" w14:paraId="62D6C399" w14:textId="77777777">
        <w:trPr>
          <w:jc w:val="center"/>
        </w:trPr>
        <w:tc>
          <w:tcPr>
            <w:tcW w:w="3172" w:type="dxa"/>
            <w:tcBorders>
              <w:tl2br w:val="nil"/>
              <w:tr2bl w:val="nil"/>
            </w:tcBorders>
            <w:vAlign w:val="center"/>
          </w:tcPr>
          <w:p w14:paraId="61715AE5" w14:textId="77777777" w:rsidR="00024F56" w:rsidRDefault="0022519B">
            <w:pPr>
              <w:spacing w:line="360" w:lineRule="auto"/>
              <w:jc w:val="center"/>
              <w:rPr>
                <w:rFonts w:ascii="Times New Roman" w:eastAsia="宋体" w:hAnsi="Times New Roman" w:cs="Times New Roman"/>
                <w:sz w:val="20"/>
                <w:szCs w:val="20"/>
              </w:rPr>
            </w:pPr>
            <w:r>
              <w:rPr>
                <w:rFonts w:ascii="Times New Roman" w:eastAsia="宋体" w:hAnsi="Times New Roman" w:cs="Times New Roman"/>
                <w:sz w:val="20"/>
                <w:szCs w:val="20"/>
              </w:rPr>
              <w:t>Acquisition time</w:t>
            </w:r>
          </w:p>
        </w:tc>
        <w:tc>
          <w:tcPr>
            <w:tcW w:w="3004" w:type="dxa"/>
            <w:tcBorders>
              <w:tl2br w:val="nil"/>
              <w:tr2bl w:val="nil"/>
            </w:tcBorders>
            <w:vAlign w:val="center"/>
          </w:tcPr>
          <w:p w14:paraId="54B8EB1E" w14:textId="77777777" w:rsidR="00024F56" w:rsidRDefault="0022519B">
            <w:pPr>
              <w:spacing w:line="360" w:lineRule="auto"/>
              <w:jc w:val="center"/>
              <w:rPr>
                <w:rFonts w:ascii="Times New Roman" w:eastAsia="宋体" w:hAnsi="Times New Roman" w:cs="Times New Roman"/>
                <w:sz w:val="20"/>
                <w:szCs w:val="20"/>
              </w:rPr>
            </w:pPr>
            <w:r>
              <w:rPr>
                <w:rFonts w:ascii="Times New Roman" w:eastAsia="宋体" w:hAnsi="Times New Roman" w:cs="Times New Roman"/>
                <w:bCs/>
                <w:kern w:val="44"/>
                <w:sz w:val="20"/>
                <w:szCs w:val="20"/>
              </w:rPr>
              <w:t xml:space="preserve">2–3 </w:t>
            </w:r>
            <w:r>
              <w:rPr>
                <w:rFonts w:ascii="Times New Roman" w:eastAsia="宋体" w:hAnsi="Times New Roman" w:cs="Times New Roman"/>
                <w:sz w:val="20"/>
                <w:szCs w:val="20"/>
              </w:rPr>
              <w:t>min</w:t>
            </w:r>
            <w:r>
              <w:rPr>
                <w:rFonts w:ascii="Times New Roman" w:eastAsia="宋体" w:hAnsi="Times New Roman" w:cs="Times New Roman"/>
                <w:bCs/>
                <w:kern w:val="44"/>
                <w:sz w:val="20"/>
                <w:szCs w:val="20"/>
              </w:rPr>
              <w:t>/bed position</w:t>
            </w:r>
          </w:p>
        </w:tc>
        <w:tc>
          <w:tcPr>
            <w:tcW w:w="3666" w:type="dxa"/>
            <w:tcBorders>
              <w:tl2br w:val="nil"/>
              <w:tr2bl w:val="nil"/>
            </w:tcBorders>
            <w:vAlign w:val="center"/>
          </w:tcPr>
          <w:p w14:paraId="5520B544" w14:textId="77777777" w:rsidR="00024F56" w:rsidRDefault="0022519B">
            <w:pPr>
              <w:spacing w:line="360" w:lineRule="auto"/>
              <w:jc w:val="center"/>
              <w:rPr>
                <w:rFonts w:ascii="Times New Roman" w:eastAsia="宋体" w:hAnsi="Times New Roman" w:cs="Times New Roman"/>
                <w:sz w:val="20"/>
                <w:szCs w:val="20"/>
              </w:rPr>
            </w:pPr>
            <w:r>
              <w:rPr>
                <w:rFonts w:ascii="Times New Roman" w:eastAsia="宋体" w:hAnsi="Times New Roman" w:cs="Times New Roman"/>
                <w:bCs/>
                <w:kern w:val="44"/>
                <w:sz w:val="20"/>
                <w:szCs w:val="20"/>
              </w:rPr>
              <w:t xml:space="preserve">2 </w:t>
            </w:r>
            <w:r>
              <w:rPr>
                <w:rFonts w:ascii="Times New Roman" w:eastAsia="宋体" w:hAnsi="Times New Roman" w:cs="Times New Roman"/>
                <w:sz w:val="20"/>
                <w:szCs w:val="20"/>
              </w:rPr>
              <w:t>minutes</w:t>
            </w:r>
            <w:r>
              <w:rPr>
                <w:rFonts w:ascii="Times New Roman" w:eastAsia="宋体" w:hAnsi="Times New Roman" w:cs="Times New Roman"/>
                <w:bCs/>
                <w:kern w:val="44"/>
                <w:sz w:val="20"/>
                <w:szCs w:val="20"/>
              </w:rPr>
              <w:t>/bed position</w:t>
            </w:r>
          </w:p>
        </w:tc>
      </w:tr>
      <w:tr w:rsidR="00024F56" w14:paraId="3DDC3B37" w14:textId="77777777">
        <w:trPr>
          <w:jc w:val="center"/>
        </w:trPr>
        <w:tc>
          <w:tcPr>
            <w:tcW w:w="3172" w:type="dxa"/>
            <w:tcBorders>
              <w:tl2br w:val="nil"/>
              <w:tr2bl w:val="nil"/>
            </w:tcBorders>
            <w:vAlign w:val="center"/>
          </w:tcPr>
          <w:p w14:paraId="641AB2E0" w14:textId="77777777" w:rsidR="00024F56" w:rsidRDefault="0022519B">
            <w:pPr>
              <w:spacing w:line="360" w:lineRule="auto"/>
              <w:jc w:val="center"/>
              <w:rPr>
                <w:rFonts w:ascii="Times New Roman" w:eastAsia="宋体" w:hAnsi="Times New Roman" w:cs="Times New Roman"/>
                <w:sz w:val="20"/>
                <w:szCs w:val="20"/>
              </w:rPr>
            </w:pPr>
            <w:r>
              <w:rPr>
                <w:rFonts w:ascii="Times New Roman" w:eastAsia="宋体" w:hAnsi="Times New Roman" w:cs="Times New Roman"/>
                <w:sz w:val="20"/>
                <w:szCs w:val="20"/>
              </w:rPr>
              <w:t>Convolution kernel</w:t>
            </w:r>
          </w:p>
        </w:tc>
        <w:tc>
          <w:tcPr>
            <w:tcW w:w="3004" w:type="dxa"/>
            <w:tcBorders>
              <w:tl2br w:val="nil"/>
              <w:tr2bl w:val="nil"/>
            </w:tcBorders>
            <w:vAlign w:val="center"/>
          </w:tcPr>
          <w:p w14:paraId="6F4D2399" w14:textId="77777777" w:rsidR="00024F56" w:rsidRDefault="0022519B">
            <w:pPr>
              <w:spacing w:line="360" w:lineRule="auto"/>
              <w:jc w:val="center"/>
              <w:rPr>
                <w:rFonts w:ascii="Times New Roman" w:eastAsia="宋体" w:hAnsi="Times New Roman" w:cs="Times New Roman"/>
                <w:sz w:val="20"/>
                <w:szCs w:val="20"/>
              </w:rPr>
            </w:pPr>
            <w:r>
              <w:rPr>
                <w:rFonts w:ascii="Times New Roman" w:eastAsia="宋体" w:hAnsi="Times New Roman" w:cs="Times New Roman"/>
                <w:sz w:val="20"/>
                <w:szCs w:val="20"/>
              </w:rPr>
              <w:t>Gauss 5.00</w:t>
            </w:r>
          </w:p>
        </w:tc>
        <w:tc>
          <w:tcPr>
            <w:tcW w:w="3666" w:type="dxa"/>
            <w:tcBorders>
              <w:tl2br w:val="nil"/>
              <w:tr2bl w:val="nil"/>
            </w:tcBorders>
            <w:vAlign w:val="center"/>
          </w:tcPr>
          <w:p w14:paraId="7D5B97D1" w14:textId="77777777" w:rsidR="00024F56" w:rsidRDefault="0022519B">
            <w:pPr>
              <w:spacing w:line="360" w:lineRule="auto"/>
              <w:jc w:val="center"/>
              <w:rPr>
                <w:rFonts w:ascii="Times New Roman" w:eastAsia="宋体" w:hAnsi="Times New Roman" w:cs="Times New Roman"/>
                <w:sz w:val="20"/>
                <w:szCs w:val="20"/>
              </w:rPr>
            </w:pPr>
            <w:r>
              <w:rPr>
                <w:rFonts w:ascii="Times New Roman" w:eastAsia="宋体" w:hAnsi="Times New Roman" w:cs="Times New Roman"/>
                <w:sz w:val="20"/>
                <w:szCs w:val="20"/>
              </w:rPr>
              <w:t>Gauss 4.00</w:t>
            </w:r>
          </w:p>
        </w:tc>
      </w:tr>
      <w:bookmarkEnd w:id="5"/>
    </w:tbl>
    <w:p w14:paraId="44D8846C" w14:textId="77777777" w:rsidR="00024F56" w:rsidRDefault="00024F56">
      <w:pPr>
        <w:rPr>
          <w:sz w:val="20"/>
          <w:szCs w:val="20"/>
        </w:rPr>
      </w:pPr>
    </w:p>
    <w:p w14:paraId="415CFC19" w14:textId="77777777" w:rsidR="00024F56" w:rsidRDefault="00024F56">
      <w:pPr>
        <w:rPr>
          <w:sz w:val="20"/>
          <w:szCs w:val="20"/>
        </w:rPr>
      </w:pPr>
    </w:p>
    <w:p w14:paraId="27403542" w14:textId="77777777" w:rsidR="00024F56" w:rsidRDefault="0022519B">
      <w:pPr>
        <w:rPr>
          <w:rFonts w:ascii="Times New Roman" w:hAnsi="Times New Roman" w:cs="Times New Roman"/>
          <w:sz w:val="20"/>
          <w:szCs w:val="20"/>
        </w:rPr>
      </w:pPr>
      <w:r>
        <w:rPr>
          <w:rFonts w:ascii="Times New Roman" w:hAnsi="Times New Roman" w:cs="Times New Roman"/>
          <w:sz w:val="20"/>
          <w:szCs w:val="20"/>
        </w:rPr>
        <w:t xml:space="preserve">Annotations: PSF, point spread </w:t>
      </w:r>
      <w:r>
        <w:rPr>
          <w:rFonts w:ascii="Times New Roman" w:hAnsi="Times New Roman" w:cs="Times New Roman"/>
          <w:sz w:val="20"/>
          <w:szCs w:val="20"/>
        </w:rPr>
        <w:t>function; OSEM, ordered subset expectation maximization; TOF, time of flight; mm, millimeter; GE, General Electric Company.</w:t>
      </w:r>
    </w:p>
    <w:p w14:paraId="6547E736" w14:textId="77777777" w:rsidR="00024F56" w:rsidRDefault="00024F56">
      <w:pPr>
        <w:widowControl/>
        <w:spacing w:line="480" w:lineRule="auto"/>
        <w:jc w:val="left"/>
        <w:rPr>
          <w:rFonts w:ascii="Times New Roman" w:eastAsia="等线" w:hAnsi="Times New Roman" w:cs="Times New Roman"/>
          <w:sz w:val="20"/>
          <w:szCs w:val="20"/>
        </w:rPr>
      </w:pPr>
    </w:p>
    <w:p w14:paraId="127DF257" w14:textId="77777777" w:rsidR="00024F56" w:rsidRDefault="0022519B">
      <w:pPr>
        <w:rPr>
          <w:rFonts w:ascii="Times New Roman" w:hAnsi="Times New Roman" w:cs="Times New Roman"/>
          <w:sz w:val="20"/>
          <w:szCs w:val="20"/>
        </w:rPr>
      </w:pPr>
      <w:r>
        <w:rPr>
          <w:rFonts w:ascii="Times New Roman" w:hAnsi="Times New Roman" w:cs="Times New Roman"/>
          <w:sz w:val="20"/>
          <w:szCs w:val="20"/>
        </w:rPr>
        <w:br w:type="page"/>
      </w:r>
    </w:p>
    <w:p w14:paraId="04C6A06B" w14:textId="77777777" w:rsidR="00024F56" w:rsidRDefault="0022519B">
      <w:pPr>
        <w:pStyle w:val="2"/>
        <w:spacing w:before="360" w:after="120" w:line="480" w:lineRule="auto"/>
        <w:jc w:val="center"/>
        <w:rPr>
          <w:rFonts w:ascii="Times New Roman" w:hAnsi="Times New Roman" w:cs="Times New Roman"/>
          <w:sz w:val="20"/>
          <w:szCs w:val="20"/>
        </w:rPr>
      </w:pPr>
      <w:r>
        <w:rPr>
          <w:rFonts w:ascii="Times New Roman" w:hAnsi="Times New Roman" w:cs="Times New Roman"/>
          <w:sz w:val="20"/>
          <w:szCs w:val="20"/>
        </w:rPr>
        <w:lastRenderedPageBreak/>
        <w:t xml:space="preserve">Table </w:t>
      </w:r>
      <w:r>
        <w:rPr>
          <w:rFonts w:ascii="Times New Roman" w:hAnsi="Times New Roman" w:cs="Times New Roman" w:hint="eastAsia"/>
          <w:sz w:val="20"/>
          <w:szCs w:val="20"/>
        </w:rPr>
        <w:t>S</w:t>
      </w:r>
      <w:r>
        <w:rPr>
          <w:rFonts w:ascii="Times New Roman" w:hAnsi="Times New Roman" w:cs="Times New Roman"/>
          <w:sz w:val="20"/>
          <w:szCs w:val="20"/>
        </w:rPr>
        <w:t xml:space="preserve">2 Parameters of </w:t>
      </w:r>
      <w:proofErr w:type="gramStart"/>
      <w:r>
        <w:rPr>
          <w:rFonts w:ascii="Times New Roman" w:hAnsi="Times New Roman" w:cs="Times New Roman"/>
          <w:sz w:val="20"/>
          <w:szCs w:val="20"/>
        </w:rPr>
        <w:t>params.yaml</w:t>
      </w:r>
      <w:proofErr w:type="gramEnd"/>
      <w:r>
        <w:rPr>
          <w:rFonts w:ascii="Times New Roman" w:hAnsi="Times New Roman" w:cs="Times New Roman"/>
          <w:sz w:val="20"/>
          <w:szCs w:val="20"/>
        </w:rPr>
        <w:t xml:space="preserve"> of CT HRFs and PET HRFs</w:t>
      </w:r>
    </w:p>
    <w:tbl>
      <w:tblPr>
        <w:tblStyle w:val="110"/>
        <w:tblpPr w:leftFromText="181" w:rightFromText="181" w:vertAnchor="text" w:horzAnchor="page" w:tblpXSpec="center" w:tblpY="90"/>
        <w:tblW w:w="9502" w:type="dxa"/>
        <w:jc w:val="center"/>
        <w:tblBorders>
          <w:top w:val="single" w:sz="8" w:space="0" w:color="auto"/>
          <w:left w:val="none" w:sz="0" w:space="0" w:color="auto"/>
          <w:bottom w:val="single" w:sz="8" w:space="0" w:color="auto"/>
          <w:right w:val="none" w:sz="0" w:space="0" w:color="auto"/>
        </w:tblBorders>
        <w:tblLook w:val="04A0" w:firstRow="1" w:lastRow="0" w:firstColumn="1" w:lastColumn="0" w:noHBand="0" w:noVBand="1"/>
      </w:tblPr>
      <w:tblGrid>
        <w:gridCol w:w="2469"/>
        <w:gridCol w:w="3411"/>
        <w:gridCol w:w="3622"/>
      </w:tblGrid>
      <w:tr w:rsidR="00024F56" w14:paraId="0AF14A15" w14:textId="77777777">
        <w:trPr>
          <w:jc w:val="center"/>
        </w:trPr>
        <w:tc>
          <w:tcPr>
            <w:tcW w:w="2469" w:type="dxa"/>
            <w:tcBorders>
              <w:top w:val="single" w:sz="8" w:space="0" w:color="auto"/>
              <w:left w:val="nil"/>
              <w:bottom w:val="single" w:sz="8" w:space="0" w:color="auto"/>
              <w:right w:val="nil"/>
            </w:tcBorders>
          </w:tcPr>
          <w:p w14:paraId="5304CDCF" w14:textId="77777777" w:rsidR="00024F56" w:rsidRDefault="0022519B">
            <w:pPr>
              <w:spacing w:line="360" w:lineRule="auto"/>
              <w:jc w:val="center"/>
              <w:rPr>
                <w:rFonts w:ascii="Times New Roman" w:eastAsia="等线" w:hAnsi="Times New Roman" w:cs="Times New Roman"/>
                <w:kern w:val="0"/>
                <w:sz w:val="20"/>
                <w:szCs w:val="20"/>
              </w:rPr>
            </w:pPr>
            <w:r>
              <w:rPr>
                <w:rFonts w:ascii="Times New Roman" w:eastAsia="等线" w:hAnsi="Times New Roman" w:cs="Times New Roman"/>
                <w:kern w:val="0"/>
                <w:sz w:val="20"/>
                <w:szCs w:val="20"/>
              </w:rPr>
              <w:t>Parameters</w:t>
            </w:r>
          </w:p>
        </w:tc>
        <w:tc>
          <w:tcPr>
            <w:tcW w:w="3411" w:type="dxa"/>
            <w:tcBorders>
              <w:top w:val="single" w:sz="8" w:space="0" w:color="auto"/>
              <w:left w:val="nil"/>
              <w:bottom w:val="single" w:sz="8" w:space="0" w:color="auto"/>
              <w:right w:val="nil"/>
            </w:tcBorders>
          </w:tcPr>
          <w:p w14:paraId="7A586D17" w14:textId="77777777" w:rsidR="00024F56" w:rsidRDefault="0022519B">
            <w:pPr>
              <w:spacing w:line="360" w:lineRule="auto"/>
              <w:jc w:val="center"/>
              <w:rPr>
                <w:rFonts w:ascii="Times New Roman" w:eastAsia="等线" w:hAnsi="Times New Roman" w:cs="Times New Roman"/>
                <w:kern w:val="0"/>
                <w:sz w:val="20"/>
                <w:szCs w:val="20"/>
              </w:rPr>
            </w:pPr>
            <w:r>
              <w:rPr>
                <w:rFonts w:ascii="Times New Roman" w:eastAsia="等线" w:hAnsi="Times New Roman" w:cs="Times New Roman"/>
                <w:kern w:val="0"/>
                <w:sz w:val="20"/>
                <w:szCs w:val="20"/>
              </w:rPr>
              <w:t xml:space="preserve">CT </w:t>
            </w:r>
          </w:p>
        </w:tc>
        <w:tc>
          <w:tcPr>
            <w:tcW w:w="3622" w:type="dxa"/>
            <w:tcBorders>
              <w:top w:val="single" w:sz="8" w:space="0" w:color="auto"/>
              <w:left w:val="nil"/>
              <w:bottom w:val="single" w:sz="8" w:space="0" w:color="auto"/>
              <w:right w:val="nil"/>
            </w:tcBorders>
          </w:tcPr>
          <w:p w14:paraId="2D5E04F7" w14:textId="77777777" w:rsidR="00024F56" w:rsidRDefault="0022519B">
            <w:pPr>
              <w:spacing w:line="360" w:lineRule="auto"/>
              <w:jc w:val="center"/>
              <w:rPr>
                <w:rFonts w:ascii="Times New Roman" w:eastAsia="等线" w:hAnsi="Times New Roman" w:cs="Times New Roman"/>
                <w:kern w:val="0"/>
                <w:sz w:val="20"/>
                <w:szCs w:val="20"/>
              </w:rPr>
            </w:pPr>
            <w:r>
              <w:rPr>
                <w:rFonts w:ascii="Times New Roman" w:eastAsia="等线" w:hAnsi="Times New Roman" w:cs="Times New Roman"/>
                <w:kern w:val="0"/>
                <w:sz w:val="20"/>
                <w:szCs w:val="20"/>
              </w:rPr>
              <w:t xml:space="preserve">PET </w:t>
            </w:r>
          </w:p>
        </w:tc>
      </w:tr>
      <w:tr w:rsidR="00024F56" w14:paraId="493D75B2" w14:textId="77777777">
        <w:trPr>
          <w:jc w:val="center"/>
        </w:trPr>
        <w:tc>
          <w:tcPr>
            <w:tcW w:w="2469" w:type="dxa"/>
            <w:tcBorders>
              <w:top w:val="single" w:sz="8" w:space="0" w:color="auto"/>
              <w:left w:val="nil"/>
              <w:bottom w:val="nil"/>
              <w:right w:val="nil"/>
            </w:tcBorders>
            <w:vAlign w:val="center"/>
          </w:tcPr>
          <w:p w14:paraId="65B3ACA4" w14:textId="77777777" w:rsidR="00024F56" w:rsidRDefault="0022519B">
            <w:pPr>
              <w:spacing w:line="360" w:lineRule="auto"/>
              <w:rPr>
                <w:rFonts w:ascii="Times New Roman" w:eastAsia="等线" w:hAnsi="Times New Roman" w:cs="Times New Roman"/>
                <w:kern w:val="0"/>
                <w:sz w:val="20"/>
                <w:szCs w:val="20"/>
              </w:rPr>
            </w:pPr>
            <w:r>
              <w:rPr>
                <w:rFonts w:ascii="Times New Roman" w:eastAsia="等线" w:hAnsi="Times New Roman" w:cs="Times New Roman"/>
                <w:kern w:val="0"/>
                <w:sz w:val="20"/>
                <w:szCs w:val="20"/>
              </w:rPr>
              <w:t>imageType</w:t>
            </w:r>
          </w:p>
        </w:tc>
        <w:tc>
          <w:tcPr>
            <w:tcW w:w="3411" w:type="dxa"/>
            <w:tcBorders>
              <w:top w:val="single" w:sz="8" w:space="0" w:color="auto"/>
              <w:left w:val="nil"/>
              <w:bottom w:val="nil"/>
              <w:right w:val="nil"/>
            </w:tcBorders>
          </w:tcPr>
          <w:p w14:paraId="38F30571" w14:textId="77777777" w:rsidR="00024F56" w:rsidRDefault="0022519B">
            <w:pPr>
              <w:spacing w:line="360" w:lineRule="auto"/>
              <w:jc w:val="center"/>
              <w:rPr>
                <w:rFonts w:ascii="Times New Roman" w:eastAsia="等线" w:hAnsi="Times New Roman" w:cs="Times New Roman"/>
                <w:kern w:val="0"/>
                <w:sz w:val="20"/>
                <w:szCs w:val="20"/>
              </w:rPr>
            </w:pPr>
            <w:r>
              <w:rPr>
                <w:rFonts w:ascii="Times New Roman" w:eastAsia="等线" w:hAnsi="Times New Roman" w:cs="Times New Roman"/>
                <w:kern w:val="0"/>
                <w:sz w:val="20"/>
                <w:szCs w:val="20"/>
              </w:rPr>
              <w:t>Original</w:t>
            </w:r>
          </w:p>
          <w:p w14:paraId="5E248F2C" w14:textId="77777777" w:rsidR="00024F56" w:rsidRDefault="0022519B">
            <w:pPr>
              <w:spacing w:line="360" w:lineRule="auto"/>
              <w:jc w:val="left"/>
              <w:rPr>
                <w:rFonts w:ascii="Times New Roman" w:eastAsia="等线" w:hAnsi="Times New Roman" w:cs="Times New Roman"/>
                <w:kern w:val="0"/>
                <w:sz w:val="20"/>
                <w:szCs w:val="20"/>
              </w:rPr>
            </w:pPr>
            <w:r>
              <w:rPr>
                <w:rFonts w:ascii="Times New Roman" w:eastAsia="等线" w:hAnsi="Times New Roman" w:cs="Times New Roman"/>
                <w:kern w:val="0"/>
                <w:sz w:val="20"/>
                <w:szCs w:val="20"/>
              </w:rPr>
              <w:t xml:space="preserve">Wavelet: </w:t>
            </w:r>
            <w:r>
              <w:rPr>
                <w:rFonts w:ascii="Times New Roman" w:eastAsia="等线" w:hAnsi="Times New Roman" w:cs="Times New Roman"/>
                <w:kern w:val="0"/>
                <w:sz w:val="20"/>
                <w:szCs w:val="20"/>
              </w:rPr>
              <w:t>{start_level: 1; level: 2; wavelet: coif3}</w:t>
            </w:r>
          </w:p>
          <w:p w14:paraId="3B9583FF" w14:textId="77777777" w:rsidR="00024F56" w:rsidRDefault="0022519B">
            <w:pPr>
              <w:spacing w:line="360" w:lineRule="auto"/>
              <w:jc w:val="center"/>
              <w:rPr>
                <w:rFonts w:ascii="Times New Roman" w:eastAsia="等线" w:hAnsi="Times New Roman" w:cs="Times New Roman"/>
                <w:kern w:val="0"/>
                <w:sz w:val="20"/>
                <w:szCs w:val="20"/>
              </w:rPr>
            </w:pPr>
            <w:r>
              <w:rPr>
                <w:rFonts w:ascii="Times New Roman" w:eastAsia="等线" w:hAnsi="Times New Roman" w:cs="Times New Roman"/>
                <w:kern w:val="0"/>
                <w:sz w:val="20"/>
                <w:szCs w:val="20"/>
              </w:rPr>
              <w:t>LBP 3D</w:t>
            </w:r>
          </w:p>
          <w:p w14:paraId="71F58E86" w14:textId="77777777" w:rsidR="00024F56" w:rsidRDefault="0022519B">
            <w:pPr>
              <w:spacing w:line="360" w:lineRule="auto"/>
              <w:jc w:val="center"/>
              <w:rPr>
                <w:rFonts w:ascii="Times New Roman" w:eastAsia="等线" w:hAnsi="Times New Roman" w:cs="Times New Roman"/>
                <w:kern w:val="0"/>
                <w:sz w:val="20"/>
                <w:szCs w:val="20"/>
              </w:rPr>
            </w:pPr>
            <w:r>
              <w:rPr>
                <w:rFonts w:ascii="Times New Roman" w:eastAsia="等线" w:hAnsi="Times New Roman" w:cs="Times New Roman"/>
                <w:kern w:val="0"/>
                <w:sz w:val="20"/>
                <w:szCs w:val="20"/>
              </w:rPr>
              <w:t>LoG</w:t>
            </w:r>
          </w:p>
          <w:p w14:paraId="7469900E" w14:textId="77777777" w:rsidR="00024F56" w:rsidRDefault="0022519B">
            <w:pPr>
              <w:spacing w:line="360" w:lineRule="auto"/>
              <w:jc w:val="center"/>
              <w:rPr>
                <w:rFonts w:ascii="Times New Roman" w:eastAsia="等线" w:hAnsi="Times New Roman" w:cs="Times New Roman"/>
                <w:kern w:val="0"/>
                <w:sz w:val="20"/>
                <w:szCs w:val="20"/>
              </w:rPr>
            </w:pPr>
            <w:r>
              <w:rPr>
                <w:rFonts w:ascii="Times New Roman" w:eastAsia="等线" w:hAnsi="Times New Roman" w:cs="Times New Roman"/>
                <w:kern w:val="0"/>
                <w:sz w:val="20"/>
                <w:szCs w:val="20"/>
              </w:rPr>
              <w:t>Square</w:t>
            </w:r>
          </w:p>
          <w:p w14:paraId="10C86026" w14:textId="77777777" w:rsidR="00024F56" w:rsidRDefault="0022519B">
            <w:pPr>
              <w:spacing w:line="360" w:lineRule="auto"/>
              <w:jc w:val="center"/>
              <w:rPr>
                <w:rFonts w:ascii="Times New Roman" w:eastAsia="等线" w:hAnsi="Times New Roman" w:cs="Times New Roman"/>
                <w:kern w:val="0"/>
                <w:sz w:val="20"/>
                <w:szCs w:val="20"/>
              </w:rPr>
            </w:pPr>
            <w:r>
              <w:rPr>
                <w:rFonts w:ascii="Times New Roman" w:eastAsia="等线" w:hAnsi="Times New Roman" w:cs="Times New Roman"/>
                <w:kern w:val="0"/>
                <w:sz w:val="20"/>
                <w:szCs w:val="20"/>
              </w:rPr>
              <w:t>SquareRoot</w:t>
            </w:r>
          </w:p>
          <w:p w14:paraId="721D5D68" w14:textId="77777777" w:rsidR="00024F56" w:rsidRDefault="0022519B">
            <w:pPr>
              <w:spacing w:line="360" w:lineRule="auto"/>
              <w:jc w:val="center"/>
              <w:rPr>
                <w:rFonts w:ascii="Times New Roman" w:eastAsia="等线" w:hAnsi="Times New Roman" w:cs="Times New Roman"/>
                <w:kern w:val="0"/>
                <w:sz w:val="20"/>
                <w:szCs w:val="20"/>
              </w:rPr>
            </w:pPr>
            <w:r>
              <w:rPr>
                <w:rFonts w:ascii="Times New Roman" w:eastAsia="等线" w:hAnsi="Times New Roman" w:cs="Times New Roman"/>
                <w:kern w:val="0"/>
                <w:sz w:val="20"/>
                <w:szCs w:val="20"/>
              </w:rPr>
              <w:t>Gradient</w:t>
            </w:r>
          </w:p>
          <w:p w14:paraId="6B95432F" w14:textId="77777777" w:rsidR="00024F56" w:rsidRDefault="0022519B">
            <w:pPr>
              <w:spacing w:line="360" w:lineRule="auto"/>
              <w:jc w:val="center"/>
              <w:rPr>
                <w:rFonts w:ascii="Times New Roman" w:eastAsia="等线" w:hAnsi="Times New Roman" w:cs="Times New Roman"/>
                <w:kern w:val="0"/>
                <w:sz w:val="20"/>
                <w:szCs w:val="20"/>
              </w:rPr>
            </w:pPr>
            <w:r>
              <w:rPr>
                <w:rFonts w:ascii="Times New Roman" w:eastAsia="等线" w:hAnsi="Times New Roman" w:cs="Times New Roman"/>
                <w:kern w:val="0"/>
                <w:sz w:val="20"/>
                <w:szCs w:val="20"/>
              </w:rPr>
              <w:t>Exponential</w:t>
            </w:r>
          </w:p>
          <w:p w14:paraId="583F4B33" w14:textId="77777777" w:rsidR="00024F56" w:rsidRDefault="0022519B">
            <w:pPr>
              <w:spacing w:line="360" w:lineRule="auto"/>
              <w:jc w:val="center"/>
              <w:rPr>
                <w:rFonts w:ascii="Times New Roman" w:eastAsia="等线" w:hAnsi="Times New Roman" w:cs="Times New Roman"/>
                <w:kern w:val="0"/>
                <w:sz w:val="20"/>
                <w:szCs w:val="20"/>
              </w:rPr>
            </w:pPr>
            <w:r>
              <w:rPr>
                <w:rFonts w:ascii="Times New Roman" w:eastAsia="等线" w:hAnsi="Times New Roman" w:cs="Times New Roman"/>
                <w:kern w:val="0"/>
                <w:sz w:val="20"/>
                <w:szCs w:val="20"/>
              </w:rPr>
              <w:t>Logarithm</w:t>
            </w:r>
          </w:p>
        </w:tc>
        <w:tc>
          <w:tcPr>
            <w:tcW w:w="3622" w:type="dxa"/>
            <w:tcBorders>
              <w:top w:val="single" w:sz="8" w:space="0" w:color="auto"/>
              <w:left w:val="nil"/>
              <w:bottom w:val="nil"/>
              <w:right w:val="nil"/>
            </w:tcBorders>
            <w:vAlign w:val="center"/>
          </w:tcPr>
          <w:p w14:paraId="0F34B760" w14:textId="77777777" w:rsidR="00024F56" w:rsidRDefault="0022519B">
            <w:pPr>
              <w:spacing w:line="360" w:lineRule="auto"/>
              <w:jc w:val="center"/>
              <w:rPr>
                <w:rFonts w:ascii="Times New Roman" w:eastAsia="等线" w:hAnsi="Times New Roman" w:cs="Times New Roman"/>
                <w:kern w:val="0"/>
                <w:sz w:val="20"/>
                <w:szCs w:val="20"/>
              </w:rPr>
            </w:pPr>
            <w:r>
              <w:rPr>
                <w:rFonts w:ascii="Times New Roman" w:eastAsia="等线" w:hAnsi="Times New Roman" w:cs="Times New Roman"/>
                <w:kern w:val="0"/>
                <w:sz w:val="20"/>
                <w:szCs w:val="20"/>
              </w:rPr>
              <w:t>Original</w:t>
            </w:r>
          </w:p>
          <w:p w14:paraId="746B9B2A" w14:textId="77777777" w:rsidR="00024F56" w:rsidRDefault="0022519B">
            <w:pPr>
              <w:spacing w:line="360" w:lineRule="auto"/>
              <w:jc w:val="center"/>
              <w:rPr>
                <w:rFonts w:ascii="Times New Roman" w:eastAsia="等线" w:hAnsi="Times New Roman" w:cs="Times New Roman"/>
                <w:kern w:val="0"/>
                <w:sz w:val="20"/>
                <w:szCs w:val="20"/>
              </w:rPr>
            </w:pPr>
            <w:r>
              <w:rPr>
                <w:rFonts w:ascii="Times New Roman" w:eastAsia="等线" w:hAnsi="Times New Roman" w:cs="Times New Roman"/>
                <w:kern w:val="0"/>
                <w:sz w:val="20"/>
                <w:szCs w:val="20"/>
              </w:rPr>
              <w:t>Wavelet: {start_level: 1; level: 2; wavelet: "coif3"}</w:t>
            </w:r>
          </w:p>
          <w:p w14:paraId="5F2C8A6D" w14:textId="77777777" w:rsidR="00024F56" w:rsidRDefault="0022519B">
            <w:pPr>
              <w:spacing w:line="360" w:lineRule="auto"/>
              <w:jc w:val="center"/>
              <w:rPr>
                <w:rFonts w:ascii="Times New Roman" w:eastAsia="等线" w:hAnsi="Times New Roman" w:cs="Times New Roman"/>
                <w:kern w:val="0"/>
                <w:sz w:val="20"/>
                <w:szCs w:val="20"/>
              </w:rPr>
            </w:pPr>
            <w:r>
              <w:rPr>
                <w:rFonts w:ascii="Times New Roman" w:eastAsia="等线" w:hAnsi="Times New Roman" w:cs="Times New Roman"/>
                <w:kern w:val="0"/>
                <w:sz w:val="20"/>
                <w:szCs w:val="20"/>
              </w:rPr>
              <w:t>LBP 3D</w:t>
            </w:r>
          </w:p>
          <w:p w14:paraId="4AC74E4A" w14:textId="77777777" w:rsidR="00024F56" w:rsidRDefault="0022519B">
            <w:pPr>
              <w:spacing w:line="360" w:lineRule="auto"/>
              <w:jc w:val="center"/>
              <w:rPr>
                <w:rFonts w:ascii="Times New Roman" w:eastAsia="等线" w:hAnsi="Times New Roman" w:cs="Times New Roman"/>
                <w:kern w:val="0"/>
                <w:sz w:val="20"/>
                <w:szCs w:val="20"/>
              </w:rPr>
            </w:pPr>
            <w:r>
              <w:rPr>
                <w:rFonts w:ascii="Times New Roman" w:eastAsia="等线" w:hAnsi="Times New Roman" w:cs="Times New Roman"/>
                <w:kern w:val="0"/>
                <w:sz w:val="20"/>
                <w:szCs w:val="20"/>
              </w:rPr>
              <w:t>LoG</w:t>
            </w:r>
          </w:p>
          <w:p w14:paraId="5B134CCA" w14:textId="77777777" w:rsidR="00024F56" w:rsidRDefault="0022519B">
            <w:pPr>
              <w:spacing w:line="360" w:lineRule="auto"/>
              <w:jc w:val="center"/>
              <w:rPr>
                <w:rFonts w:ascii="Times New Roman" w:eastAsia="等线" w:hAnsi="Times New Roman" w:cs="Times New Roman"/>
                <w:kern w:val="0"/>
                <w:sz w:val="20"/>
                <w:szCs w:val="20"/>
              </w:rPr>
            </w:pPr>
            <w:r>
              <w:rPr>
                <w:rFonts w:ascii="Times New Roman" w:eastAsia="等线" w:hAnsi="Times New Roman" w:cs="Times New Roman"/>
                <w:kern w:val="0"/>
                <w:sz w:val="20"/>
                <w:szCs w:val="20"/>
              </w:rPr>
              <w:t>Square</w:t>
            </w:r>
          </w:p>
          <w:p w14:paraId="0E75CE68" w14:textId="77777777" w:rsidR="00024F56" w:rsidRDefault="0022519B">
            <w:pPr>
              <w:spacing w:line="360" w:lineRule="auto"/>
              <w:jc w:val="center"/>
              <w:rPr>
                <w:rFonts w:ascii="Times New Roman" w:eastAsia="等线" w:hAnsi="Times New Roman" w:cs="Times New Roman"/>
                <w:kern w:val="0"/>
                <w:sz w:val="20"/>
                <w:szCs w:val="20"/>
              </w:rPr>
            </w:pPr>
            <w:r>
              <w:rPr>
                <w:rFonts w:ascii="Times New Roman" w:eastAsia="等线" w:hAnsi="Times New Roman" w:cs="Times New Roman"/>
                <w:kern w:val="0"/>
                <w:sz w:val="20"/>
                <w:szCs w:val="20"/>
              </w:rPr>
              <w:t>SquareRoot</w:t>
            </w:r>
          </w:p>
          <w:p w14:paraId="587C2A45" w14:textId="77777777" w:rsidR="00024F56" w:rsidRDefault="0022519B">
            <w:pPr>
              <w:spacing w:line="360" w:lineRule="auto"/>
              <w:jc w:val="center"/>
              <w:rPr>
                <w:rFonts w:ascii="Times New Roman" w:eastAsia="等线" w:hAnsi="Times New Roman" w:cs="Times New Roman"/>
                <w:kern w:val="0"/>
                <w:sz w:val="20"/>
                <w:szCs w:val="20"/>
              </w:rPr>
            </w:pPr>
            <w:r>
              <w:rPr>
                <w:rFonts w:ascii="Times New Roman" w:eastAsia="等线" w:hAnsi="Times New Roman" w:cs="Times New Roman"/>
                <w:kern w:val="0"/>
                <w:sz w:val="20"/>
                <w:szCs w:val="20"/>
              </w:rPr>
              <w:t>Gradient</w:t>
            </w:r>
          </w:p>
          <w:p w14:paraId="2E6E85A4" w14:textId="77777777" w:rsidR="00024F56" w:rsidRDefault="0022519B">
            <w:pPr>
              <w:spacing w:line="360" w:lineRule="auto"/>
              <w:jc w:val="center"/>
              <w:rPr>
                <w:rFonts w:ascii="Times New Roman" w:eastAsia="等线" w:hAnsi="Times New Roman" w:cs="Times New Roman"/>
                <w:kern w:val="0"/>
                <w:sz w:val="20"/>
                <w:szCs w:val="20"/>
              </w:rPr>
            </w:pPr>
            <w:r>
              <w:rPr>
                <w:rFonts w:ascii="Times New Roman" w:eastAsia="等线" w:hAnsi="Times New Roman" w:cs="Times New Roman"/>
                <w:kern w:val="0"/>
                <w:sz w:val="20"/>
                <w:szCs w:val="20"/>
              </w:rPr>
              <w:t>Exponential</w:t>
            </w:r>
          </w:p>
          <w:p w14:paraId="61099F9F" w14:textId="77777777" w:rsidR="00024F56" w:rsidRDefault="0022519B">
            <w:pPr>
              <w:spacing w:line="360" w:lineRule="auto"/>
              <w:jc w:val="center"/>
              <w:rPr>
                <w:rFonts w:ascii="Times New Roman" w:eastAsia="等线" w:hAnsi="Times New Roman" w:cs="Times New Roman"/>
                <w:kern w:val="0"/>
                <w:sz w:val="20"/>
                <w:szCs w:val="20"/>
              </w:rPr>
            </w:pPr>
            <w:r>
              <w:rPr>
                <w:rFonts w:ascii="Times New Roman" w:eastAsia="等线" w:hAnsi="Times New Roman" w:cs="Times New Roman"/>
                <w:kern w:val="0"/>
                <w:sz w:val="20"/>
                <w:szCs w:val="20"/>
              </w:rPr>
              <w:t>Logarithm</w:t>
            </w:r>
          </w:p>
        </w:tc>
      </w:tr>
      <w:tr w:rsidR="00024F56" w14:paraId="3DCEAF78" w14:textId="77777777">
        <w:trPr>
          <w:jc w:val="center"/>
        </w:trPr>
        <w:tc>
          <w:tcPr>
            <w:tcW w:w="2469" w:type="dxa"/>
            <w:tcBorders>
              <w:top w:val="nil"/>
              <w:left w:val="nil"/>
              <w:bottom w:val="nil"/>
              <w:right w:val="nil"/>
            </w:tcBorders>
            <w:vAlign w:val="center"/>
          </w:tcPr>
          <w:p w14:paraId="55D90CD2" w14:textId="77777777" w:rsidR="00024F56" w:rsidRDefault="0022519B">
            <w:pPr>
              <w:spacing w:line="360" w:lineRule="auto"/>
              <w:rPr>
                <w:rFonts w:ascii="Times New Roman" w:eastAsia="等线" w:hAnsi="Times New Roman" w:cs="Times New Roman"/>
                <w:kern w:val="0"/>
                <w:sz w:val="20"/>
                <w:szCs w:val="20"/>
              </w:rPr>
            </w:pPr>
            <w:r>
              <w:rPr>
                <w:rFonts w:ascii="Times New Roman" w:eastAsia="等线" w:hAnsi="Times New Roman" w:cs="Times New Roman"/>
                <w:kern w:val="0"/>
                <w:sz w:val="20"/>
                <w:szCs w:val="20"/>
              </w:rPr>
              <w:t>featureClass</w:t>
            </w:r>
          </w:p>
        </w:tc>
        <w:tc>
          <w:tcPr>
            <w:tcW w:w="3411" w:type="dxa"/>
            <w:tcBorders>
              <w:top w:val="nil"/>
              <w:left w:val="nil"/>
              <w:bottom w:val="nil"/>
              <w:right w:val="nil"/>
            </w:tcBorders>
            <w:vAlign w:val="center"/>
          </w:tcPr>
          <w:p w14:paraId="02CDC85B" w14:textId="77777777" w:rsidR="00024F56" w:rsidRDefault="0022519B">
            <w:pPr>
              <w:spacing w:line="360" w:lineRule="auto"/>
              <w:jc w:val="center"/>
              <w:rPr>
                <w:rFonts w:ascii="Times New Roman" w:eastAsia="等线" w:hAnsi="Times New Roman" w:cs="Times New Roman"/>
                <w:kern w:val="0"/>
                <w:sz w:val="20"/>
                <w:szCs w:val="20"/>
              </w:rPr>
            </w:pPr>
            <w:r>
              <w:rPr>
                <w:rFonts w:ascii="Times New Roman" w:eastAsia="等线" w:hAnsi="Times New Roman" w:cs="Times New Roman"/>
                <w:kern w:val="0"/>
                <w:sz w:val="20"/>
                <w:szCs w:val="20"/>
              </w:rPr>
              <w:t>shape</w:t>
            </w:r>
          </w:p>
          <w:p w14:paraId="2B8C0C66" w14:textId="77777777" w:rsidR="00024F56" w:rsidRDefault="0022519B">
            <w:pPr>
              <w:spacing w:line="360" w:lineRule="auto"/>
              <w:jc w:val="center"/>
              <w:rPr>
                <w:rFonts w:ascii="Times New Roman" w:eastAsia="等线" w:hAnsi="Times New Roman" w:cs="Times New Roman"/>
                <w:kern w:val="0"/>
                <w:sz w:val="20"/>
                <w:szCs w:val="20"/>
              </w:rPr>
            </w:pPr>
            <w:r>
              <w:rPr>
                <w:rFonts w:ascii="Times New Roman" w:eastAsia="等线" w:hAnsi="Times New Roman" w:cs="Times New Roman"/>
                <w:kern w:val="0"/>
                <w:sz w:val="20"/>
                <w:szCs w:val="20"/>
              </w:rPr>
              <w:t>firstorder</w:t>
            </w:r>
          </w:p>
          <w:p w14:paraId="36C46785" w14:textId="77777777" w:rsidR="00024F56" w:rsidRDefault="0022519B">
            <w:pPr>
              <w:spacing w:line="360" w:lineRule="auto"/>
              <w:jc w:val="center"/>
              <w:rPr>
                <w:rFonts w:ascii="Times New Roman" w:eastAsia="等线" w:hAnsi="Times New Roman" w:cs="Times New Roman"/>
                <w:kern w:val="0"/>
                <w:sz w:val="20"/>
                <w:szCs w:val="20"/>
              </w:rPr>
            </w:pPr>
            <w:r>
              <w:rPr>
                <w:rFonts w:ascii="Times New Roman" w:eastAsia="等线" w:hAnsi="Times New Roman" w:cs="Times New Roman"/>
                <w:kern w:val="0"/>
                <w:sz w:val="20"/>
                <w:szCs w:val="20"/>
              </w:rPr>
              <w:t>glcm</w:t>
            </w:r>
          </w:p>
          <w:p w14:paraId="27C42838" w14:textId="77777777" w:rsidR="00024F56" w:rsidRDefault="0022519B">
            <w:pPr>
              <w:spacing w:line="360" w:lineRule="auto"/>
              <w:jc w:val="center"/>
              <w:rPr>
                <w:rFonts w:ascii="Times New Roman" w:eastAsia="等线" w:hAnsi="Times New Roman" w:cs="Times New Roman"/>
                <w:kern w:val="0"/>
                <w:sz w:val="20"/>
                <w:szCs w:val="20"/>
              </w:rPr>
            </w:pPr>
            <w:r>
              <w:rPr>
                <w:rFonts w:ascii="Times New Roman" w:eastAsia="等线" w:hAnsi="Times New Roman" w:cs="Times New Roman"/>
                <w:kern w:val="0"/>
                <w:sz w:val="20"/>
                <w:szCs w:val="20"/>
              </w:rPr>
              <w:t>glrlm</w:t>
            </w:r>
          </w:p>
          <w:p w14:paraId="2B47AA16" w14:textId="77777777" w:rsidR="00024F56" w:rsidRDefault="0022519B">
            <w:pPr>
              <w:spacing w:line="360" w:lineRule="auto"/>
              <w:jc w:val="center"/>
              <w:rPr>
                <w:rFonts w:ascii="Times New Roman" w:eastAsia="等线" w:hAnsi="Times New Roman" w:cs="Times New Roman"/>
                <w:kern w:val="0"/>
                <w:sz w:val="20"/>
                <w:szCs w:val="20"/>
              </w:rPr>
            </w:pPr>
            <w:r>
              <w:rPr>
                <w:rFonts w:ascii="Times New Roman" w:eastAsia="等线" w:hAnsi="Times New Roman" w:cs="Times New Roman"/>
                <w:kern w:val="0"/>
                <w:sz w:val="20"/>
                <w:szCs w:val="20"/>
              </w:rPr>
              <w:t>ngtdm</w:t>
            </w:r>
          </w:p>
          <w:p w14:paraId="7754DB3D" w14:textId="77777777" w:rsidR="00024F56" w:rsidRDefault="0022519B">
            <w:pPr>
              <w:spacing w:line="360" w:lineRule="auto"/>
              <w:jc w:val="center"/>
              <w:rPr>
                <w:rFonts w:ascii="Times New Roman" w:eastAsia="等线" w:hAnsi="Times New Roman" w:cs="Times New Roman"/>
                <w:kern w:val="0"/>
                <w:sz w:val="20"/>
                <w:szCs w:val="20"/>
              </w:rPr>
            </w:pPr>
            <w:r>
              <w:rPr>
                <w:rFonts w:ascii="Times New Roman" w:eastAsia="等线" w:hAnsi="Times New Roman" w:cs="Times New Roman"/>
                <w:kern w:val="0"/>
                <w:sz w:val="20"/>
                <w:szCs w:val="20"/>
              </w:rPr>
              <w:t>glszm</w:t>
            </w:r>
          </w:p>
          <w:p w14:paraId="0D6BBDC8" w14:textId="77777777" w:rsidR="00024F56" w:rsidRDefault="0022519B">
            <w:pPr>
              <w:spacing w:line="360" w:lineRule="auto"/>
              <w:jc w:val="center"/>
              <w:rPr>
                <w:rFonts w:ascii="Times New Roman" w:eastAsia="等线" w:hAnsi="Times New Roman" w:cs="Times New Roman"/>
                <w:kern w:val="0"/>
                <w:sz w:val="20"/>
                <w:szCs w:val="20"/>
              </w:rPr>
            </w:pPr>
            <w:r>
              <w:rPr>
                <w:rFonts w:ascii="Times New Roman" w:eastAsia="等线" w:hAnsi="Times New Roman" w:cs="Times New Roman"/>
                <w:kern w:val="0"/>
                <w:sz w:val="20"/>
                <w:szCs w:val="20"/>
              </w:rPr>
              <w:t>gldm</w:t>
            </w:r>
          </w:p>
        </w:tc>
        <w:tc>
          <w:tcPr>
            <w:tcW w:w="3622" w:type="dxa"/>
            <w:tcBorders>
              <w:top w:val="nil"/>
              <w:left w:val="nil"/>
              <w:bottom w:val="nil"/>
              <w:right w:val="nil"/>
            </w:tcBorders>
            <w:vAlign w:val="center"/>
          </w:tcPr>
          <w:p w14:paraId="795C56A1" w14:textId="77777777" w:rsidR="00024F56" w:rsidRDefault="0022519B">
            <w:pPr>
              <w:spacing w:line="360" w:lineRule="auto"/>
              <w:jc w:val="center"/>
              <w:rPr>
                <w:rFonts w:ascii="Times New Roman" w:eastAsia="等线" w:hAnsi="Times New Roman" w:cs="Times New Roman"/>
                <w:kern w:val="0"/>
                <w:sz w:val="20"/>
                <w:szCs w:val="20"/>
              </w:rPr>
            </w:pPr>
            <w:r>
              <w:rPr>
                <w:rFonts w:ascii="Times New Roman" w:eastAsia="等线" w:hAnsi="Times New Roman" w:cs="Times New Roman"/>
                <w:kern w:val="0"/>
                <w:sz w:val="20"/>
                <w:szCs w:val="20"/>
              </w:rPr>
              <w:t>shape</w:t>
            </w:r>
          </w:p>
          <w:p w14:paraId="6674486F" w14:textId="77777777" w:rsidR="00024F56" w:rsidRDefault="0022519B">
            <w:pPr>
              <w:spacing w:line="360" w:lineRule="auto"/>
              <w:jc w:val="center"/>
              <w:rPr>
                <w:rFonts w:ascii="Times New Roman" w:eastAsia="等线" w:hAnsi="Times New Roman" w:cs="Times New Roman"/>
                <w:kern w:val="0"/>
                <w:sz w:val="20"/>
                <w:szCs w:val="20"/>
              </w:rPr>
            </w:pPr>
            <w:r>
              <w:rPr>
                <w:rFonts w:ascii="Times New Roman" w:eastAsia="等线" w:hAnsi="Times New Roman" w:cs="Times New Roman"/>
                <w:kern w:val="0"/>
                <w:sz w:val="20"/>
                <w:szCs w:val="20"/>
              </w:rPr>
              <w:t>firstorder</w:t>
            </w:r>
          </w:p>
          <w:p w14:paraId="160BC489" w14:textId="77777777" w:rsidR="00024F56" w:rsidRDefault="0022519B">
            <w:pPr>
              <w:spacing w:line="360" w:lineRule="auto"/>
              <w:jc w:val="center"/>
              <w:rPr>
                <w:rFonts w:ascii="Times New Roman" w:eastAsia="等线" w:hAnsi="Times New Roman" w:cs="Times New Roman"/>
                <w:kern w:val="0"/>
                <w:sz w:val="20"/>
                <w:szCs w:val="20"/>
              </w:rPr>
            </w:pPr>
            <w:r>
              <w:rPr>
                <w:rFonts w:ascii="Times New Roman" w:eastAsia="等线" w:hAnsi="Times New Roman" w:cs="Times New Roman"/>
                <w:kern w:val="0"/>
                <w:sz w:val="20"/>
                <w:szCs w:val="20"/>
              </w:rPr>
              <w:t>glcm</w:t>
            </w:r>
          </w:p>
          <w:p w14:paraId="5C7F790F" w14:textId="77777777" w:rsidR="00024F56" w:rsidRDefault="0022519B">
            <w:pPr>
              <w:spacing w:line="360" w:lineRule="auto"/>
              <w:jc w:val="center"/>
              <w:rPr>
                <w:rFonts w:ascii="Times New Roman" w:eastAsia="等线" w:hAnsi="Times New Roman" w:cs="Times New Roman"/>
                <w:kern w:val="0"/>
                <w:sz w:val="20"/>
                <w:szCs w:val="20"/>
              </w:rPr>
            </w:pPr>
            <w:r>
              <w:rPr>
                <w:rFonts w:ascii="Times New Roman" w:eastAsia="等线" w:hAnsi="Times New Roman" w:cs="Times New Roman"/>
                <w:kern w:val="0"/>
                <w:sz w:val="20"/>
                <w:szCs w:val="20"/>
              </w:rPr>
              <w:t>glrlm</w:t>
            </w:r>
          </w:p>
          <w:p w14:paraId="2154249E" w14:textId="77777777" w:rsidR="00024F56" w:rsidRDefault="0022519B">
            <w:pPr>
              <w:spacing w:line="360" w:lineRule="auto"/>
              <w:jc w:val="center"/>
              <w:rPr>
                <w:rFonts w:ascii="Times New Roman" w:eastAsia="等线" w:hAnsi="Times New Roman" w:cs="Times New Roman"/>
                <w:kern w:val="0"/>
                <w:sz w:val="20"/>
                <w:szCs w:val="20"/>
              </w:rPr>
            </w:pPr>
            <w:r>
              <w:rPr>
                <w:rFonts w:ascii="Times New Roman" w:eastAsia="等线" w:hAnsi="Times New Roman" w:cs="Times New Roman"/>
                <w:kern w:val="0"/>
                <w:sz w:val="20"/>
                <w:szCs w:val="20"/>
              </w:rPr>
              <w:t>ngtdm</w:t>
            </w:r>
          </w:p>
          <w:p w14:paraId="340D9804" w14:textId="77777777" w:rsidR="00024F56" w:rsidRDefault="0022519B">
            <w:pPr>
              <w:spacing w:line="360" w:lineRule="auto"/>
              <w:jc w:val="center"/>
              <w:rPr>
                <w:rFonts w:ascii="Times New Roman" w:eastAsia="等线" w:hAnsi="Times New Roman" w:cs="Times New Roman"/>
                <w:kern w:val="0"/>
                <w:sz w:val="20"/>
                <w:szCs w:val="20"/>
              </w:rPr>
            </w:pPr>
            <w:r>
              <w:rPr>
                <w:rFonts w:ascii="Times New Roman" w:eastAsia="等线" w:hAnsi="Times New Roman" w:cs="Times New Roman"/>
                <w:kern w:val="0"/>
                <w:sz w:val="20"/>
                <w:szCs w:val="20"/>
              </w:rPr>
              <w:t>glszm</w:t>
            </w:r>
          </w:p>
          <w:p w14:paraId="088DAA66" w14:textId="77777777" w:rsidR="00024F56" w:rsidRDefault="0022519B">
            <w:pPr>
              <w:spacing w:line="360" w:lineRule="auto"/>
              <w:jc w:val="center"/>
              <w:rPr>
                <w:rFonts w:ascii="Times New Roman" w:eastAsia="等线" w:hAnsi="Times New Roman" w:cs="Times New Roman"/>
                <w:kern w:val="0"/>
                <w:sz w:val="20"/>
                <w:szCs w:val="20"/>
              </w:rPr>
            </w:pPr>
            <w:r>
              <w:rPr>
                <w:rFonts w:ascii="Times New Roman" w:eastAsia="等线" w:hAnsi="Times New Roman" w:cs="Times New Roman"/>
                <w:kern w:val="0"/>
                <w:sz w:val="20"/>
                <w:szCs w:val="20"/>
              </w:rPr>
              <w:t>gldm</w:t>
            </w:r>
          </w:p>
        </w:tc>
      </w:tr>
      <w:tr w:rsidR="00024F56" w14:paraId="657D7A8F" w14:textId="77777777">
        <w:trPr>
          <w:jc w:val="center"/>
        </w:trPr>
        <w:tc>
          <w:tcPr>
            <w:tcW w:w="2469" w:type="dxa"/>
            <w:tcBorders>
              <w:top w:val="nil"/>
              <w:left w:val="nil"/>
              <w:bottom w:val="nil"/>
              <w:right w:val="nil"/>
            </w:tcBorders>
          </w:tcPr>
          <w:p w14:paraId="3D2E7313" w14:textId="77777777" w:rsidR="00024F56" w:rsidRDefault="0022519B">
            <w:pPr>
              <w:spacing w:line="360" w:lineRule="auto"/>
              <w:rPr>
                <w:rFonts w:ascii="Times New Roman" w:eastAsia="等线" w:hAnsi="Times New Roman" w:cs="Times New Roman"/>
                <w:kern w:val="0"/>
                <w:sz w:val="20"/>
                <w:szCs w:val="20"/>
              </w:rPr>
            </w:pPr>
            <w:r>
              <w:rPr>
                <w:rFonts w:ascii="Times New Roman" w:eastAsia="等线" w:hAnsi="Times New Roman" w:cs="Times New Roman"/>
                <w:kern w:val="0"/>
                <w:sz w:val="20"/>
                <w:szCs w:val="20"/>
              </w:rPr>
              <w:t>binWidth</w:t>
            </w:r>
          </w:p>
        </w:tc>
        <w:tc>
          <w:tcPr>
            <w:tcW w:w="3411" w:type="dxa"/>
            <w:tcBorders>
              <w:top w:val="nil"/>
              <w:left w:val="nil"/>
              <w:bottom w:val="nil"/>
              <w:right w:val="nil"/>
            </w:tcBorders>
          </w:tcPr>
          <w:p w14:paraId="3A0169A2" w14:textId="77777777" w:rsidR="00024F56" w:rsidRDefault="0022519B">
            <w:pPr>
              <w:spacing w:line="360" w:lineRule="auto"/>
              <w:jc w:val="center"/>
              <w:rPr>
                <w:rFonts w:ascii="Times New Roman" w:eastAsia="等线" w:hAnsi="Times New Roman" w:cs="Times New Roman"/>
                <w:kern w:val="0"/>
                <w:sz w:val="20"/>
                <w:szCs w:val="20"/>
              </w:rPr>
            </w:pPr>
            <w:r>
              <w:rPr>
                <w:rFonts w:ascii="Times New Roman" w:eastAsia="等线" w:hAnsi="Times New Roman" w:cs="Times New Roman"/>
                <w:kern w:val="0"/>
                <w:sz w:val="20"/>
                <w:szCs w:val="20"/>
              </w:rPr>
              <w:t>25</w:t>
            </w:r>
          </w:p>
        </w:tc>
        <w:tc>
          <w:tcPr>
            <w:tcW w:w="3622" w:type="dxa"/>
            <w:tcBorders>
              <w:top w:val="nil"/>
              <w:left w:val="nil"/>
              <w:bottom w:val="nil"/>
              <w:right w:val="nil"/>
            </w:tcBorders>
          </w:tcPr>
          <w:p w14:paraId="633E3B80" w14:textId="77777777" w:rsidR="00024F56" w:rsidRDefault="0022519B">
            <w:pPr>
              <w:spacing w:line="360" w:lineRule="auto"/>
              <w:jc w:val="center"/>
              <w:rPr>
                <w:rFonts w:ascii="Times New Roman" w:eastAsia="等线" w:hAnsi="Times New Roman" w:cs="Times New Roman"/>
                <w:kern w:val="0"/>
                <w:sz w:val="20"/>
                <w:szCs w:val="20"/>
              </w:rPr>
            </w:pPr>
            <w:r>
              <w:rPr>
                <w:rFonts w:ascii="Times New Roman" w:eastAsia="等线" w:hAnsi="Times New Roman" w:cs="Times New Roman"/>
                <w:kern w:val="0"/>
                <w:sz w:val="20"/>
                <w:szCs w:val="20"/>
              </w:rPr>
              <w:t>128</w:t>
            </w:r>
          </w:p>
        </w:tc>
      </w:tr>
      <w:tr w:rsidR="00024F56" w14:paraId="522AEA97" w14:textId="77777777">
        <w:trPr>
          <w:jc w:val="center"/>
        </w:trPr>
        <w:tc>
          <w:tcPr>
            <w:tcW w:w="2469" w:type="dxa"/>
            <w:tcBorders>
              <w:top w:val="nil"/>
              <w:left w:val="nil"/>
              <w:bottom w:val="nil"/>
              <w:right w:val="nil"/>
            </w:tcBorders>
          </w:tcPr>
          <w:p w14:paraId="19D3B0B8" w14:textId="77777777" w:rsidR="00024F56" w:rsidRDefault="0022519B">
            <w:pPr>
              <w:spacing w:line="360" w:lineRule="auto"/>
              <w:rPr>
                <w:rFonts w:ascii="Times New Roman" w:eastAsia="等线" w:hAnsi="Times New Roman" w:cs="Times New Roman"/>
                <w:kern w:val="0"/>
                <w:sz w:val="20"/>
                <w:szCs w:val="20"/>
              </w:rPr>
            </w:pPr>
            <w:r>
              <w:rPr>
                <w:rFonts w:ascii="Times New Roman" w:eastAsia="等线" w:hAnsi="Times New Roman" w:cs="Times New Roman"/>
                <w:kern w:val="0"/>
                <w:sz w:val="20"/>
                <w:szCs w:val="20"/>
              </w:rPr>
              <w:t>interpolator</w:t>
            </w:r>
          </w:p>
        </w:tc>
        <w:tc>
          <w:tcPr>
            <w:tcW w:w="3411" w:type="dxa"/>
            <w:tcBorders>
              <w:top w:val="nil"/>
              <w:left w:val="nil"/>
              <w:bottom w:val="nil"/>
              <w:right w:val="nil"/>
            </w:tcBorders>
          </w:tcPr>
          <w:p w14:paraId="692F447B" w14:textId="77777777" w:rsidR="00024F56" w:rsidRDefault="0022519B">
            <w:pPr>
              <w:spacing w:line="360" w:lineRule="auto"/>
              <w:jc w:val="center"/>
              <w:rPr>
                <w:rFonts w:ascii="Times New Roman" w:eastAsia="等线" w:hAnsi="Times New Roman" w:cs="Times New Roman"/>
                <w:kern w:val="0"/>
                <w:sz w:val="20"/>
                <w:szCs w:val="20"/>
              </w:rPr>
            </w:pPr>
            <w:r>
              <w:rPr>
                <w:rFonts w:ascii="Times New Roman" w:eastAsia="等线" w:hAnsi="Times New Roman" w:cs="Times New Roman"/>
                <w:kern w:val="0"/>
                <w:sz w:val="20"/>
                <w:szCs w:val="20"/>
              </w:rPr>
              <w:t>'sitkBSpline'</w:t>
            </w:r>
          </w:p>
        </w:tc>
        <w:tc>
          <w:tcPr>
            <w:tcW w:w="3622" w:type="dxa"/>
            <w:tcBorders>
              <w:top w:val="nil"/>
              <w:left w:val="nil"/>
              <w:bottom w:val="nil"/>
              <w:right w:val="nil"/>
            </w:tcBorders>
          </w:tcPr>
          <w:p w14:paraId="55630104" w14:textId="77777777" w:rsidR="00024F56" w:rsidRDefault="0022519B">
            <w:pPr>
              <w:spacing w:line="360" w:lineRule="auto"/>
              <w:jc w:val="center"/>
              <w:rPr>
                <w:rFonts w:ascii="Times New Roman" w:eastAsia="等线" w:hAnsi="Times New Roman" w:cs="Times New Roman"/>
                <w:kern w:val="0"/>
                <w:sz w:val="20"/>
                <w:szCs w:val="20"/>
              </w:rPr>
            </w:pPr>
            <w:r>
              <w:rPr>
                <w:rFonts w:ascii="Times New Roman" w:eastAsia="等线" w:hAnsi="Times New Roman" w:cs="Times New Roman"/>
                <w:kern w:val="0"/>
                <w:sz w:val="20"/>
                <w:szCs w:val="20"/>
              </w:rPr>
              <w:t>'</w:t>
            </w:r>
            <w:bookmarkStart w:id="8" w:name="OLE_LINK3"/>
            <w:r>
              <w:rPr>
                <w:rFonts w:ascii="Times New Roman" w:eastAsia="等线" w:hAnsi="Times New Roman" w:cs="Times New Roman"/>
                <w:kern w:val="0"/>
                <w:sz w:val="20"/>
                <w:szCs w:val="20"/>
              </w:rPr>
              <w:t>sitkBSpline</w:t>
            </w:r>
            <w:bookmarkEnd w:id="8"/>
            <w:r>
              <w:rPr>
                <w:rFonts w:ascii="Times New Roman" w:eastAsia="等线" w:hAnsi="Times New Roman" w:cs="Times New Roman"/>
                <w:kern w:val="0"/>
                <w:sz w:val="20"/>
                <w:szCs w:val="20"/>
              </w:rPr>
              <w:t>'</w:t>
            </w:r>
          </w:p>
        </w:tc>
      </w:tr>
      <w:tr w:rsidR="00024F56" w14:paraId="3C7DD372" w14:textId="77777777">
        <w:trPr>
          <w:jc w:val="center"/>
        </w:trPr>
        <w:tc>
          <w:tcPr>
            <w:tcW w:w="2469" w:type="dxa"/>
            <w:tcBorders>
              <w:top w:val="nil"/>
              <w:left w:val="nil"/>
              <w:bottom w:val="nil"/>
              <w:right w:val="nil"/>
            </w:tcBorders>
          </w:tcPr>
          <w:p w14:paraId="53769186" w14:textId="77777777" w:rsidR="00024F56" w:rsidRDefault="0022519B">
            <w:pPr>
              <w:spacing w:line="360" w:lineRule="auto"/>
              <w:rPr>
                <w:rFonts w:ascii="Times New Roman" w:eastAsia="等线" w:hAnsi="Times New Roman" w:cs="Times New Roman"/>
                <w:kern w:val="0"/>
                <w:sz w:val="20"/>
                <w:szCs w:val="20"/>
              </w:rPr>
            </w:pPr>
            <w:r>
              <w:rPr>
                <w:rFonts w:ascii="Times New Roman" w:eastAsia="等线" w:hAnsi="Times New Roman" w:cs="Times New Roman"/>
                <w:kern w:val="0"/>
                <w:sz w:val="20"/>
                <w:szCs w:val="20"/>
              </w:rPr>
              <w:t>resampledPixelSpacing</w:t>
            </w:r>
          </w:p>
        </w:tc>
        <w:tc>
          <w:tcPr>
            <w:tcW w:w="3411" w:type="dxa"/>
            <w:tcBorders>
              <w:top w:val="nil"/>
              <w:left w:val="nil"/>
              <w:bottom w:val="nil"/>
              <w:right w:val="nil"/>
            </w:tcBorders>
          </w:tcPr>
          <w:p w14:paraId="06B9A663" w14:textId="77777777" w:rsidR="00024F56" w:rsidRDefault="0022519B">
            <w:pPr>
              <w:spacing w:line="360" w:lineRule="auto"/>
              <w:jc w:val="center"/>
              <w:rPr>
                <w:rFonts w:ascii="Times New Roman" w:eastAsia="等线" w:hAnsi="Times New Roman" w:cs="Times New Roman"/>
                <w:kern w:val="0"/>
                <w:sz w:val="20"/>
                <w:szCs w:val="20"/>
              </w:rPr>
            </w:pPr>
            <w:r>
              <w:rPr>
                <w:rFonts w:ascii="Times New Roman" w:eastAsia="等线" w:hAnsi="Times New Roman" w:cs="Times New Roman"/>
                <w:kern w:val="0"/>
                <w:sz w:val="20"/>
                <w:szCs w:val="20"/>
              </w:rPr>
              <w:t>[1, 1, 1]</w:t>
            </w:r>
          </w:p>
        </w:tc>
        <w:tc>
          <w:tcPr>
            <w:tcW w:w="3622" w:type="dxa"/>
            <w:tcBorders>
              <w:top w:val="nil"/>
              <w:left w:val="nil"/>
              <w:bottom w:val="nil"/>
              <w:right w:val="nil"/>
            </w:tcBorders>
          </w:tcPr>
          <w:p w14:paraId="1B30DC3D" w14:textId="77777777" w:rsidR="00024F56" w:rsidRDefault="0022519B">
            <w:pPr>
              <w:spacing w:line="360" w:lineRule="auto"/>
              <w:jc w:val="center"/>
              <w:rPr>
                <w:rFonts w:ascii="Times New Roman" w:eastAsia="等线" w:hAnsi="Times New Roman" w:cs="Times New Roman"/>
                <w:kern w:val="0"/>
                <w:sz w:val="20"/>
                <w:szCs w:val="20"/>
              </w:rPr>
            </w:pPr>
            <w:r>
              <w:rPr>
                <w:rFonts w:ascii="Times New Roman" w:eastAsia="等线" w:hAnsi="Times New Roman" w:cs="Times New Roman"/>
                <w:kern w:val="0"/>
                <w:sz w:val="20"/>
                <w:szCs w:val="20"/>
              </w:rPr>
              <w:t>[1, 1, 1]</w:t>
            </w:r>
          </w:p>
        </w:tc>
      </w:tr>
      <w:tr w:rsidR="00024F56" w14:paraId="21291EA2" w14:textId="77777777">
        <w:trPr>
          <w:jc w:val="center"/>
        </w:trPr>
        <w:tc>
          <w:tcPr>
            <w:tcW w:w="2469" w:type="dxa"/>
            <w:tcBorders>
              <w:top w:val="nil"/>
              <w:left w:val="nil"/>
              <w:bottom w:val="nil"/>
              <w:right w:val="nil"/>
            </w:tcBorders>
          </w:tcPr>
          <w:p w14:paraId="42259A99" w14:textId="77777777" w:rsidR="00024F56" w:rsidRDefault="0022519B">
            <w:pPr>
              <w:spacing w:line="360" w:lineRule="auto"/>
              <w:rPr>
                <w:rFonts w:ascii="Times New Roman" w:eastAsia="等线" w:hAnsi="Times New Roman" w:cs="Times New Roman"/>
                <w:kern w:val="0"/>
                <w:sz w:val="20"/>
                <w:szCs w:val="20"/>
              </w:rPr>
            </w:pPr>
            <w:r>
              <w:rPr>
                <w:rFonts w:ascii="Times New Roman" w:eastAsia="等线" w:hAnsi="Times New Roman" w:cs="Times New Roman"/>
                <w:kern w:val="0"/>
                <w:sz w:val="20"/>
                <w:szCs w:val="20"/>
              </w:rPr>
              <w:t>geometryTolerance</w:t>
            </w:r>
          </w:p>
        </w:tc>
        <w:tc>
          <w:tcPr>
            <w:tcW w:w="3411" w:type="dxa"/>
            <w:tcBorders>
              <w:top w:val="nil"/>
              <w:left w:val="nil"/>
              <w:bottom w:val="nil"/>
              <w:right w:val="nil"/>
            </w:tcBorders>
          </w:tcPr>
          <w:p w14:paraId="37A8C5C9" w14:textId="77777777" w:rsidR="00024F56" w:rsidRDefault="0022519B">
            <w:pPr>
              <w:spacing w:line="360" w:lineRule="auto"/>
              <w:jc w:val="center"/>
              <w:rPr>
                <w:rFonts w:ascii="Times New Roman" w:eastAsia="等线" w:hAnsi="Times New Roman" w:cs="Times New Roman"/>
                <w:kern w:val="0"/>
                <w:sz w:val="20"/>
                <w:szCs w:val="20"/>
              </w:rPr>
            </w:pPr>
            <w:r>
              <w:rPr>
                <w:rFonts w:ascii="Times New Roman" w:eastAsia="等线" w:hAnsi="Times New Roman" w:cs="Times New Roman"/>
                <w:kern w:val="0"/>
                <w:sz w:val="20"/>
                <w:szCs w:val="20"/>
              </w:rPr>
              <w:t>0.1</w:t>
            </w:r>
          </w:p>
        </w:tc>
        <w:tc>
          <w:tcPr>
            <w:tcW w:w="3622" w:type="dxa"/>
            <w:tcBorders>
              <w:top w:val="nil"/>
              <w:left w:val="nil"/>
              <w:bottom w:val="nil"/>
              <w:right w:val="nil"/>
            </w:tcBorders>
          </w:tcPr>
          <w:p w14:paraId="60B88091" w14:textId="77777777" w:rsidR="00024F56" w:rsidRDefault="0022519B">
            <w:pPr>
              <w:spacing w:line="360" w:lineRule="auto"/>
              <w:jc w:val="center"/>
              <w:rPr>
                <w:rFonts w:ascii="Times New Roman" w:eastAsia="等线" w:hAnsi="Times New Roman" w:cs="Times New Roman"/>
                <w:kern w:val="0"/>
                <w:sz w:val="20"/>
                <w:szCs w:val="20"/>
              </w:rPr>
            </w:pPr>
            <w:r>
              <w:rPr>
                <w:rFonts w:ascii="Times New Roman" w:eastAsia="等线" w:hAnsi="Times New Roman" w:cs="Times New Roman"/>
                <w:kern w:val="0"/>
                <w:sz w:val="20"/>
                <w:szCs w:val="20"/>
              </w:rPr>
              <w:t>0.1</w:t>
            </w:r>
          </w:p>
        </w:tc>
      </w:tr>
      <w:tr w:rsidR="00024F56" w14:paraId="6B70BD47" w14:textId="77777777">
        <w:trPr>
          <w:jc w:val="center"/>
        </w:trPr>
        <w:tc>
          <w:tcPr>
            <w:tcW w:w="2469" w:type="dxa"/>
            <w:tcBorders>
              <w:top w:val="nil"/>
              <w:left w:val="nil"/>
              <w:bottom w:val="nil"/>
              <w:right w:val="nil"/>
            </w:tcBorders>
          </w:tcPr>
          <w:p w14:paraId="4188EC2B" w14:textId="77777777" w:rsidR="00024F56" w:rsidRDefault="0022519B">
            <w:pPr>
              <w:spacing w:line="360" w:lineRule="auto"/>
              <w:rPr>
                <w:rFonts w:ascii="Times New Roman" w:eastAsia="等线" w:hAnsi="Times New Roman" w:cs="Times New Roman"/>
                <w:kern w:val="0"/>
                <w:sz w:val="20"/>
                <w:szCs w:val="20"/>
              </w:rPr>
            </w:pPr>
            <w:r>
              <w:rPr>
                <w:rFonts w:ascii="Times New Roman" w:eastAsia="等线" w:hAnsi="Times New Roman" w:cs="Times New Roman"/>
                <w:kern w:val="0"/>
                <w:sz w:val="20"/>
                <w:szCs w:val="20"/>
              </w:rPr>
              <w:t>voxelArrayShift</w:t>
            </w:r>
          </w:p>
        </w:tc>
        <w:tc>
          <w:tcPr>
            <w:tcW w:w="3411" w:type="dxa"/>
            <w:tcBorders>
              <w:top w:val="nil"/>
              <w:left w:val="nil"/>
              <w:bottom w:val="nil"/>
              <w:right w:val="nil"/>
            </w:tcBorders>
          </w:tcPr>
          <w:p w14:paraId="3CD8F3C1" w14:textId="77777777" w:rsidR="00024F56" w:rsidRDefault="0022519B">
            <w:pPr>
              <w:spacing w:line="360" w:lineRule="auto"/>
              <w:jc w:val="center"/>
              <w:rPr>
                <w:rFonts w:ascii="Times New Roman" w:eastAsia="等线" w:hAnsi="Times New Roman" w:cs="Times New Roman"/>
                <w:kern w:val="0"/>
                <w:sz w:val="20"/>
                <w:szCs w:val="20"/>
              </w:rPr>
            </w:pPr>
            <w:r>
              <w:rPr>
                <w:rFonts w:ascii="Times New Roman" w:eastAsia="等线" w:hAnsi="Times New Roman" w:cs="Times New Roman"/>
                <w:kern w:val="0"/>
                <w:sz w:val="20"/>
                <w:szCs w:val="20"/>
              </w:rPr>
              <w:t>1000</w:t>
            </w:r>
          </w:p>
        </w:tc>
        <w:tc>
          <w:tcPr>
            <w:tcW w:w="3622" w:type="dxa"/>
            <w:tcBorders>
              <w:top w:val="nil"/>
              <w:left w:val="nil"/>
              <w:bottom w:val="nil"/>
              <w:right w:val="nil"/>
            </w:tcBorders>
          </w:tcPr>
          <w:p w14:paraId="6A0C0D8D" w14:textId="77777777" w:rsidR="00024F56" w:rsidRDefault="0022519B">
            <w:pPr>
              <w:spacing w:line="360" w:lineRule="auto"/>
              <w:jc w:val="center"/>
              <w:rPr>
                <w:rFonts w:ascii="Times New Roman" w:eastAsia="等线" w:hAnsi="Times New Roman" w:cs="Times New Roman"/>
                <w:kern w:val="0"/>
                <w:sz w:val="20"/>
                <w:szCs w:val="20"/>
              </w:rPr>
            </w:pPr>
            <w:r>
              <w:rPr>
                <w:rFonts w:ascii="Times New Roman" w:eastAsia="等线" w:hAnsi="Times New Roman" w:cs="Times New Roman"/>
                <w:kern w:val="0"/>
                <w:sz w:val="20"/>
                <w:szCs w:val="20"/>
              </w:rPr>
              <w:t>1000</w:t>
            </w:r>
          </w:p>
        </w:tc>
      </w:tr>
      <w:tr w:rsidR="00024F56" w14:paraId="5757A409" w14:textId="77777777">
        <w:trPr>
          <w:jc w:val="center"/>
        </w:trPr>
        <w:tc>
          <w:tcPr>
            <w:tcW w:w="2469" w:type="dxa"/>
            <w:tcBorders>
              <w:top w:val="nil"/>
              <w:left w:val="nil"/>
              <w:bottom w:val="single" w:sz="8" w:space="0" w:color="auto"/>
              <w:right w:val="nil"/>
            </w:tcBorders>
          </w:tcPr>
          <w:p w14:paraId="5F1A2B93" w14:textId="77777777" w:rsidR="00024F56" w:rsidRDefault="0022519B">
            <w:pPr>
              <w:spacing w:line="360" w:lineRule="auto"/>
              <w:rPr>
                <w:rFonts w:ascii="Times New Roman" w:eastAsia="等线" w:hAnsi="Times New Roman" w:cs="Times New Roman"/>
                <w:kern w:val="0"/>
                <w:sz w:val="20"/>
                <w:szCs w:val="20"/>
              </w:rPr>
            </w:pPr>
            <w:r>
              <w:rPr>
                <w:rFonts w:ascii="Times New Roman" w:eastAsia="等线" w:hAnsi="Times New Roman" w:cs="Times New Roman"/>
                <w:kern w:val="0"/>
                <w:sz w:val="20"/>
                <w:szCs w:val="20"/>
              </w:rPr>
              <w:t>label</w:t>
            </w:r>
          </w:p>
        </w:tc>
        <w:tc>
          <w:tcPr>
            <w:tcW w:w="3411" w:type="dxa"/>
            <w:tcBorders>
              <w:top w:val="nil"/>
              <w:left w:val="nil"/>
              <w:bottom w:val="single" w:sz="8" w:space="0" w:color="auto"/>
              <w:right w:val="nil"/>
            </w:tcBorders>
          </w:tcPr>
          <w:p w14:paraId="0A069E11" w14:textId="77777777" w:rsidR="00024F56" w:rsidRDefault="0022519B">
            <w:pPr>
              <w:spacing w:line="360" w:lineRule="auto"/>
              <w:jc w:val="center"/>
              <w:rPr>
                <w:rFonts w:ascii="Times New Roman" w:eastAsia="等线" w:hAnsi="Times New Roman" w:cs="Times New Roman"/>
                <w:kern w:val="0"/>
                <w:sz w:val="20"/>
                <w:szCs w:val="20"/>
              </w:rPr>
            </w:pPr>
            <w:r>
              <w:rPr>
                <w:rFonts w:ascii="Times New Roman" w:eastAsia="等线" w:hAnsi="Times New Roman" w:cs="Times New Roman"/>
                <w:kern w:val="0"/>
                <w:sz w:val="20"/>
                <w:szCs w:val="20"/>
              </w:rPr>
              <w:t>1</w:t>
            </w:r>
          </w:p>
        </w:tc>
        <w:tc>
          <w:tcPr>
            <w:tcW w:w="3622" w:type="dxa"/>
            <w:tcBorders>
              <w:top w:val="nil"/>
              <w:left w:val="nil"/>
              <w:bottom w:val="single" w:sz="8" w:space="0" w:color="auto"/>
              <w:right w:val="nil"/>
            </w:tcBorders>
          </w:tcPr>
          <w:p w14:paraId="3AEAA8B9" w14:textId="77777777" w:rsidR="00024F56" w:rsidRDefault="0022519B">
            <w:pPr>
              <w:spacing w:line="360" w:lineRule="auto"/>
              <w:jc w:val="center"/>
              <w:rPr>
                <w:rFonts w:ascii="Times New Roman" w:eastAsia="等线" w:hAnsi="Times New Roman" w:cs="Times New Roman"/>
                <w:kern w:val="0"/>
                <w:sz w:val="20"/>
                <w:szCs w:val="20"/>
              </w:rPr>
            </w:pPr>
            <w:r>
              <w:rPr>
                <w:rFonts w:ascii="Times New Roman" w:eastAsia="等线" w:hAnsi="Times New Roman" w:cs="Times New Roman"/>
                <w:kern w:val="0"/>
                <w:sz w:val="20"/>
                <w:szCs w:val="20"/>
              </w:rPr>
              <w:t>1</w:t>
            </w:r>
          </w:p>
        </w:tc>
      </w:tr>
    </w:tbl>
    <w:p w14:paraId="583CDD83" w14:textId="77777777" w:rsidR="00024F56" w:rsidRDefault="00024F56">
      <w:pPr>
        <w:spacing w:line="480" w:lineRule="auto"/>
        <w:rPr>
          <w:rFonts w:ascii="Times New Roman" w:eastAsia="等线" w:hAnsi="Times New Roman" w:cs="Times New Roman"/>
          <w:sz w:val="20"/>
          <w:szCs w:val="20"/>
        </w:rPr>
      </w:pPr>
    </w:p>
    <w:p w14:paraId="320AC82D" w14:textId="77777777" w:rsidR="00024F56" w:rsidRDefault="00024F56">
      <w:pPr>
        <w:spacing w:line="480" w:lineRule="auto"/>
        <w:rPr>
          <w:rFonts w:ascii="Times New Roman" w:eastAsia="等线" w:hAnsi="Times New Roman" w:cs="Times New Roman"/>
          <w:sz w:val="20"/>
          <w:szCs w:val="20"/>
        </w:rPr>
      </w:pPr>
    </w:p>
    <w:p w14:paraId="62AE3B2A" w14:textId="77777777" w:rsidR="00024F56" w:rsidRDefault="00024F56">
      <w:pPr>
        <w:spacing w:line="480" w:lineRule="auto"/>
        <w:rPr>
          <w:rFonts w:ascii="Times New Roman" w:eastAsia="宋体" w:hAnsi="Times New Roman" w:cs="Times New Roman"/>
          <w:sz w:val="20"/>
          <w:szCs w:val="20"/>
        </w:rPr>
      </w:pPr>
    </w:p>
    <w:p w14:paraId="5120ABC6" w14:textId="77777777" w:rsidR="00024F56" w:rsidRDefault="00024F56">
      <w:pPr>
        <w:spacing w:line="480" w:lineRule="auto"/>
        <w:rPr>
          <w:rFonts w:ascii="Times New Roman" w:eastAsia="宋体" w:hAnsi="Times New Roman" w:cs="Times New Roman"/>
          <w:sz w:val="20"/>
          <w:szCs w:val="20"/>
        </w:rPr>
      </w:pPr>
    </w:p>
    <w:p w14:paraId="6D6AABE2" w14:textId="77777777" w:rsidR="00024F56" w:rsidRDefault="00024F56">
      <w:pPr>
        <w:spacing w:line="480" w:lineRule="auto"/>
        <w:rPr>
          <w:rFonts w:ascii="Times New Roman" w:eastAsia="宋体" w:hAnsi="Times New Roman" w:cs="Times New Roman"/>
          <w:sz w:val="20"/>
          <w:szCs w:val="20"/>
        </w:rPr>
      </w:pPr>
    </w:p>
    <w:p w14:paraId="3050FEF4" w14:textId="77777777" w:rsidR="00024F56" w:rsidRDefault="0022519B">
      <w:pPr>
        <w:spacing w:line="480" w:lineRule="auto"/>
        <w:rPr>
          <w:rFonts w:ascii="Times New Roman" w:eastAsia="宋体" w:hAnsi="Times New Roman" w:cs="Times New Roman"/>
          <w:sz w:val="20"/>
          <w:szCs w:val="20"/>
        </w:rPr>
        <w:sectPr w:rsidR="00024F56">
          <w:headerReference w:type="default" r:id="rId15"/>
          <w:footerReference w:type="default" r:id="rId16"/>
          <w:pgSz w:w="11906" w:h="16838"/>
          <w:pgMar w:top="1440" w:right="1077" w:bottom="1440" w:left="1077" w:header="720" w:footer="720" w:gutter="0"/>
          <w:cols w:space="720"/>
          <w:docGrid w:linePitch="360"/>
        </w:sectPr>
      </w:pPr>
      <w:r>
        <w:rPr>
          <w:rFonts w:ascii="Times New Roman" w:eastAsia="宋体" w:hAnsi="Times New Roman" w:cs="Times New Roman"/>
          <w:sz w:val="20"/>
          <w:szCs w:val="20"/>
        </w:rPr>
        <w:br w:type="page"/>
      </w:r>
    </w:p>
    <w:p w14:paraId="2E51A83D" w14:textId="77777777" w:rsidR="00024F56" w:rsidRDefault="0022519B">
      <w:pPr>
        <w:pStyle w:val="2"/>
        <w:spacing w:before="120" w:after="120" w:line="480" w:lineRule="auto"/>
        <w:jc w:val="center"/>
        <w:rPr>
          <w:rFonts w:ascii="Times New Roman" w:hAnsi="Times New Roman" w:cs="Times New Roman"/>
          <w:sz w:val="20"/>
          <w:szCs w:val="20"/>
        </w:rPr>
      </w:pPr>
      <w:r>
        <w:rPr>
          <w:rFonts w:ascii="Times New Roman" w:hAnsi="Times New Roman" w:cs="Times New Roman"/>
          <w:sz w:val="20"/>
          <w:szCs w:val="20"/>
        </w:rPr>
        <w:lastRenderedPageBreak/>
        <w:t xml:space="preserve">Table </w:t>
      </w:r>
      <w:r>
        <w:rPr>
          <w:rFonts w:ascii="Times New Roman" w:hAnsi="Times New Roman" w:cs="Times New Roman" w:hint="eastAsia"/>
          <w:sz w:val="20"/>
          <w:szCs w:val="20"/>
        </w:rPr>
        <w:t>S</w:t>
      </w:r>
      <w:r>
        <w:rPr>
          <w:rFonts w:ascii="Times New Roman" w:hAnsi="Times New Roman" w:cs="Times New Roman"/>
          <w:sz w:val="20"/>
          <w:szCs w:val="20"/>
        </w:rPr>
        <w:t>3 List of Extracted Handcrafted Radiomics Features.</w:t>
      </w:r>
    </w:p>
    <w:tbl>
      <w:tblPr>
        <w:tblStyle w:val="21"/>
        <w:tblpPr w:leftFromText="180" w:rightFromText="180" w:vertAnchor="text" w:horzAnchor="page" w:tblpXSpec="center" w:tblpY="167"/>
        <w:tblW w:w="9789" w:type="dxa"/>
        <w:jc w:val="center"/>
        <w:tblInd w:w="0" w:type="dxa"/>
        <w:tblCellMar>
          <w:left w:w="108" w:type="dxa"/>
          <w:right w:w="108" w:type="dxa"/>
        </w:tblCellMar>
        <w:tblLook w:val="04A0" w:firstRow="1" w:lastRow="0" w:firstColumn="1" w:lastColumn="0" w:noHBand="0" w:noVBand="1"/>
      </w:tblPr>
      <w:tblGrid>
        <w:gridCol w:w="3229"/>
        <w:gridCol w:w="6560"/>
      </w:tblGrid>
      <w:tr w:rsidR="00024F56" w14:paraId="5E3C4FB2" w14:textId="77777777">
        <w:trPr>
          <w:jc w:val="center"/>
        </w:trPr>
        <w:tc>
          <w:tcPr>
            <w:tcW w:w="3229" w:type="dxa"/>
          </w:tcPr>
          <w:p w14:paraId="0DAFFE96" w14:textId="77777777" w:rsidR="00024F56" w:rsidRDefault="0022519B">
            <w:pPr>
              <w:spacing w:line="360" w:lineRule="auto"/>
              <w:jc w:val="left"/>
              <w:rPr>
                <w:rFonts w:ascii="Times New Roman" w:eastAsia="等线" w:hAnsi="Times New Roman" w:cs="Times New Roman"/>
                <w:b/>
                <w:bCs/>
                <w:sz w:val="20"/>
                <w:szCs w:val="20"/>
              </w:rPr>
            </w:pPr>
            <w:r>
              <w:rPr>
                <w:rFonts w:ascii="Times New Roman" w:eastAsia="等线" w:hAnsi="Times New Roman" w:cs="Times New Roman"/>
                <w:b/>
                <w:bCs/>
                <w:sz w:val="20"/>
                <w:szCs w:val="20"/>
              </w:rPr>
              <w:t>Classification (Total number=2380)</w:t>
            </w:r>
          </w:p>
        </w:tc>
        <w:tc>
          <w:tcPr>
            <w:tcW w:w="6560" w:type="dxa"/>
          </w:tcPr>
          <w:p w14:paraId="33C66C7A" w14:textId="77777777" w:rsidR="00024F56" w:rsidRDefault="0022519B">
            <w:pPr>
              <w:spacing w:line="360" w:lineRule="auto"/>
              <w:jc w:val="left"/>
              <w:rPr>
                <w:rFonts w:ascii="Times New Roman" w:eastAsia="等线" w:hAnsi="Times New Roman" w:cs="Times New Roman"/>
                <w:b/>
                <w:bCs/>
                <w:sz w:val="20"/>
                <w:szCs w:val="20"/>
              </w:rPr>
            </w:pPr>
            <w:r>
              <w:rPr>
                <w:rFonts w:ascii="Times New Roman" w:eastAsia="等线" w:hAnsi="Times New Roman" w:cs="Times New Roman"/>
                <w:b/>
                <w:bCs/>
                <w:sz w:val="20"/>
                <w:szCs w:val="20"/>
              </w:rPr>
              <w:t>Features</w:t>
            </w:r>
          </w:p>
        </w:tc>
      </w:tr>
      <w:tr w:rsidR="00024F56" w14:paraId="38E1AC71" w14:textId="77777777">
        <w:trPr>
          <w:jc w:val="center"/>
        </w:trPr>
        <w:tc>
          <w:tcPr>
            <w:tcW w:w="3229" w:type="dxa"/>
          </w:tcPr>
          <w:p w14:paraId="4ACA5587" w14:textId="77777777" w:rsidR="00024F56" w:rsidRDefault="0022519B">
            <w:pPr>
              <w:spacing w:line="360" w:lineRule="auto"/>
              <w:rPr>
                <w:rFonts w:ascii="Times New Roman" w:eastAsia="等线" w:hAnsi="Times New Roman" w:cs="Times New Roman"/>
                <w:b/>
                <w:bCs/>
                <w:sz w:val="20"/>
                <w:szCs w:val="20"/>
              </w:rPr>
            </w:pPr>
            <w:r>
              <w:rPr>
                <w:rFonts w:ascii="Times New Roman" w:eastAsia="等线" w:hAnsi="Times New Roman" w:cs="Times New Roman"/>
                <w:b/>
                <w:bCs/>
                <w:sz w:val="20"/>
                <w:szCs w:val="20"/>
              </w:rPr>
              <w:t>First Order Features (18)</w:t>
            </w:r>
          </w:p>
          <w:p w14:paraId="4F3FEB2B" w14:textId="77777777" w:rsidR="00024F56" w:rsidRDefault="00024F56">
            <w:pPr>
              <w:spacing w:line="360" w:lineRule="auto"/>
              <w:rPr>
                <w:rFonts w:ascii="Times New Roman" w:eastAsia="等线" w:hAnsi="Times New Roman" w:cs="Times New Roman"/>
                <w:b/>
                <w:bCs/>
                <w:sz w:val="20"/>
                <w:szCs w:val="20"/>
              </w:rPr>
            </w:pPr>
          </w:p>
        </w:tc>
        <w:tc>
          <w:tcPr>
            <w:tcW w:w="6560" w:type="dxa"/>
          </w:tcPr>
          <w:p w14:paraId="622DA344" w14:textId="77777777" w:rsidR="00024F56" w:rsidRDefault="0022519B">
            <w:pPr>
              <w:spacing w:line="360" w:lineRule="auto"/>
              <w:rPr>
                <w:rFonts w:ascii="Times New Roman" w:eastAsia="等线" w:hAnsi="Times New Roman" w:cs="Times New Roman"/>
                <w:sz w:val="20"/>
                <w:szCs w:val="20"/>
              </w:rPr>
            </w:pPr>
            <w:proofErr w:type="gramStart"/>
            <w:r>
              <w:rPr>
                <w:rFonts w:ascii="Times New Roman" w:eastAsia="等线" w:hAnsi="Times New Roman" w:cs="Times New Roman"/>
                <w:sz w:val="20"/>
                <w:szCs w:val="20"/>
              </w:rPr>
              <w:t>Energy  TotalEnergy</w:t>
            </w:r>
            <w:proofErr w:type="gramEnd"/>
            <w:r>
              <w:rPr>
                <w:rFonts w:ascii="Times New Roman" w:eastAsia="等线" w:hAnsi="Times New Roman" w:cs="Times New Roman"/>
                <w:sz w:val="20"/>
                <w:szCs w:val="20"/>
              </w:rPr>
              <w:t xml:space="preserve">  Entropy  Minimum  10thpercentile  90thpercentile  Maximum  Mean  Median  Interquartile_Range  Range  Skewness  Kurtosis  Variance  Uniformity </w:t>
            </w:r>
          </w:p>
          <w:p w14:paraId="0BDD4EF5" w14:textId="77777777" w:rsidR="00024F56" w:rsidRDefault="0022519B">
            <w:pPr>
              <w:spacing w:line="360" w:lineRule="auto"/>
              <w:rPr>
                <w:rFonts w:ascii="Times New Roman" w:eastAsia="等线" w:hAnsi="Times New Roman" w:cs="Times New Roman"/>
                <w:sz w:val="20"/>
                <w:szCs w:val="20"/>
              </w:rPr>
            </w:pPr>
            <w:r>
              <w:rPr>
                <w:rFonts w:ascii="Times New Roman" w:eastAsia="等线" w:hAnsi="Times New Roman" w:cs="Times New Roman"/>
                <w:sz w:val="20"/>
                <w:szCs w:val="20"/>
              </w:rPr>
              <w:t xml:space="preserve">Mean Absolute Deviation (MAD) </w:t>
            </w:r>
          </w:p>
          <w:p w14:paraId="442ACC05" w14:textId="77777777" w:rsidR="00024F56" w:rsidRDefault="0022519B">
            <w:pPr>
              <w:spacing w:line="360" w:lineRule="auto"/>
              <w:rPr>
                <w:rFonts w:ascii="Times New Roman" w:eastAsia="等线" w:hAnsi="Times New Roman" w:cs="Times New Roman"/>
                <w:b/>
                <w:bCs/>
                <w:sz w:val="20"/>
                <w:szCs w:val="20"/>
              </w:rPr>
            </w:pPr>
            <w:r>
              <w:rPr>
                <w:rFonts w:ascii="Times New Roman" w:eastAsia="等线" w:hAnsi="Times New Roman" w:cs="Times New Roman"/>
                <w:sz w:val="20"/>
                <w:szCs w:val="20"/>
              </w:rPr>
              <w:t>Robust Mean Absolute Deviation (rMAD) Root Mean Squared (RMS)</w:t>
            </w:r>
          </w:p>
        </w:tc>
      </w:tr>
      <w:tr w:rsidR="00024F56" w14:paraId="5A4726D9" w14:textId="77777777">
        <w:trPr>
          <w:jc w:val="center"/>
        </w:trPr>
        <w:tc>
          <w:tcPr>
            <w:tcW w:w="3229" w:type="dxa"/>
          </w:tcPr>
          <w:p w14:paraId="44A12F9C" w14:textId="77777777" w:rsidR="00024F56" w:rsidRDefault="0022519B">
            <w:pPr>
              <w:spacing w:line="360" w:lineRule="auto"/>
              <w:rPr>
                <w:rFonts w:ascii="Times New Roman" w:eastAsia="等线" w:hAnsi="Times New Roman" w:cs="Times New Roman"/>
                <w:b/>
                <w:bCs/>
                <w:sz w:val="20"/>
                <w:szCs w:val="20"/>
              </w:rPr>
            </w:pPr>
            <w:r>
              <w:rPr>
                <w:rFonts w:ascii="Times New Roman" w:eastAsia="等线" w:hAnsi="Times New Roman" w:cs="Times New Roman"/>
                <w:b/>
                <w:bCs/>
                <w:sz w:val="20"/>
                <w:szCs w:val="20"/>
              </w:rPr>
              <w:t>Shape Features (14)</w:t>
            </w:r>
          </w:p>
          <w:p w14:paraId="76AC553A" w14:textId="77777777" w:rsidR="00024F56" w:rsidRDefault="00024F56">
            <w:pPr>
              <w:spacing w:line="360" w:lineRule="auto"/>
              <w:rPr>
                <w:rFonts w:ascii="Times New Roman" w:eastAsia="等线" w:hAnsi="Times New Roman" w:cs="Times New Roman"/>
                <w:b/>
                <w:bCs/>
                <w:sz w:val="20"/>
                <w:szCs w:val="20"/>
              </w:rPr>
            </w:pPr>
          </w:p>
        </w:tc>
        <w:tc>
          <w:tcPr>
            <w:tcW w:w="6560" w:type="dxa"/>
          </w:tcPr>
          <w:p w14:paraId="4C4E7EF1" w14:textId="77777777" w:rsidR="00024F56" w:rsidRDefault="0022519B">
            <w:pPr>
              <w:spacing w:line="360" w:lineRule="auto"/>
              <w:rPr>
                <w:rFonts w:ascii="Times New Roman" w:eastAsia="等线" w:hAnsi="Times New Roman" w:cs="Times New Roman"/>
                <w:sz w:val="20"/>
                <w:szCs w:val="20"/>
              </w:rPr>
            </w:pPr>
            <w:r>
              <w:rPr>
                <w:rFonts w:ascii="Times New Roman" w:eastAsia="等线" w:hAnsi="Times New Roman" w:cs="Times New Roman"/>
                <w:sz w:val="20"/>
                <w:szCs w:val="20"/>
              </w:rPr>
              <w:t>Elongation    Flatness    LeastAxisLength    MajorAxisLength</w:t>
            </w:r>
          </w:p>
          <w:p w14:paraId="7A68BA8A" w14:textId="77777777" w:rsidR="00024F56" w:rsidRDefault="0022519B">
            <w:pPr>
              <w:spacing w:line="360" w:lineRule="auto"/>
              <w:rPr>
                <w:rFonts w:ascii="Times New Roman" w:eastAsia="等线" w:hAnsi="Times New Roman" w:cs="Times New Roman"/>
                <w:sz w:val="20"/>
                <w:szCs w:val="20"/>
              </w:rPr>
            </w:pPr>
            <w:r>
              <w:rPr>
                <w:rFonts w:ascii="Times New Roman" w:eastAsia="等线" w:hAnsi="Times New Roman" w:cs="Times New Roman"/>
                <w:sz w:val="20"/>
                <w:szCs w:val="20"/>
              </w:rPr>
              <w:t xml:space="preserve">Maximum2DDiameterColumn Maximum2DDiameterRow   VoxelVolume </w:t>
            </w:r>
          </w:p>
          <w:p w14:paraId="1EC93BEB" w14:textId="77777777" w:rsidR="00024F56" w:rsidRDefault="0022519B">
            <w:pPr>
              <w:spacing w:line="360" w:lineRule="auto"/>
              <w:rPr>
                <w:rFonts w:ascii="Times New Roman" w:eastAsia="等线" w:hAnsi="Times New Roman" w:cs="Times New Roman"/>
                <w:sz w:val="20"/>
                <w:szCs w:val="20"/>
              </w:rPr>
            </w:pPr>
            <w:r>
              <w:rPr>
                <w:rFonts w:ascii="Times New Roman" w:eastAsia="等线" w:hAnsi="Times New Roman" w:cs="Times New Roman"/>
                <w:sz w:val="20"/>
                <w:szCs w:val="20"/>
              </w:rPr>
              <w:t xml:space="preserve">Maximum2DDiameterSlice    Maximum3DDiameter shape_MeshVolume </w:t>
            </w:r>
          </w:p>
          <w:p w14:paraId="290C5C8C" w14:textId="77777777" w:rsidR="00024F56" w:rsidRDefault="0022519B">
            <w:pPr>
              <w:spacing w:line="360" w:lineRule="auto"/>
              <w:rPr>
                <w:rFonts w:ascii="Times New Roman" w:eastAsia="等线" w:hAnsi="Times New Roman" w:cs="Times New Roman"/>
                <w:b/>
                <w:bCs/>
                <w:sz w:val="20"/>
                <w:szCs w:val="20"/>
              </w:rPr>
            </w:pPr>
            <w:r>
              <w:rPr>
                <w:rFonts w:ascii="Times New Roman" w:eastAsia="等线" w:hAnsi="Times New Roman" w:cs="Times New Roman"/>
                <w:sz w:val="20"/>
                <w:szCs w:val="20"/>
              </w:rPr>
              <w:t xml:space="preserve">MinorAxisLength   Sphericity   </w:t>
            </w:r>
            <w:r>
              <w:rPr>
                <w:rFonts w:ascii="Times New Roman" w:eastAsia="等线" w:hAnsi="Times New Roman" w:cs="Times New Roman"/>
                <w:sz w:val="20"/>
                <w:szCs w:val="20"/>
              </w:rPr>
              <w:t>SurfaceArea   SurfaceVolumeRatio</w:t>
            </w:r>
          </w:p>
        </w:tc>
      </w:tr>
      <w:tr w:rsidR="00024F56" w14:paraId="68E7DB6C" w14:textId="77777777">
        <w:trPr>
          <w:jc w:val="center"/>
        </w:trPr>
        <w:tc>
          <w:tcPr>
            <w:tcW w:w="3229" w:type="dxa"/>
          </w:tcPr>
          <w:p w14:paraId="76AA3150" w14:textId="77777777" w:rsidR="00024F56" w:rsidRDefault="0022519B">
            <w:pPr>
              <w:spacing w:line="360" w:lineRule="auto"/>
              <w:rPr>
                <w:rFonts w:ascii="Times New Roman" w:eastAsia="等线" w:hAnsi="Times New Roman" w:cs="Times New Roman"/>
                <w:b/>
                <w:bCs/>
                <w:sz w:val="20"/>
                <w:szCs w:val="20"/>
              </w:rPr>
            </w:pPr>
            <w:r>
              <w:rPr>
                <w:rFonts w:ascii="Times New Roman" w:eastAsia="等线" w:hAnsi="Times New Roman" w:cs="Times New Roman"/>
                <w:b/>
                <w:bCs/>
                <w:sz w:val="20"/>
                <w:szCs w:val="20"/>
              </w:rPr>
              <w:t>Textural Features (22+16+16+14+5=73)</w:t>
            </w:r>
          </w:p>
        </w:tc>
        <w:tc>
          <w:tcPr>
            <w:tcW w:w="6560" w:type="dxa"/>
          </w:tcPr>
          <w:p w14:paraId="7A32CC23" w14:textId="77777777" w:rsidR="00024F56" w:rsidRDefault="0022519B">
            <w:pPr>
              <w:spacing w:line="360" w:lineRule="auto"/>
              <w:rPr>
                <w:rFonts w:ascii="Times New Roman" w:eastAsia="等线" w:hAnsi="Times New Roman" w:cs="Times New Roman"/>
                <w:b/>
                <w:bCs/>
                <w:sz w:val="20"/>
                <w:szCs w:val="20"/>
              </w:rPr>
            </w:pPr>
            <w:r>
              <w:rPr>
                <w:rFonts w:ascii="Times New Roman" w:eastAsia="等线" w:hAnsi="Times New Roman" w:cs="Times New Roman"/>
                <w:b/>
                <w:bCs/>
                <w:sz w:val="20"/>
                <w:szCs w:val="20"/>
              </w:rPr>
              <w:t>22 features from GLCM:</w:t>
            </w:r>
          </w:p>
          <w:p w14:paraId="09CE4125" w14:textId="77777777" w:rsidR="00024F56" w:rsidRDefault="0022519B">
            <w:pPr>
              <w:spacing w:line="360" w:lineRule="auto"/>
              <w:jc w:val="left"/>
              <w:rPr>
                <w:rFonts w:ascii="Times New Roman" w:eastAsia="等线" w:hAnsi="Times New Roman" w:cs="Times New Roman"/>
                <w:sz w:val="20"/>
                <w:szCs w:val="20"/>
              </w:rPr>
            </w:pPr>
            <w:r>
              <w:rPr>
                <w:rFonts w:ascii="Times New Roman" w:eastAsia="等线" w:hAnsi="Times New Roman" w:cs="Times New Roman"/>
                <w:sz w:val="20"/>
                <w:szCs w:val="20"/>
              </w:rPr>
              <w:t xml:space="preserve">Autocorrelation Joint Average Cluster Prominence Cluster Shade </w:t>
            </w:r>
          </w:p>
          <w:p w14:paraId="48A5E79B" w14:textId="77777777" w:rsidR="00024F56" w:rsidRDefault="0022519B">
            <w:pPr>
              <w:spacing w:line="360" w:lineRule="auto"/>
              <w:rPr>
                <w:rFonts w:ascii="Times New Roman" w:eastAsia="等线" w:hAnsi="Times New Roman" w:cs="Times New Roman"/>
                <w:sz w:val="20"/>
                <w:szCs w:val="20"/>
              </w:rPr>
            </w:pPr>
            <w:r>
              <w:rPr>
                <w:rFonts w:ascii="Times New Roman" w:eastAsia="等线" w:hAnsi="Times New Roman" w:cs="Times New Roman"/>
                <w:sz w:val="20"/>
                <w:szCs w:val="20"/>
              </w:rPr>
              <w:t xml:space="preserve">Cluster Tendency   Contrast   Correlation   Difference Average </w:t>
            </w:r>
          </w:p>
          <w:p w14:paraId="1FB303DF" w14:textId="77777777" w:rsidR="00024F56" w:rsidRDefault="0022519B">
            <w:pPr>
              <w:spacing w:line="360" w:lineRule="auto"/>
              <w:rPr>
                <w:rFonts w:ascii="Times New Roman" w:eastAsia="等线" w:hAnsi="Times New Roman" w:cs="Times New Roman"/>
                <w:sz w:val="20"/>
                <w:szCs w:val="20"/>
              </w:rPr>
            </w:pPr>
            <w:r>
              <w:rPr>
                <w:rFonts w:ascii="Times New Roman" w:eastAsia="等线" w:hAnsi="Times New Roman" w:cs="Times New Roman"/>
                <w:sz w:val="20"/>
                <w:szCs w:val="20"/>
              </w:rPr>
              <w:t>Difference Entropy   Difference Va</w:t>
            </w:r>
            <w:r>
              <w:rPr>
                <w:rFonts w:ascii="Times New Roman" w:eastAsia="等线" w:hAnsi="Times New Roman" w:cs="Times New Roman"/>
                <w:sz w:val="20"/>
                <w:szCs w:val="20"/>
              </w:rPr>
              <w:t xml:space="preserve">riance    Joint Energy   Joint Entropy  </w:t>
            </w:r>
          </w:p>
          <w:p w14:paraId="31A83E55" w14:textId="77777777" w:rsidR="00024F56" w:rsidRDefault="0022519B">
            <w:pPr>
              <w:spacing w:line="360" w:lineRule="auto"/>
              <w:rPr>
                <w:rFonts w:ascii="Times New Roman" w:eastAsia="等线" w:hAnsi="Times New Roman" w:cs="Times New Roman"/>
                <w:sz w:val="20"/>
                <w:szCs w:val="20"/>
              </w:rPr>
            </w:pPr>
            <w:r>
              <w:rPr>
                <w:rFonts w:ascii="Times New Roman" w:eastAsia="等线" w:hAnsi="Times New Roman" w:cs="Times New Roman"/>
                <w:sz w:val="20"/>
                <w:szCs w:val="20"/>
              </w:rPr>
              <w:t xml:space="preserve">Informational Measure of Correlation (IMC) 1 </w:t>
            </w:r>
          </w:p>
          <w:p w14:paraId="1E6BFED3" w14:textId="77777777" w:rsidR="00024F56" w:rsidRDefault="0022519B">
            <w:pPr>
              <w:spacing w:line="360" w:lineRule="auto"/>
              <w:rPr>
                <w:rFonts w:ascii="Times New Roman" w:eastAsia="等线" w:hAnsi="Times New Roman" w:cs="Times New Roman"/>
                <w:sz w:val="20"/>
                <w:szCs w:val="20"/>
              </w:rPr>
            </w:pPr>
            <w:bookmarkStart w:id="9" w:name="_Hlk96974372"/>
            <w:r>
              <w:rPr>
                <w:rFonts w:ascii="Times New Roman" w:eastAsia="等线" w:hAnsi="Times New Roman" w:cs="Times New Roman"/>
                <w:sz w:val="20"/>
                <w:szCs w:val="20"/>
              </w:rPr>
              <w:t>Informational Measure of Correlation (IMC) 2</w:t>
            </w:r>
          </w:p>
          <w:bookmarkEnd w:id="9"/>
          <w:p w14:paraId="301BA41E" w14:textId="77777777" w:rsidR="00024F56" w:rsidRDefault="0022519B">
            <w:pPr>
              <w:spacing w:line="360" w:lineRule="auto"/>
              <w:rPr>
                <w:rFonts w:ascii="Times New Roman" w:eastAsia="等线" w:hAnsi="Times New Roman" w:cs="Times New Roman"/>
                <w:sz w:val="20"/>
                <w:szCs w:val="20"/>
              </w:rPr>
            </w:pPr>
            <w:r>
              <w:rPr>
                <w:rFonts w:ascii="Times New Roman" w:eastAsia="等线" w:hAnsi="Times New Roman" w:cs="Times New Roman"/>
                <w:sz w:val="20"/>
                <w:szCs w:val="20"/>
              </w:rPr>
              <w:t xml:space="preserve">Inverse Difference Moment (IDM) </w:t>
            </w:r>
          </w:p>
          <w:p w14:paraId="2F73E6F8" w14:textId="77777777" w:rsidR="00024F56" w:rsidRDefault="0022519B">
            <w:pPr>
              <w:spacing w:line="360" w:lineRule="auto"/>
              <w:rPr>
                <w:rFonts w:ascii="Times New Roman" w:eastAsia="等线" w:hAnsi="Times New Roman" w:cs="Times New Roman"/>
                <w:sz w:val="20"/>
                <w:szCs w:val="20"/>
              </w:rPr>
            </w:pPr>
            <w:r>
              <w:rPr>
                <w:rFonts w:ascii="Times New Roman" w:eastAsia="等线" w:hAnsi="Times New Roman" w:cs="Times New Roman"/>
                <w:sz w:val="20"/>
                <w:szCs w:val="20"/>
              </w:rPr>
              <w:t xml:space="preserve">Maximal Correlation Coefficient (MCC) </w:t>
            </w:r>
          </w:p>
          <w:p w14:paraId="0C708A4B" w14:textId="77777777" w:rsidR="00024F56" w:rsidRDefault="0022519B">
            <w:pPr>
              <w:spacing w:line="360" w:lineRule="auto"/>
              <w:rPr>
                <w:rFonts w:ascii="Times New Roman" w:eastAsia="等线" w:hAnsi="Times New Roman" w:cs="Times New Roman"/>
                <w:sz w:val="20"/>
                <w:szCs w:val="20"/>
              </w:rPr>
            </w:pPr>
            <w:r>
              <w:rPr>
                <w:rFonts w:ascii="Times New Roman" w:eastAsia="等线" w:hAnsi="Times New Roman" w:cs="Times New Roman"/>
                <w:sz w:val="20"/>
                <w:szCs w:val="20"/>
              </w:rPr>
              <w:t xml:space="preserve">Inverse Difference Moment Normalized (IDMN) </w:t>
            </w:r>
          </w:p>
          <w:p w14:paraId="54761CB0" w14:textId="77777777" w:rsidR="00024F56" w:rsidRDefault="0022519B">
            <w:pPr>
              <w:spacing w:line="360" w:lineRule="auto"/>
              <w:rPr>
                <w:rFonts w:ascii="Times New Roman" w:eastAsia="等线" w:hAnsi="Times New Roman" w:cs="Times New Roman"/>
                <w:sz w:val="20"/>
                <w:szCs w:val="20"/>
              </w:rPr>
            </w:pPr>
            <w:r>
              <w:rPr>
                <w:rFonts w:ascii="Times New Roman" w:eastAsia="等线" w:hAnsi="Times New Roman" w:cs="Times New Roman"/>
                <w:sz w:val="20"/>
                <w:szCs w:val="20"/>
              </w:rPr>
              <w:t xml:space="preserve">Inverse Difference (ID) Inverse Variance (IV)   </w:t>
            </w:r>
          </w:p>
          <w:p w14:paraId="523763AE" w14:textId="77777777" w:rsidR="00024F56" w:rsidRDefault="0022519B">
            <w:pPr>
              <w:spacing w:line="360" w:lineRule="auto"/>
              <w:rPr>
                <w:rFonts w:ascii="Times New Roman" w:eastAsia="等线" w:hAnsi="Times New Roman" w:cs="Times New Roman"/>
                <w:sz w:val="20"/>
                <w:szCs w:val="20"/>
              </w:rPr>
            </w:pPr>
            <w:r>
              <w:rPr>
                <w:rFonts w:ascii="Times New Roman" w:eastAsia="等线" w:hAnsi="Times New Roman" w:cs="Times New Roman"/>
                <w:sz w:val="20"/>
                <w:szCs w:val="20"/>
              </w:rPr>
              <w:t xml:space="preserve">Maximum Probability   Sum Entropy   Sum of Squares  </w:t>
            </w:r>
          </w:p>
          <w:p w14:paraId="31F7D896" w14:textId="77777777" w:rsidR="00024F56" w:rsidRDefault="00024F56">
            <w:pPr>
              <w:spacing w:line="360" w:lineRule="auto"/>
              <w:rPr>
                <w:rFonts w:ascii="Times New Roman" w:eastAsia="等线" w:hAnsi="Times New Roman" w:cs="Times New Roman"/>
                <w:b/>
                <w:bCs/>
                <w:sz w:val="20"/>
                <w:szCs w:val="20"/>
              </w:rPr>
            </w:pPr>
          </w:p>
          <w:p w14:paraId="0C3CCC2F" w14:textId="77777777" w:rsidR="00024F56" w:rsidRDefault="0022519B">
            <w:pPr>
              <w:spacing w:line="360" w:lineRule="auto"/>
              <w:rPr>
                <w:rFonts w:ascii="Times New Roman" w:eastAsia="等线" w:hAnsi="Times New Roman" w:cs="Times New Roman"/>
                <w:b/>
                <w:bCs/>
                <w:sz w:val="20"/>
                <w:szCs w:val="20"/>
              </w:rPr>
            </w:pPr>
            <w:r>
              <w:rPr>
                <w:rFonts w:ascii="Times New Roman" w:eastAsia="等线" w:hAnsi="Times New Roman" w:cs="Times New Roman"/>
                <w:b/>
                <w:bCs/>
                <w:sz w:val="20"/>
                <w:szCs w:val="20"/>
              </w:rPr>
              <w:t>16 features from GLRLM:</w:t>
            </w:r>
          </w:p>
          <w:p w14:paraId="1371EAD0" w14:textId="77777777" w:rsidR="00024F56" w:rsidRDefault="0022519B">
            <w:pPr>
              <w:spacing w:line="360" w:lineRule="auto"/>
              <w:rPr>
                <w:rFonts w:ascii="Times New Roman" w:eastAsia="等线" w:hAnsi="Times New Roman" w:cs="Times New Roman"/>
                <w:sz w:val="20"/>
                <w:szCs w:val="20"/>
              </w:rPr>
            </w:pPr>
            <w:r>
              <w:rPr>
                <w:rFonts w:ascii="Times New Roman" w:eastAsia="等线" w:hAnsi="Times New Roman" w:cs="Times New Roman"/>
                <w:sz w:val="20"/>
                <w:szCs w:val="20"/>
              </w:rPr>
              <w:t xml:space="preserve">Short Run Emphasis (SRE)  </w:t>
            </w:r>
          </w:p>
          <w:p w14:paraId="1449E8D5" w14:textId="77777777" w:rsidR="00024F56" w:rsidRDefault="0022519B">
            <w:pPr>
              <w:spacing w:line="360" w:lineRule="auto"/>
              <w:rPr>
                <w:rFonts w:ascii="Times New Roman" w:eastAsia="等线" w:hAnsi="Times New Roman" w:cs="Times New Roman"/>
                <w:sz w:val="20"/>
                <w:szCs w:val="20"/>
              </w:rPr>
            </w:pPr>
            <w:r>
              <w:rPr>
                <w:rFonts w:ascii="Times New Roman" w:eastAsia="等线" w:hAnsi="Times New Roman" w:cs="Times New Roman"/>
                <w:sz w:val="20"/>
                <w:szCs w:val="20"/>
              </w:rPr>
              <w:t xml:space="preserve">Long Run Emphasis (LRE)  </w:t>
            </w:r>
          </w:p>
          <w:p w14:paraId="727600DA" w14:textId="77777777" w:rsidR="00024F56" w:rsidRDefault="0022519B">
            <w:pPr>
              <w:spacing w:line="360" w:lineRule="auto"/>
              <w:rPr>
                <w:rFonts w:ascii="Times New Roman" w:eastAsia="等线" w:hAnsi="Times New Roman" w:cs="Times New Roman"/>
                <w:sz w:val="20"/>
                <w:szCs w:val="20"/>
              </w:rPr>
            </w:pPr>
            <w:r>
              <w:rPr>
                <w:rFonts w:ascii="Times New Roman" w:eastAsia="等线" w:hAnsi="Times New Roman" w:cs="Times New Roman"/>
                <w:sz w:val="20"/>
                <w:szCs w:val="20"/>
              </w:rPr>
              <w:t>Gray Level Non-Uniformity (GLN)</w:t>
            </w:r>
            <w:r>
              <w:rPr>
                <w:rFonts w:ascii="Times New Roman" w:eastAsia="等线" w:hAnsi="Times New Roman" w:cs="Times New Roman"/>
                <w:sz w:val="20"/>
                <w:szCs w:val="20"/>
              </w:rPr>
              <w:t xml:space="preserve">  </w:t>
            </w:r>
          </w:p>
          <w:p w14:paraId="340BA45B" w14:textId="77777777" w:rsidR="00024F56" w:rsidRDefault="0022519B">
            <w:pPr>
              <w:spacing w:line="360" w:lineRule="auto"/>
              <w:rPr>
                <w:rFonts w:ascii="Times New Roman" w:eastAsia="等线" w:hAnsi="Times New Roman" w:cs="Times New Roman"/>
                <w:sz w:val="20"/>
                <w:szCs w:val="20"/>
              </w:rPr>
            </w:pPr>
            <w:r>
              <w:rPr>
                <w:rFonts w:ascii="Times New Roman" w:eastAsia="等线" w:hAnsi="Times New Roman" w:cs="Times New Roman"/>
                <w:sz w:val="20"/>
                <w:szCs w:val="20"/>
              </w:rPr>
              <w:t xml:space="preserve">Gray Level Non-Uniformity Normalized (GLNN)  </w:t>
            </w:r>
          </w:p>
          <w:p w14:paraId="3DAD05F5" w14:textId="77777777" w:rsidR="00024F56" w:rsidRDefault="0022519B">
            <w:pPr>
              <w:spacing w:line="360" w:lineRule="auto"/>
              <w:rPr>
                <w:rFonts w:ascii="Times New Roman" w:eastAsia="等线" w:hAnsi="Times New Roman" w:cs="Times New Roman"/>
                <w:sz w:val="20"/>
                <w:szCs w:val="20"/>
              </w:rPr>
            </w:pPr>
            <w:r>
              <w:rPr>
                <w:rFonts w:ascii="Times New Roman" w:eastAsia="等线" w:hAnsi="Times New Roman" w:cs="Times New Roman"/>
                <w:sz w:val="20"/>
                <w:szCs w:val="20"/>
              </w:rPr>
              <w:t xml:space="preserve">Run Length Non-Uniformity (RLN)  </w:t>
            </w:r>
          </w:p>
          <w:p w14:paraId="31CA6C1C" w14:textId="77777777" w:rsidR="00024F56" w:rsidRDefault="0022519B">
            <w:pPr>
              <w:spacing w:line="360" w:lineRule="auto"/>
              <w:rPr>
                <w:rFonts w:ascii="Times New Roman" w:eastAsia="等线" w:hAnsi="Times New Roman" w:cs="Times New Roman"/>
                <w:sz w:val="20"/>
                <w:szCs w:val="20"/>
              </w:rPr>
            </w:pPr>
            <w:r>
              <w:rPr>
                <w:rFonts w:ascii="Times New Roman" w:eastAsia="等线" w:hAnsi="Times New Roman" w:cs="Times New Roman"/>
                <w:sz w:val="20"/>
                <w:szCs w:val="20"/>
              </w:rPr>
              <w:t xml:space="preserve">Run Length Non-Uniformity Normalized (RLNN)  </w:t>
            </w:r>
          </w:p>
          <w:p w14:paraId="3DA23B6C" w14:textId="77777777" w:rsidR="00024F56" w:rsidRDefault="0022519B">
            <w:pPr>
              <w:spacing w:line="360" w:lineRule="auto"/>
              <w:rPr>
                <w:rFonts w:ascii="Times New Roman" w:eastAsia="等线" w:hAnsi="Times New Roman" w:cs="Times New Roman"/>
                <w:sz w:val="20"/>
                <w:szCs w:val="20"/>
              </w:rPr>
            </w:pPr>
            <w:r>
              <w:rPr>
                <w:rFonts w:ascii="Times New Roman" w:eastAsia="等线" w:hAnsi="Times New Roman" w:cs="Times New Roman"/>
                <w:sz w:val="20"/>
                <w:szCs w:val="20"/>
              </w:rPr>
              <w:t xml:space="preserve">Run Percentage (RP)  </w:t>
            </w:r>
          </w:p>
          <w:p w14:paraId="13CE827E" w14:textId="77777777" w:rsidR="00024F56" w:rsidRDefault="0022519B">
            <w:pPr>
              <w:spacing w:line="360" w:lineRule="auto"/>
              <w:rPr>
                <w:rFonts w:ascii="Times New Roman" w:eastAsia="等线" w:hAnsi="Times New Roman" w:cs="Times New Roman"/>
                <w:sz w:val="20"/>
                <w:szCs w:val="20"/>
              </w:rPr>
            </w:pPr>
            <w:r>
              <w:rPr>
                <w:rFonts w:ascii="Times New Roman" w:eastAsia="等线" w:hAnsi="Times New Roman" w:cs="Times New Roman"/>
                <w:sz w:val="20"/>
                <w:szCs w:val="20"/>
              </w:rPr>
              <w:t xml:space="preserve">Gray Level Variance (GLV)  </w:t>
            </w:r>
          </w:p>
          <w:p w14:paraId="7470D098" w14:textId="77777777" w:rsidR="00024F56" w:rsidRDefault="0022519B">
            <w:pPr>
              <w:spacing w:line="360" w:lineRule="auto"/>
              <w:rPr>
                <w:rFonts w:ascii="Times New Roman" w:eastAsia="等线" w:hAnsi="Times New Roman" w:cs="Times New Roman"/>
                <w:sz w:val="20"/>
                <w:szCs w:val="20"/>
              </w:rPr>
            </w:pPr>
            <w:r>
              <w:rPr>
                <w:rFonts w:ascii="Times New Roman" w:eastAsia="等线" w:hAnsi="Times New Roman" w:cs="Times New Roman"/>
                <w:sz w:val="20"/>
                <w:szCs w:val="20"/>
              </w:rPr>
              <w:t xml:space="preserve">Run Variance (RV)  </w:t>
            </w:r>
          </w:p>
          <w:p w14:paraId="26FF5999" w14:textId="77777777" w:rsidR="00024F56" w:rsidRDefault="0022519B">
            <w:pPr>
              <w:spacing w:line="360" w:lineRule="auto"/>
              <w:rPr>
                <w:rFonts w:ascii="Times New Roman" w:eastAsia="等线" w:hAnsi="Times New Roman" w:cs="Times New Roman"/>
                <w:sz w:val="20"/>
                <w:szCs w:val="20"/>
              </w:rPr>
            </w:pPr>
            <w:r>
              <w:rPr>
                <w:rFonts w:ascii="Times New Roman" w:eastAsia="等线" w:hAnsi="Times New Roman" w:cs="Times New Roman"/>
                <w:sz w:val="20"/>
                <w:szCs w:val="20"/>
              </w:rPr>
              <w:t xml:space="preserve">Run Entropy (RE)  </w:t>
            </w:r>
          </w:p>
          <w:p w14:paraId="2D1CF828" w14:textId="77777777" w:rsidR="00024F56" w:rsidRDefault="0022519B">
            <w:pPr>
              <w:spacing w:line="360" w:lineRule="auto"/>
              <w:rPr>
                <w:rFonts w:ascii="Times New Roman" w:eastAsia="等线" w:hAnsi="Times New Roman" w:cs="Times New Roman"/>
                <w:sz w:val="20"/>
                <w:szCs w:val="20"/>
              </w:rPr>
            </w:pPr>
            <w:r>
              <w:rPr>
                <w:rFonts w:ascii="Times New Roman" w:eastAsia="等线" w:hAnsi="Times New Roman" w:cs="Times New Roman"/>
                <w:sz w:val="20"/>
                <w:szCs w:val="20"/>
              </w:rPr>
              <w:t xml:space="preserve">Low Gray Level Run Emphasis (LGLRE) </w:t>
            </w:r>
          </w:p>
          <w:p w14:paraId="4B68EB80" w14:textId="77777777" w:rsidR="00024F56" w:rsidRDefault="0022519B">
            <w:pPr>
              <w:spacing w:line="360" w:lineRule="auto"/>
              <w:rPr>
                <w:rFonts w:ascii="Times New Roman" w:eastAsia="等线" w:hAnsi="Times New Roman" w:cs="Times New Roman"/>
                <w:sz w:val="20"/>
                <w:szCs w:val="20"/>
              </w:rPr>
            </w:pPr>
            <w:r>
              <w:rPr>
                <w:rFonts w:ascii="Times New Roman" w:eastAsia="等线" w:hAnsi="Times New Roman" w:cs="Times New Roman"/>
                <w:sz w:val="20"/>
                <w:szCs w:val="20"/>
              </w:rPr>
              <w:t>H</w:t>
            </w:r>
            <w:r>
              <w:rPr>
                <w:rFonts w:ascii="Times New Roman" w:eastAsia="等线" w:hAnsi="Times New Roman" w:cs="Times New Roman"/>
                <w:sz w:val="20"/>
                <w:szCs w:val="20"/>
              </w:rPr>
              <w:t>igh Gray Level Run Emphasis (HGLRE)</w:t>
            </w:r>
          </w:p>
          <w:p w14:paraId="131F6698" w14:textId="77777777" w:rsidR="00024F56" w:rsidRDefault="0022519B">
            <w:pPr>
              <w:spacing w:line="360" w:lineRule="auto"/>
              <w:rPr>
                <w:rFonts w:ascii="Times New Roman" w:eastAsia="等线" w:hAnsi="Times New Roman" w:cs="Times New Roman"/>
                <w:sz w:val="20"/>
                <w:szCs w:val="20"/>
              </w:rPr>
            </w:pPr>
            <w:r>
              <w:rPr>
                <w:rFonts w:ascii="Times New Roman" w:eastAsia="等线" w:hAnsi="Times New Roman" w:cs="Times New Roman"/>
                <w:sz w:val="20"/>
                <w:szCs w:val="20"/>
              </w:rPr>
              <w:t>Short Run Low Gray Level Emphasis (SRLGLE)</w:t>
            </w:r>
          </w:p>
          <w:p w14:paraId="36AF8792" w14:textId="77777777" w:rsidR="00024F56" w:rsidRDefault="0022519B">
            <w:pPr>
              <w:spacing w:line="360" w:lineRule="auto"/>
              <w:rPr>
                <w:rFonts w:ascii="Times New Roman" w:eastAsia="等线" w:hAnsi="Times New Roman" w:cs="Times New Roman"/>
                <w:sz w:val="20"/>
                <w:szCs w:val="20"/>
              </w:rPr>
            </w:pPr>
            <w:r>
              <w:rPr>
                <w:rFonts w:ascii="Times New Roman" w:eastAsia="等线" w:hAnsi="Times New Roman" w:cs="Times New Roman"/>
                <w:sz w:val="20"/>
                <w:szCs w:val="20"/>
              </w:rPr>
              <w:lastRenderedPageBreak/>
              <w:t>Short Run High Gray Level Emphasis (SRHGLE)</w:t>
            </w:r>
          </w:p>
          <w:p w14:paraId="06F0C848" w14:textId="77777777" w:rsidR="00024F56" w:rsidRDefault="0022519B">
            <w:pPr>
              <w:spacing w:line="360" w:lineRule="auto"/>
              <w:rPr>
                <w:rFonts w:ascii="Times New Roman" w:eastAsia="等线" w:hAnsi="Times New Roman" w:cs="Times New Roman"/>
                <w:sz w:val="20"/>
                <w:szCs w:val="20"/>
              </w:rPr>
            </w:pPr>
            <w:r>
              <w:rPr>
                <w:rFonts w:ascii="Times New Roman" w:eastAsia="等线" w:hAnsi="Times New Roman" w:cs="Times New Roman"/>
                <w:sz w:val="20"/>
                <w:szCs w:val="20"/>
              </w:rPr>
              <w:t xml:space="preserve">Long Run Low Gray Level Emphasis (LRLGLE) </w:t>
            </w:r>
          </w:p>
          <w:p w14:paraId="5E401645" w14:textId="77777777" w:rsidR="00024F56" w:rsidRDefault="0022519B">
            <w:pPr>
              <w:spacing w:line="360" w:lineRule="auto"/>
              <w:rPr>
                <w:rFonts w:ascii="Times New Roman" w:eastAsia="等线" w:hAnsi="Times New Roman" w:cs="Times New Roman"/>
                <w:sz w:val="20"/>
                <w:szCs w:val="20"/>
              </w:rPr>
            </w:pPr>
            <w:r>
              <w:rPr>
                <w:rFonts w:ascii="Times New Roman" w:eastAsia="等线" w:hAnsi="Times New Roman" w:cs="Times New Roman"/>
                <w:sz w:val="20"/>
                <w:szCs w:val="20"/>
              </w:rPr>
              <w:t>Long Run High Gray Level Emphasis (LRHGLE)</w:t>
            </w:r>
          </w:p>
          <w:p w14:paraId="5BA34409" w14:textId="77777777" w:rsidR="00024F56" w:rsidRDefault="00024F56">
            <w:pPr>
              <w:spacing w:line="360" w:lineRule="auto"/>
              <w:rPr>
                <w:rFonts w:ascii="Times New Roman" w:eastAsia="等线" w:hAnsi="Times New Roman" w:cs="Times New Roman"/>
                <w:sz w:val="20"/>
                <w:szCs w:val="20"/>
              </w:rPr>
            </w:pPr>
          </w:p>
          <w:p w14:paraId="2175E77C" w14:textId="77777777" w:rsidR="00024F56" w:rsidRDefault="0022519B">
            <w:pPr>
              <w:spacing w:line="360" w:lineRule="auto"/>
              <w:rPr>
                <w:rFonts w:ascii="Times New Roman" w:eastAsia="等线" w:hAnsi="Times New Roman" w:cs="Times New Roman"/>
                <w:b/>
                <w:bCs/>
                <w:sz w:val="20"/>
                <w:szCs w:val="20"/>
              </w:rPr>
            </w:pPr>
            <w:r>
              <w:rPr>
                <w:rFonts w:ascii="Times New Roman" w:eastAsia="等线" w:hAnsi="Times New Roman" w:cs="Times New Roman"/>
                <w:b/>
                <w:bCs/>
                <w:sz w:val="20"/>
                <w:szCs w:val="20"/>
              </w:rPr>
              <w:t>16 features from GLSZM:</w:t>
            </w:r>
          </w:p>
          <w:p w14:paraId="433E4E32" w14:textId="77777777" w:rsidR="00024F56" w:rsidRDefault="0022519B">
            <w:pPr>
              <w:spacing w:line="360" w:lineRule="auto"/>
              <w:rPr>
                <w:rFonts w:ascii="Times New Roman" w:eastAsia="等线" w:hAnsi="Times New Roman" w:cs="Times New Roman"/>
                <w:sz w:val="20"/>
                <w:szCs w:val="20"/>
              </w:rPr>
            </w:pPr>
            <w:r>
              <w:rPr>
                <w:rFonts w:ascii="Times New Roman" w:eastAsia="等线" w:hAnsi="Times New Roman" w:cs="Times New Roman"/>
                <w:sz w:val="20"/>
                <w:szCs w:val="20"/>
              </w:rPr>
              <w:t>Small Area Emphasis (S</w:t>
            </w:r>
            <w:r>
              <w:rPr>
                <w:rFonts w:ascii="Times New Roman" w:eastAsia="等线" w:hAnsi="Times New Roman" w:cs="Times New Roman"/>
                <w:sz w:val="20"/>
                <w:szCs w:val="20"/>
              </w:rPr>
              <w:t xml:space="preserve">AE) </w:t>
            </w:r>
          </w:p>
          <w:p w14:paraId="484ABF50" w14:textId="77777777" w:rsidR="00024F56" w:rsidRDefault="0022519B">
            <w:pPr>
              <w:spacing w:line="360" w:lineRule="auto"/>
              <w:rPr>
                <w:rFonts w:ascii="Times New Roman" w:eastAsia="等线" w:hAnsi="Times New Roman" w:cs="Times New Roman"/>
                <w:sz w:val="20"/>
                <w:szCs w:val="20"/>
              </w:rPr>
            </w:pPr>
            <w:r>
              <w:rPr>
                <w:rFonts w:ascii="Times New Roman" w:eastAsia="等线" w:hAnsi="Times New Roman" w:cs="Times New Roman"/>
                <w:sz w:val="20"/>
                <w:szCs w:val="20"/>
              </w:rPr>
              <w:t xml:space="preserve">Large Area Emphasis (LAE) </w:t>
            </w:r>
          </w:p>
          <w:p w14:paraId="769A3028" w14:textId="77777777" w:rsidR="00024F56" w:rsidRDefault="0022519B">
            <w:pPr>
              <w:spacing w:line="360" w:lineRule="auto"/>
              <w:rPr>
                <w:rFonts w:ascii="Times New Roman" w:eastAsia="等线" w:hAnsi="Times New Roman" w:cs="Times New Roman"/>
                <w:sz w:val="20"/>
                <w:szCs w:val="20"/>
              </w:rPr>
            </w:pPr>
            <w:r>
              <w:rPr>
                <w:rFonts w:ascii="Times New Roman" w:eastAsia="等线" w:hAnsi="Times New Roman" w:cs="Times New Roman"/>
                <w:sz w:val="20"/>
                <w:szCs w:val="20"/>
              </w:rPr>
              <w:t xml:space="preserve">Gray Level Non-Uniformity (GLN) </w:t>
            </w:r>
          </w:p>
          <w:p w14:paraId="14367568" w14:textId="77777777" w:rsidR="00024F56" w:rsidRDefault="0022519B">
            <w:pPr>
              <w:spacing w:line="360" w:lineRule="auto"/>
              <w:rPr>
                <w:rFonts w:ascii="Times New Roman" w:eastAsia="等线" w:hAnsi="Times New Roman" w:cs="Times New Roman"/>
                <w:sz w:val="20"/>
                <w:szCs w:val="20"/>
              </w:rPr>
            </w:pPr>
            <w:r>
              <w:rPr>
                <w:rFonts w:ascii="Times New Roman" w:eastAsia="等线" w:hAnsi="Times New Roman" w:cs="Times New Roman"/>
                <w:sz w:val="20"/>
                <w:szCs w:val="20"/>
              </w:rPr>
              <w:t xml:space="preserve">Gray Level Non-Uniformity Normalized (GLNN) </w:t>
            </w:r>
          </w:p>
          <w:p w14:paraId="0842C876" w14:textId="77777777" w:rsidR="00024F56" w:rsidRDefault="0022519B">
            <w:pPr>
              <w:spacing w:line="360" w:lineRule="auto"/>
              <w:rPr>
                <w:rFonts w:ascii="Times New Roman" w:eastAsia="等线" w:hAnsi="Times New Roman" w:cs="Times New Roman"/>
                <w:sz w:val="20"/>
                <w:szCs w:val="20"/>
              </w:rPr>
            </w:pPr>
            <w:r>
              <w:rPr>
                <w:rFonts w:ascii="Times New Roman" w:eastAsia="等线" w:hAnsi="Times New Roman" w:cs="Times New Roman"/>
                <w:sz w:val="20"/>
                <w:szCs w:val="20"/>
              </w:rPr>
              <w:t xml:space="preserve">Size-Zone Non-Uniformity (SZN) </w:t>
            </w:r>
          </w:p>
          <w:p w14:paraId="05111AC2" w14:textId="77777777" w:rsidR="00024F56" w:rsidRDefault="0022519B">
            <w:pPr>
              <w:spacing w:line="360" w:lineRule="auto"/>
              <w:rPr>
                <w:rFonts w:ascii="Times New Roman" w:eastAsia="等线" w:hAnsi="Times New Roman" w:cs="Times New Roman"/>
                <w:sz w:val="20"/>
                <w:szCs w:val="20"/>
              </w:rPr>
            </w:pPr>
            <w:r>
              <w:rPr>
                <w:rFonts w:ascii="Times New Roman" w:eastAsia="等线" w:hAnsi="Times New Roman" w:cs="Times New Roman"/>
                <w:sz w:val="20"/>
                <w:szCs w:val="20"/>
              </w:rPr>
              <w:t xml:space="preserve">Size-Zone Non-Uniformity Normalized (SZNN) </w:t>
            </w:r>
          </w:p>
          <w:p w14:paraId="7C3C2751" w14:textId="77777777" w:rsidR="00024F56" w:rsidRDefault="0022519B">
            <w:pPr>
              <w:spacing w:line="360" w:lineRule="auto"/>
              <w:rPr>
                <w:rFonts w:ascii="Times New Roman" w:eastAsia="等线" w:hAnsi="Times New Roman" w:cs="Times New Roman"/>
                <w:sz w:val="20"/>
                <w:szCs w:val="20"/>
              </w:rPr>
            </w:pPr>
            <w:r>
              <w:rPr>
                <w:rFonts w:ascii="Times New Roman" w:eastAsia="等线" w:hAnsi="Times New Roman" w:cs="Times New Roman"/>
                <w:sz w:val="20"/>
                <w:szCs w:val="20"/>
              </w:rPr>
              <w:t xml:space="preserve">Zone Percentage (ZP) </w:t>
            </w:r>
          </w:p>
          <w:p w14:paraId="2ABD3A06" w14:textId="77777777" w:rsidR="00024F56" w:rsidRDefault="0022519B">
            <w:pPr>
              <w:spacing w:line="360" w:lineRule="auto"/>
              <w:rPr>
                <w:rFonts w:ascii="Times New Roman" w:eastAsia="等线" w:hAnsi="Times New Roman" w:cs="Times New Roman"/>
                <w:sz w:val="20"/>
                <w:szCs w:val="20"/>
              </w:rPr>
            </w:pPr>
            <w:r>
              <w:rPr>
                <w:rFonts w:ascii="Times New Roman" w:eastAsia="等线" w:hAnsi="Times New Roman" w:cs="Times New Roman"/>
                <w:sz w:val="20"/>
                <w:szCs w:val="20"/>
              </w:rPr>
              <w:t xml:space="preserve">Gray Level Variance (GLV) </w:t>
            </w:r>
          </w:p>
          <w:p w14:paraId="3867CBBA" w14:textId="77777777" w:rsidR="00024F56" w:rsidRDefault="0022519B">
            <w:pPr>
              <w:spacing w:line="360" w:lineRule="auto"/>
              <w:rPr>
                <w:rFonts w:ascii="Times New Roman" w:eastAsia="等线" w:hAnsi="Times New Roman" w:cs="Times New Roman"/>
                <w:sz w:val="20"/>
                <w:szCs w:val="20"/>
              </w:rPr>
            </w:pPr>
            <w:r>
              <w:rPr>
                <w:rFonts w:ascii="Times New Roman" w:eastAsia="等线" w:hAnsi="Times New Roman" w:cs="Times New Roman"/>
                <w:sz w:val="20"/>
                <w:szCs w:val="20"/>
              </w:rPr>
              <w:t xml:space="preserve">Zone Variance (ZV) </w:t>
            </w:r>
          </w:p>
          <w:p w14:paraId="00FF665B" w14:textId="77777777" w:rsidR="00024F56" w:rsidRDefault="0022519B">
            <w:pPr>
              <w:spacing w:line="360" w:lineRule="auto"/>
              <w:rPr>
                <w:rFonts w:ascii="Times New Roman" w:eastAsia="等线" w:hAnsi="Times New Roman" w:cs="Times New Roman"/>
                <w:sz w:val="20"/>
                <w:szCs w:val="20"/>
              </w:rPr>
            </w:pPr>
            <w:r>
              <w:rPr>
                <w:rFonts w:ascii="Times New Roman" w:eastAsia="等线" w:hAnsi="Times New Roman" w:cs="Times New Roman"/>
                <w:sz w:val="20"/>
                <w:szCs w:val="20"/>
              </w:rPr>
              <w:t>Zone Entropy (ZE)</w:t>
            </w:r>
          </w:p>
          <w:p w14:paraId="610664FB" w14:textId="77777777" w:rsidR="00024F56" w:rsidRDefault="0022519B">
            <w:pPr>
              <w:spacing w:line="360" w:lineRule="auto"/>
              <w:rPr>
                <w:rFonts w:ascii="Times New Roman" w:eastAsia="等线" w:hAnsi="Times New Roman" w:cs="Times New Roman"/>
                <w:sz w:val="20"/>
                <w:szCs w:val="20"/>
              </w:rPr>
            </w:pPr>
            <w:r>
              <w:rPr>
                <w:rFonts w:ascii="Times New Roman" w:eastAsia="等线" w:hAnsi="Times New Roman" w:cs="Times New Roman"/>
                <w:sz w:val="20"/>
                <w:szCs w:val="20"/>
              </w:rPr>
              <w:t xml:space="preserve">Low Gray Level Zone Emphasis (LGLZE) </w:t>
            </w:r>
          </w:p>
          <w:p w14:paraId="4D5CECAB" w14:textId="77777777" w:rsidR="00024F56" w:rsidRDefault="0022519B">
            <w:pPr>
              <w:spacing w:line="360" w:lineRule="auto"/>
              <w:rPr>
                <w:rFonts w:ascii="Times New Roman" w:eastAsia="等线" w:hAnsi="Times New Roman" w:cs="Times New Roman"/>
                <w:sz w:val="20"/>
                <w:szCs w:val="20"/>
              </w:rPr>
            </w:pPr>
            <w:r>
              <w:rPr>
                <w:rFonts w:ascii="Times New Roman" w:eastAsia="等线" w:hAnsi="Times New Roman" w:cs="Times New Roman"/>
                <w:sz w:val="20"/>
                <w:szCs w:val="20"/>
              </w:rPr>
              <w:t xml:space="preserve">High Gray Level Zone Emphasis (HGLZE) </w:t>
            </w:r>
          </w:p>
          <w:p w14:paraId="00F02841" w14:textId="77777777" w:rsidR="00024F56" w:rsidRDefault="0022519B">
            <w:pPr>
              <w:spacing w:line="360" w:lineRule="auto"/>
              <w:rPr>
                <w:rFonts w:ascii="Times New Roman" w:eastAsia="等线" w:hAnsi="Times New Roman" w:cs="Times New Roman"/>
                <w:sz w:val="20"/>
                <w:szCs w:val="20"/>
              </w:rPr>
            </w:pPr>
            <w:r>
              <w:rPr>
                <w:rFonts w:ascii="Times New Roman" w:eastAsia="等线" w:hAnsi="Times New Roman" w:cs="Times New Roman"/>
                <w:sz w:val="20"/>
                <w:szCs w:val="20"/>
              </w:rPr>
              <w:t xml:space="preserve">Small Area Low Gray Level Emphasis (SALGLE) </w:t>
            </w:r>
          </w:p>
          <w:p w14:paraId="1844E7B5" w14:textId="77777777" w:rsidR="00024F56" w:rsidRDefault="0022519B">
            <w:pPr>
              <w:spacing w:line="360" w:lineRule="auto"/>
              <w:rPr>
                <w:rFonts w:ascii="Times New Roman" w:eastAsia="等线" w:hAnsi="Times New Roman" w:cs="Times New Roman"/>
                <w:sz w:val="20"/>
                <w:szCs w:val="20"/>
              </w:rPr>
            </w:pPr>
            <w:r>
              <w:rPr>
                <w:rFonts w:ascii="Times New Roman" w:eastAsia="等线" w:hAnsi="Times New Roman" w:cs="Times New Roman"/>
                <w:sz w:val="20"/>
                <w:szCs w:val="20"/>
              </w:rPr>
              <w:t xml:space="preserve">Small Area High Gray Level Emphasis (SAHGLE) </w:t>
            </w:r>
          </w:p>
          <w:p w14:paraId="2679D709" w14:textId="77777777" w:rsidR="00024F56" w:rsidRDefault="0022519B">
            <w:pPr>
              <w:spacing w:line="360" w:lineRule="auto"/>
              <w:rPr>
                <w:rFonts w:ascii="Times New Roman" w:eastAsia="等线" w:hAnsi="Times New Roman" w:cs="Times New Roman"/>
                <w:sz w:val="20"/>
                <w:szCs w:val="20"/>
              </w:rPr>
            </w:pPr>
            <w:r>
              <w:rPr>
                <w:rFonts w:ascii="Times New Roman" w:eastAsia="等线" w:hAnsi="Times New Roman" w:cs="Times New Roman"/>
                <w:sz w:val="20"/>
                <w:szCs w:val="20"/>
              </w:rPr>
              <w:t>Large Area Low Gray Lev</w:t>
            </w:r>
            <w:r>
              <w:rPr>
                <w:rFonts w:ascii="Times New Roman" w:eastAsia="等线" w:hAnsi="Times New Roman" w:cs="Times New Roman"/>
                <w:sz w:val="20"/>
                <w:szCs w:val="20"/>
              </w:rPr>
              <w:t xml:space="preserve">el Emphasis (LALGLE) </w:t>
            </w:r>
          </w:p>
          <w:p w14:paraId="2B3B2FCD" w14:textId="77777777" w:rsidR="00024F56" w:rsidRDefault="0022519B">
            <w:pPr>
              <w:spacing w:line="360" w:lineRule="auto"/>
              <w:rPr>
                <w:rFonts w:ascii="Times New Roman" w:eastAsia="等线" w:hAnsi="Times New Roman" w:cs="Times New Roman"/>
                <w:sz w:val="20"/>
                <w:szCs w:val="20"/>
              </w:rPr>
            </w:pPr>
            <w:r>
              <w:rPr>
                <w:rFonts w:ascii="Times New Roman" w:eastAsia="等线" w:hAnsi="Times New Roman" w:cs="Times New Roman"/>
                <w:sz w:val="20"/>
                <w:szCs w:val="20"/>
              </w:rPr>
              <w:t>Large Area High Gray Level Emphasis (LAHGLE)</w:t>
            </w:r>
          </w:p>
          <w:p w14:paraId="18A59E29" w14:textId="77777777" w:rsidR="00024F56" w:rsidRDefault="00024F56">
            <w:pPr>
              <w:spacing w:line="360" w:lineRule="auto"/>
              <w:rPr>
                <w:rFonts w:ascii="Times New Roman" w:eastAsia="等线" w:hAnsi="Times New Roman" w:cs="Times New Roman"/>
                <w:sz w:val="20"/>
                <w:szCs w:val="20"/>
              </w:rPr>
            </w:pPr>
          </w:p>
          <w:p w14:paraId="24B13C16" w14:textId="77777777" w:rsidR="00024F56" w:rsidRDefault="0022519B">
            <w:pPr>
              <w:spacing w:line="360" w:lineRule="auto"/>
              <w:rPr>
                <w:rFonts w:ascii="Times New Roman" w:eastAsia="等线" w:hAnsi="Times New Roman" w:cs="Times New Roman"/>
                <w:b/>
                <w:bCs/>
                <w:sz w:val="20"/>
                <w:szCs w:val="20"/>
              </w:rPr>
            </w:pPr>
            <w:r>
              <w:rPr>
                <w:rFonts w:ascii="Times New Roman" w:eastAsia="等线" w:hAnsi="Times New Roman" w:cs="Times New Roman"/>
                <w:b/>
                <w:bCs/>
                <w:sz w:val="20"/>
                <w:szCs w:val="20"/>
              </w:rPr>
              <w:t xml:space="preserve">14 features from GLDM: </w:t>
            </w:r>
          </w:p>
          <w:p w14:paraId="3E5AE821" w14:textId="77777777" w:rsidR="00024F56" w:rsidRDefault="0022519B">
            <w:pPr>
              <w:spacing w:line="360" w:lineRule="auto"/>
              <w:rPr>
                <w:rFonts w:ascii="Times New Roman" w:eastAsia="等线" w:hAnsi="Times New Roman" w:cs="Times New Roman"/>
                <w:sz w:val="20"/>
                <w:szCs w:val="20"/>
              </w:rPr>
            </w:pPr>
            <w:r>
              <w:rPr>
                <w:rFonts w:ascii="Times New Roman" w:eastAsia="等线" w:hAnsi="Times New Roman" w:cs="Times New Roman"/>
                <w:sz w:val="20"/>
                <w:szCs w:val="20"/>
              </w:rPr>
              <w:t xml:space="preserve">Small Dependence Emphasis (SDE) </w:t>
            </w:r>
          </w:p>
          <w:p w14:paraId="40880ACC" w14:textId="77777777" w:rsidR="00024F56" w:rsidRDefault="0022519B">
            <w:pPr>
              <w:spacing w:line="360" w:lineRule="auto"/>
              <w:rPr>
                <w:rFonts w:ascii="Times New Roman" w:eastAsia="等线" w:hAnsi="Times New Roman" w:cs="Times New Roman"/>
                <w:sz w:val="20"/>
                <w:szCs w:val="20"/>
              </w:rPr>
            </w:pPr>
            <w:r>
              <w:rPr>
                <w:rFonts w:ascii="Times New Roman" w:eastAsia="等线" w:hAnsi="Times New Roman" w:cs="Times New Roman"/>
                <w:sz w:val="20"/>
                <w:szCs w:val="20"/>
              </w:rPr>
              <w:t>Large Dependence Emphasis (LDE)</w:t>
            </w:r>
          </w:p>
          <w:p w14:paraId="3E131D4F" w14:textId="77777777" w:rsidR="00024F56" w:rsidRDefault="0022519B">
            <w:pPr>
              <w:spacing w:line="360" w:lineRule="auto"/>
              <w:rPr>
                <w:rFonts w:ascii="Times New Roman" w:eastAsia="等线" w:hAnsi="Times New Roman" w:cs="Times New Roman"/>
                <w:sz w:val="20"/>
                <w:szCs w:val="20"/>
              </w:rPr>
            </w:pPr>
            <w:r>
              <w:rPr>
                <w:rFonts w:ascii="Times New Roman" w:eastAsia="等线" w:hAnsi="Times New Roman" w:cs="Times New Roman"/>
                <w:sz w:val="20"/>
                <w:szCs w:val="20"/>
              </w:rPr>
              <w:t xml:space="preserve">Gray Level Non-Uniformity (GLN) </w:t>
            </w:r>
          </w:p>
          <w:p w14:paraId="7E583A6F" w14:textId="77777777" w:rsidR="00024F56" w:rsidRDefault="0022519B">
            <w:pPr>
              <w:spacing w:line="360" w:lineRule="auto"/>
              <w:rPr>
                <w:rFonts w:ascii="Times New Roman" w:eastAsia="等线" w:hAnsi="Times New Roman" w:cs="Times New Roman"/>
                <w:sz w:val="20"/>
                <w:szCs w:val="20"/>
              </w:rPr>
            </w:pPr>
            <w:r>
              <w:rPr>
                <w:rFonts w:ascii="Times New Roman" w:eastAsia="等线" w:hAnsi="Times New Roman" w:cs="Times New Roman"/>
                <w:sz w:val="20"/>
                <w:szCs w:val="20"/>
              </w:rPr>
              <w:t xml:space="preserve">Dependence Non-Uniformity (DN) </w:t>
            </w:r>
          </w:p>
          <w:p w14:paraId="19C6B341" w14:textId="77777777" w:rsidR="00024F56" w:rsidRDefault="0022519B">
            <w:pPr>
              <w:spacing w:line="360" w:lineRule="auto"/>
              <w:rPr>
                <w:rFonts w:ascii="Times New Roman" w:eastAsia="等线" w:hAnsi="Times New Roman" w:cs="Times New Roman"/>
                <w:sz w:val="20"/>
                <w:szCs w:val="20"/>
              </w:rPr>
            </w:pPr>
            <w:r>
              <w:rPr>
                <w:rFonts w:ascii="Times New Roman" w:eastAsia="等线" w:hAnsi="Times New Roman" w:cs="Times New Roman"/>
                <w:sz w:val="20"/>
                <w:szCs w:val="20"/>
              </w:rPr>
              <w:t>Dependence Non-Uniformity Normaliz</w:t>
            </w:r>
            <w:r>
              <w:rPr>
                <w:rFonts w:ascii="Times New Roman" w:eastAsia="等线" w:hAnsi="Times New Roman" w:cs="Times New Roman"/>
                <w:sz w:val="20"/>
                <w:szCs w:val="20"/>
              </w:rPr>
              <w:t xml:space="preserve">ed (DNN) </w:t>
            </w:r>
          </w:p>
          <w:p w14:paraId="76D7930F" w14:textId="77777777" w:rsidR="00024F56" w:rsidRDefault="0022519B">
            <w:pPr>
              <w:spacing w:line="360" w:lineRule="auto"/>
              <w:rPr>
                <w:rFonts w:ascii="Times New Roman" w:eastAsia="等线" w:hAnsi="Times New Roman" w:cs="Times New Roman"/>
                <w:sz w:val="20"/>
                <w:szCs w:val="20"/>
              </w:rPr>
            </w:pPr>
            <w:r>
              <w:rPr>
                <w:rFonts w:ascii="Times New Roman" w:eastAsia="等线" w:hAnsi="Times New Roman" w:cs="Times New Roman"/>
                <w:sz w:val="20"/>
                <w:szCs w:val="20"/>
              </w:rPr>
              <w:t xml:space="preserve">Gray Level Variance (GLV) </w:t>
            </w:r>
          </w:p>
          <w:p w14:paraId="4731AD78" w14:textId="77777777" w:rsidR="00024F56" w:rsidRDefault="0022519B">
            <w:pPr>
              <w:spacing w:line="360" w:lineRule="auto"/>
              <w:rPr>
                <w:rFonts w:ascii="Times New Roman" w:eastAsia="等线" w:hAnsi="Times New Roman" w:cs="Times New Roman"/>
                <w:sz w:val="20"/>
                <w:szCs w:val="20"/>
              </w:rPr>
            </w:pPr>
            <w:r>
              <w:rPr>
                <w:rFonts w:ascii="Times New Roman" w:eastAsia="等线" w:hAnsi="Times New Roman" w:cs="Times New Roman"/>
                <w:sz w:val="20"/>
                <w:szCs w:val="20"/>
              </w:rPr>
              <w:t xml:space="preserve">Dependence Variance (DV) </w:t>
            </w:r>
          </w:p>
          <w:p w14:paraId="57D8BAB8" w14:textId="77777777" w:rsidR="00024F56" w:rsidRDefault="0022519B">
            <w:pPr>
              <w:spacing w:line="360" w:lineRule="auto"/>
              <w:rPr>
                <w:rFonts w:ascii="Times New Roman" w:eastAsia="等线" w:hAnsi="Times New Roman" w:cs="Times New Roman"/>
                <w:sz w:val="20"/>
                <w:szCs w:val="20"/>
              </w:rPr>
            </w:pPr>
            <w:r>
              <w:rPr>
                <w:rFonts w:ascii="Times New Roman" w:eastAsia="等线" w:hAnsi="Times New Roman" w:cs="Times New Roman"/>
                <w:sz w:val="20"/>
                <w:szCs w:val="20"/>
              </w:rPr>
              <w:t>Dependence Entropy (DE)</w:t>
            </w:r>
          </w:p>
          <w:p w14:paraId="308014CA" w14:textId="77777777" w:rsidR="00024F56" w:rsidRDefault="0022519B">
            <w:pPr>
              <w:spacing w:line="360" w:lineRule="auto"/>
              <w:rPr>
                <w:rFonts w:ascii="Times New Roman" w:eastAsia="等线" w:hAnsi="Times New Roman" w:cs="Times New Roman"/>
                <w:sz w:val="20"/>
                <w:szCs w:val="20"/>
              </w:rPr>
            </w:pPr>
            <w:r>
              <w:rPr>
                <w:rFonts w:ascii="Times New Roman" w:eastAsia="等线" w:hAnsi="Times New Roman" w:cs="Times New Roman"/>
                <w:sz w:val="20"/>
                <w:szCs w:val="20"/>
              </w:rPr>
              <w:t>Low Gray Level Emphasis (LGLE)</w:t>
            </w:r>
          </w:p>
          <w:p w14:paraId="3CAA4B18" w14:textId="77777777" w:rsidR="00024F56" w:rsidRDefault="0022519B">
            <w:pPr>
              <w:spacing w:line="360" w:lineRule="auto"/>
              <w:rPr>
                <w:rFonts w:ascii="Times New Roman" w:eastAsia="等线" w:hAnsi="Times New Roman" w:cs="Times New Roman"/>
                <w:sz w:val="20"/>
                <w:szCs w:val="20"/>
              </w:rPr>
            </w:pPr>
            <w:r>
              <w:rPr>
                <w:rFonts w:ascii="Times New Roman" w:eastAsia="等线" w:hAnsi="Times New Roman" w:cs="Times New Roman"/>
                <w:sz w:val="20"/>
                <w:szCs w:val="20"/>
              </w:rPr>
              <w:t>High Gray Level Emphasis (HGLE)</w:t>
            </w:r>
          </w:p>
          <w:p w14:paraId="6C0FBD05" w14:textId="77777777" w:rsidR="00024F56" w:rsidRDefault="0022519B">
            <w:pPr>
              <w:spacing w:line="360" w:lineRule="auto"/>
              <w:rPr>
                <w:rFonts w:ascii="Times New Roman" w:eastAsia="等线" w:hAnsi="Times New Roman" w:cs="Times New Roman"/>
                <w:sz w:val="20"/>
                <w:szCs w:val="20"/>
              </w:rPr>
            </w:pPr>
            <w:r>
              <w:rPr>
                <w:rFonts w:ascii="Times New Roman" w:eastAsia="等线" w:hAnsi="Times New Roman" w:cs="Times New Roman"/>
                <w:sz w:val="20"/>
                <w:szCs w:val="20"/>
              </w:rPr>
              <w:t xml:space="preserve">Small Dependence Low Gray Level Emphasis (SDLGLE) </w:t>
            </w:r>
          </w:p>
          <w:p w14:paraId="32D358D6" w14:textId="77777777" w:rsidR="00024F56" w:rsidRDefault="0022519B">
            <w:pPr>
              <w:spacing w:line="360" w:lineRule="auto"/>
              <w:rPr>
                <w:rFonts w:ascii="Times New Roman" w:eastAsia="等线" w:hAnsi="Times New Roman" w:cs="Times New Roman"/>
                <w:sz w:val="20"/>
                <w:szCs w:val="20"/>
              </w:rPr>
            </w:pPr>
            <w:r>
              <w:rPr>
                <w:rFonts w:ascii="Times New Roman" w:eastAsia="等线" w:hAnsi="Times New Roman" w:cs="Times New Roman"/>
                <w:sz w:val="20"/>
                <w:szCs w:val="20"/>
              </w:rPr>
              <w:t xml:space="preserve">Small Dependence High Gray Level Emphasis (SDHGLE) </w:t>
            </w:r>
          </w:p>
          <w:p w14:paraId="7103D27F" w14:textId="77777777" w:rsidR="00024F56" w:rsidRDefault="0022519B">
            <w:pPr>
              <w:spacing w:line="360" w:lineRule="auto"/>
              <w:rPr>
                <w:rFonts w:ascii="Times New Roman" w:eastAsia="等线" w:hAnsi="Times New Roman" w:cs="Times New Roman"/>
                <w:sz w:val="20"/>
                <w:szCs w:val="20"/>
              </w:rPr>
            </w:pPr>
            <w:r>
              <w:rPr>
                <w:rFonts w:ascii="Times New Roman" w:eastAsia="等线" w:hAnsi="Times New Roman" w:cs="Times New Roman"/>
                <w:sz w:val="20"/>
                <w:szCs w:val="20"/>
              </w:rPr>
              <w:t xml:space="preserve">Large Dependence Low Gray Level Emphasis (LDLGLE) </w:t>
            </w:r>
          </w:p>
          <w:p w14:paraId="3AAF3A4A" w14:textId="77777777" w:rsidR="00024F56" w:rsidRDefault="0022519B">
            <w:pPr>
              <w:spacing w:line="360" w:lineRule="auto"/>
              <w:rPr>
                <w:rFonts w:ascii="Times New Roman" w:eastAsia="等线" w:hAnsi="Times New Roman" w:cs="Times New Roman"/>
                <w:sz w:val="20"/>
                <w:szCs w:val="20"/>
              </w:rPr>
            </w:pPr>
            <w:r>
              <w:rPr>
                <w:rFonts w:ascii="Times New Roman" w:eastAsia="等线" w:hAnsi="Times New Roman" w:cs="Times New Roman"/>
                <w:sz w:val="20"/>
                <w:szCs w:val="20"/>
              </w:rPr>
              <w:t>Large Dependence High Gray Level Emphasis (LDHGLE)</w:t>
            </w:r>
          </w:p>
          <w:p w14:paraId="6F5BEEF0" w14:textId="77777777" w:rsidR="00024F56" w:rsidRDefault="00024F56">
            <w:pPr>
              <w:spacing w:line="360" w:lineRule="auto"/>
              <w:rPr>
                <w:rFonts w:ascii="Times New Roman" w:eastAsia="等线" w:hAnsi="Times New Roman" w:cs="Times New Roman"/>
                <w:sz w:val="20"/>
                <w:szCs w:val="20"/>
              </w:rPr>
            </w:pPr>
          </w:p>
          <w:p w14:paraId="34EA6706" w14:textId="77777777" w:rsidR="00024F56" w:rsidRDefault="0022519B">
            <w:pPr>
              <w:spacing w:line="360" w:lineRule="auto"/>
              <w:rPr>
                <w:rFonts w:ascii="Times New Roman" w:eastAsia="等线" w:hAnsi="Times New Roman" w:cs="Times New Roman"/>
                <w:b/>
                <w:bCs/>
                <w:sz w:val="20"/>
                <w:szCs w:val="20"/>
              </w:rPr>
            </w:pPr>
            <w:r>
              <w:rPr>
                <w:rFonts w:ascii="Times New Roman" w:eastAsia="等线" w:hAnsi="Times New Roman" w:cs="Times New Roman"/>
                <w:b/>
                <w:bCs/>
                <w:sz w:val="20"/>
                <w:szCs w:val="20"/>
              </w:rPr>
              <w:t>5 features from NGTDM:</w:t>
            </w:r>
          </w:p>
          <w:p w14:paraId="1F7F1225" w14:textId="77777777" w:rsidR="00024F56" w:rsidRDefault="0022519B">
            <w:pPr>
              <w:spacing w:line="360" w:lineRule="auto"/>
              <w:rPr>
                <w:rFonts w:ascii="Times New Roman" w:eastAsia="等线" w:hAnsi="Times New Roman" w:cs="Times New Roman"/>
                <w:b/>
                <w:bCs/>
                <w:sz w:val="20"/>
                <w:szCs w:val="20"/>
              </w:rPr>
            </w:pPr>
            <w:r>
              <w:rPr>
                <w:rFonts w:ascii="Times New Roman" w:eastAsia="等线" w:hAnsi="Times New Roman" w:cs="Times New Roman"/>
                <w:sz w:val="20"/>
                <w:szCs w:val="20"/>
              </w:rPr>
              <w:t>Coarseness   Contrast   Busyness   Complexity   Strength</w:t>
            </w:r>
          </w:p>
        </w:tc>
      </w:tr>
      <w:tr w:rsidR="00024F56" w14:paraId="48E21874" w14:textId="77777777">
        <w:trPr>
          <w:jc w:val="center"/>
        </w:trPr>
        <w:tc>
          <w:tcPr>
            <w:tcW w:w="3229" w:type="dxa"/>
          </w:tcPr>
          <w:p w14:paraId="21D9B11A" w14:textId="77777777" w:rsidR="00024F56" w:rsidRDefault="0022519B">
            <w:pPr>
              <w:spacing w:line="360" w:lineRule="auto"/>
              <w:jc w:val="left"/>
              <w:rPr>
                <w:rFonts w:ascii="Times New Roman" w:eastAsia="等线" w:hAnsi="Times New Roman" w:cs="Times New Roman"/>
                <w:b/>
                <w:bCs/>
                <w:sz w:val="20"/>
                <w:szCs w:val="20"/>
              </w:rPr>
            </w:pPr>
            <w:r>
              <w:rPr>
                <w:rFonts w:ascii="Times New Roman" w:eastAsia="等线" w:hAnsi="Times New Roman" w:cs="Times New Roman"/>
                <w:b/>
                <w:bCs/>
                <w:sz w:val="20"/>
                <w:szCs w:val="20"/>
              </w:rPr>
              <w:lastRenderedPageBreak/>
              <w:t>Wavelet features (91*15=1365)</w:t>
            </w:r>
          </w:p>
          <w:p w14:paraId="376BF761" w14:textId="77777777" w:rsidR="00024F56" w:rsidRDefault="00024F56">
            <w:pPr>
              <w:spacing w:line="360" w:lineRule="auto"/>
              <w:rPr>
                <w:rFonts w:ascii="Times New Roman" w:eastAsia="等线" w:hAnsi="Times New Roman" w:cs="Times New Roman"/>
                <w:b/>
                <w:bCs/>
                <w:sz w:val="20"/>
                <w:szCs w:val="20"/>
              </w:rPr>
            </w:pPr>
          </w:p>
        </w:tc>
        <w:tc>
          <w:tcPr>
            <w:tcW w:w="6560" w:type="dxa"/>
          </w:tcPr>
          <w:p w14:paraId="43FE2246" w14:textId="77777777" w:rsidR="00024F56" w:rsidRDefault="0022519B">
            <w:pPr>
              <w:spacing w:line="360" w:lineRule="auto"/>
              <w:rPr>
                <w:rFonts w:ascii="Times New Roman" w:eastAsia="等线" w:hAnsi="Times New Roman" w:cs="Times New Roman"/>
                <w:b/>
                <w:bCs/>
                <w:sz w:val="20"/>
                <w:szCs w:val="20"/>
              </w:rPr>
            </w:pPr>
            <w:r>
              <w:rPr>
                <w:rFonts w:ascii="Times New Roman" w:eastAsia="等线" w:hAnsi="Times New Roman" w:cs="Times New Roman"/>
                <w:b/>
                <w:bCs/>
                <w:sz w:val="20"/>
                <w:szCs w:val="20"/>
              </w:rPr>
              <w:t>15 decompositions:</w:t>
            </w:r>
          </w:p>
          <w:p w14:paraId="0775AFB3" w14:textId="77777777" w:rsidR="00024F56" w:rsidRDefault="0022519B">
            <w:pPr>
              <w:spacing w:line="360" w:lineRule="auto"/>
              <w:rPr>
                <w:rFonts w:ascii="Times New Roman" w:eastAsia="等线" w:hAnsi="Times New Roman" w:cs="Times New Roman"/>
                <w:sz w:val="20"/>
                <w:szCs w:val="20"/>
              </w:rPr>
            </w:pPr>
            <w:r>
              <w:rPr>
                <w:rFonts w:ascii="Times New Roman" w:eastAsia="等线" w:hAnsi="Times New Roman" w:cs="Times New Roman"/>
                <w:sz w:val="20"/>
                <w:szCs w:val="20"/>
              </w:rPr>
              <w:t>For each decomposition</w:t>
            </w:r>
            <w:r>
              <w:rPr>
                <w:rFonts w:ascii="Times New Roman" w:eastAsia="等线" w:hAnsi="Times New Roman" w:cs="Times New Roman"/>
                <w:sz w:val="20"/>
                <w:szCs w:val="20"/>
              </w:rPr>
              <w:t>, all of the above features except shape features were computed.</w:t>
            </w:r>
          </w:p>
        </w:tc>
      </w:tr>
      <w:tr w:rsidR="00024F56" w14:paraId="027EB035" w14:textId="77777777">
        <w:trPr>
          <w:jc w:val="center"/>
        </w:trPr>
        <w:tc>
          <w:tcPr>
            <w:tcW w:w="3229" w:type="dxa"/>
          </w:tcPr>
          <w:p w14:paraId="24D0FD59" w14:textId="77777777" w:rsidR="00024F56" w:rsidRDefault="0022519B">
            <w:pPr>
              <w:spacing w:line="360" w:lineRule="auto"/>
              <w:rPr>
                <w:rFonts w:ascii="Times New Roman" w:eastAsia="等线" w:hAnsi="Times New Roman" w:cs="Times New Roman"/>
                <w:b/>
                <w:bCs/>
                <w:sz w:val="20"/>
                <w:szCs w:val="20"/>
              </w:rPr>
            </w:pPr>
            <w:r>
              <w:rPr>
                <w:rFonts w:ascii="Times New Roman" w:eastAsia="等线" w:hAnsi="Times New Roman" w:cs="Times New Roman"/>
                <w:b/>
                <w:bCs/>
                <w:sz w:val="20"/>
                <w:szCs w:val="20"/>
              </w:rPr>
              <w:t>LoG features (91*2)</w:t>
            </w:r>
          </w:p>
          <w:p w14:paraId="009405B2" w14:textId="77777777" w:rsidR="00024F56" w:rsidRDefault="00024F56">
            <w:pPr>
              <w:spacing w:line="360" w:lineRule="auto"/>
              <w:rPr>
                <w:rFonts w:ascii="Times New Roman" w:eastAsia="等线" w:hAnsi="Times New Roman" w:cs="Times New Roman"/>
                <w:b/>
                <w:bCs/>
                <w:sz w:val="20"/>
                <w:szCs w:val="20"/>
              </w:rPr>
            </w:pPr>
          </w:p>
        </w:tc>
        <w:tc>
          <w:tcPr>
            <w:tcW w:w="6560" w:type="dxa"/>
          </w:tcPr>
          <w:p w14:paraId="49AB2048" w14:textId="77777777" w:rsidR="00024F56" w:rsidRDefault="0022519B">
            <w:pPr>
              <w:spacing w:line="360" w:lineRule="auto"/>
              <w:rPr>
                <w:rFonts w:ascii="Times New Roman" w:eastAsia="等线" w:hAnsi="Times New Roman" w:cs="Times New Roman"/>
                <w:b/>
                <w:bCs/>
                <w:sz w:val="20"/>
                <w:szCs w:val="20"/>
              </w:rPr>
            </w:pPr>
            <w:r>
              <w:rPr>
                <w:rFonts w:ascii="Times New Roman" w:eastAsia="等线" w:hAnsi="Times New Roman" w:cs="Times New Roman"/>
                <w:b/>
                <w:bCs/>
                <w:sz w:val="20"/>
                <w:szCs w:val="20"/>
              </w:rPr>
              <w:t>2 decompositions:</w:t>
            </w:r>
          </w:p>
          <w:p w14:paraId="450240D9" w14:textId="77777777" w:rsidR="00024F56" w:rsidRDefault="0022519B">
            <w:pPr>
              <w:spacing w:line="360" w:lineRule="auto"/>
              <w:rPr>
                <w:rFonts w:ascii="Times New Roman" w:eastAsia="等线" w:hAnsi="Times New Roman" w:cs="Times New Roman"/>
                <w:sz w:val="20"/>
                <w:szCs w:val="20"/>
              </w:rPr>
            </w:pPr>
            <w:r>
              <w:rPr>
                <w:rFonts w:ascii="Times New Roman" w:eastAsia="等线" w:hAnsi="Times New Roman" w:cs="Times New Roman"/>
                <w:sz w:val="20"/>
                <w:szCs w:val="20"/>
              </w:rPr>
              <w:t>For each decomposition, all of the above features except shape features were computed.</w:t>
            </w:r>
          </w:p>
        </w:tc>
      </w:tr>
      <w:tr w:rsidR="00024F56" w14:paraId="798261C2" w14:textId="77777777">
        <w:trPr>
          <w:jc w:val="center"/>
        </w:trPr>
        <w:tc>
          <w:tcPr>
            <w:tcW w:w="3229" w:type="dxa"/>
          </w:tcPr>
          <w:p w14:paraId="513A9FE5" w14:textId="77777777" w:rsidR="00024F56" w:rsidRDefault="0022519B">
            <w:pPr>
              <w:spacing w:line="360" w:lineRule="auto"/>
              <w:rPr>
                <w:rFonts w:ascii="Times New Roman" w:eastAsia="等线" w:hAnsi="Times New Roman" w:cs="Times New Roman"/>
                <w:b/>
                <w:bCs/>
                <w:sz w:val="20"/>
                <w:szCs w:val="20"/>
              </w:rPr>
            </w:pPr>
            <w:r>
              <w:rPr>
                <w:rFonts w:ascii="Times New Roman" w:eastAsia="等线" w:hAnsi="Times New Roman" w:cs="Times New Roman"/>
                <w:b/>
                <w:bCs/>
                <w:sz w:val="20"/>
                <w:szCs w:val="20"/>
              </w:rPr>
              <w:t>Square features (91)</w:t>
            </w:r>
          </w:p>
        </w:tc>
        <w:tc>
          <w:tcPr>
            <w:tcW w:w="6560" w:type="dxa"/>
          </w:tcPr>
          <w:p w14:paraId="5114E856" w14:textId="77777777" w:rsidR="00024F56" w:rsidRDefault="0022519B">
            <w:pPr>
              <w:spacing w:line="360" w:lineRule="auto"/>
              <w:rPr>
                <w:rFonts w:ascii="Times New Roman" w:eastAsia="等线" w:hAnsi="Times New Roman" w:cs="Times New Roman"/>
                <w:b/>
                <w:bCs/>
                <w:sz w:val="20"/>
                <w:szCs w:val="20"/>
              </w:rPr>
            </w:pPr>
            <w:r>
              <w:rPr>
                <w:rFonts w:ascii="Times New Roman" w:eastAsia="等线" w:hAnsi="Times New Roman" w:cs="Times New Roman"/>
                <w:b/>
                <w:bCs/>
                <w:sz w:val="20"/>
                <w:szCs w:val="20"/>
              </w:rPr>
              <w:t>1 decomposition:</w:t>
            </w:r>
          </w:p>
          <w:p w14:paraId="2A221B69" w14:textId="77777777" w:rsidR="00024F56" w:rsidRDefault="0022519B">
            <w:pPr>
              <w:spacing w:line="360" w:lineRule="auto"/>
              <w:rPr>
                <w:rFonts w:ascii="Times New Roman" w:eastAsia="等线" w:hAnsi="Times New Roman" w:cs="Times New Roman"/>
                <w:sz w:val="20"/>
                <w:szCs w:val="20"/>
              </w:rPr>
            </w:pPr>
            <w:r>
              <w:rPr>
                <w:rFonts w:ascii="Times New Roman" w:eastAsia="等线" w:hAnsi="Times New Roman" w:cs="Times New Roman"/>
                <w:sz w:val="20"/>
                <w:szCs w:val="20"/>
              </w:rPr>
              <w:t xml:space="preserve">For each </w:t>
            </w:r>
            <w:r>
              <w:rPr>
                <w:rFonts w:ascii="Times New Roman" w:eastAsia="等线" w:hAnsi="Times New Roman" w:cs="Times New Roman"/>
                <w:sz w:val="20"/>
                <w:szCs w:val="20"/>
              </w:rPr>
              <w:t>decomposition, all of the above features except shape features were computed.</w:t>
            </w:r>
          </w:p>
        </w:tc>
      </w:tr>
      <w:tr w:rsidR="00024F56" w14:paraId="592C6174" w14:textId="77777777">
        <w:trPr>
          <w:jc w:val="center"/>
        </w:trPr>
        <w:tc>
          <w:tcPr>
            <w:tcW w:w="3229" w:type="dxa"/>
          </w:tcPr>
          <w:p w14:paraId="19ED4EC8" w14:textId="77777777" w:rsidR="00024F56" w:rsidRDefault="0022519B">
            <w:pPr>
              <w:spacing w:line="360" w:lineRule="auto"/>
              <w:rPr>
                <w:rFonts w:ascii="Times New Roman" w:eastAsia="等线" w:hAnsi="Times New Roman" w:cs="Times New Roman"/>
                <w:b/>
                <w:bCs/>
                <w:sz w:val="20"/>
                <w:szCs w:val="20"/>
              </w:rPr>
            </w:pPr>
            <w:r>
              <w:rPr>
                <w:rFonts w:ascii="Times New Roman" w:eastAsia="等线" w:hAnsi="Times New Roman" w:cs="Times New Roman"/>
                <w:b/>
                <w:bCs/>
                <w:sz w:val="20"/>
                <w:szCs w:val="20"/>
              </w:rPr>
              <w:t>SquareRoot features (91)</w:t>
            </w:r>
          </w:p>
        </w:tc>
        <w:tc>
          <w:tcPr>
            <w:tcW w:w="6560" w:type="dxa"/>
          </w:tcPr>
          <w:p w14:paraId="3FF41983" w14:textId="77777777" w:rsidR="00024F56" w:rsidRDefault="0022519B">
            <w:pPr>
              <w:spacing w:line="360" w:lineRule="auto"/>
              <w:rPr>
                <w:rFonts w:ascii="Times New Roman" w:eastAsia="等线" w:hAnsi="Times New Roman" w:cs="Times New Roman"/>
                <w:b/>
                <w:bCs/>
                <w:sz w:val="20"/>
                <w:szCs w:val="20"/>
              </w:rPr>
            </w:pPr>
            <w:r>
              <w:rPr>
                <w:rFonts w:ascii="Times New Roman" w:eastAsia="等线" w:hAnsi="Times New Roman" w:cs="Times New Roman"/>
                <w:b/>
                <w:bCs/>
                <w:sz w:val="20"/>
                <w:szCs w:val="20"/>
              </w:rPr>
              <w:t>1 decomposition:</w:t>
            </w:r>
          </w:p>
          <w:p w14:paraId="12837BAD" w14:textId="77777777" w:rsidR="00024F56" w:rsidRDefault="0022519B">
            <w:pPr>
              <w:spacing w:line="360" w:lineRule="auto"/>
              <w:rPr>
                <w:rFonts w:ascii="Times New Roman" w:eastAsia="等线" w:hAnsi="Times New Roman" w:cs="Times New Roman"/>
                <w:sz w:val="20"/>
                <w:szCs w:val="20"/>
              </w:rPr>
            </w:pPr>
            <w:r>
              <w:rPr>
                <w:rFonts w:ascii="Times New Roman" w:eastAsia="等线" w:hAnsi="Times New Roman" w:cs="Times New Roman"/>
                <w:sz w:val="20"/>
                <w:szCs w:val="20"/>
              </w:rPr>
              <w:t>For each decomposition, all of the above features except shape features were computed.</w:t>
            </w:r>
          </w:p>
        </w:tc>
      </w:tr>
      <w:tr w:rsidR="00024F56" w14:paraId="61570DC1" w14:textId="77777777">
        <w:trPr>
          <w:jc w:val="center"/>
        </w:trPr>
        <w:tc>
          <w:tcPr>
            <w:tcW w:w="3229" w:type="dxa"/>
          </w:tcPr>
          <w:p w14:paraId="16A39588" w14:textId="77777777" w:rsidR="00024F56" w:rsidRDefault="0022519B">
            <w:pPr>
              <w:spacing w:line="360" w:lineRule="auto"/>
              <w:rPr>
                <w:rFonts w:ascii="Times New Roman" w:eastAsia="等线" w:hAnsi="Times New Roman" w:cs="Times New Roman"/>
                <w:b/>
                <w:bCs/>
                <w:sz w:val="20"/>
                <w:szCs w:val="20"/>
              </w:rPr>
            </w:pPr>
            <w:r>
              <w:rPr>
                <w:rFonts w:ascii="Times New Roman" w:eastAsia="等线" w:hAnsi="Times New Roman" w:cs="Times New Roman"/>
                <w:b/>
                <w:bCs/>
                <w:sz w:val="20"/>
                <w:szCs w:val="20"/>
              </w:rPr>
              <w:t xml:space="preserve">Local Binary Pattern (3D) features </w:t>
            </w:r>
            <w:r>
              <w:rPr>
                <w:rFonts w:ascii="Times New Roman" w:eastAsia="等线" w:hAnsi="Times New Roman" w:cs="Times New Roman"/>
                <w:b/>
                <w:bCs/>
                <w:sz w:val="20"/>
                <w:szCs w:val="20"/>
              </w:rPr>
              <w:t>(91*3=273)</w:t>
            </w:r>
          </w:p>
        </w:tc>
        <w:tc>
          <w:tcPr>
            <w:tcW w:w="6560" w:type="dxa"/>
          </w:tcPr>
          <w:p w14:paraId="1CAC3596" w14:textId="77777777" w:rsidR="00024F56" w:rsidRDefault="0022519B">
            <w:pPr>
              <w:spacing w:line="360" w:lineRule="auto"/>
              <w:rPr>
                <w:rFonts w:ascii="Times New Roman" w:eastAsia="等线" w:hAnsi="Times New Roman" w:cs="Times New Roman"/>
                <w:b/>
                <w:bCs/>
                <w:sz w:val="20"/>
                <w:szCs w:val="20"/>
              </w:rPr>
            </w:pPr>
            <w:r>
              <w:rPr>
                <w:rFonts w:ascii="Times New Roman" w:eastAsia="等线" w:hAnsi="Times New Roman" w:cs="Times New Roman"/>
                <w:b/>
                <w:bCs/>
                <w:sz w:val="20"/>
                <w:szCs w:val="20"/>
              </w:rPr>
              <w:t>3 decompositions:</w:t>
            </w:r>
          </w:p>
          <w:p w14:paraId="1590714B" w14:textId="77777777" w:rsidR="00024F56" w:rsidRDefault="0022519B">
            <w:pPr>
              <w:spacing w:line="360" w:lineRule="auto"/>
              <w:rPr>
                <w:rFonts w:ascii="Times New Roman" w:eastAsia="等线" w:hAnsi="Times New Roman" w:cs="Times New Roman"/>
                <w:b/>
                <w:bCs/>
                <w:sz w:val="20"/>
                <w:szCs w:val="20"/>
              </w:rPr>
            </w:pPr>
            <w:r>
              <w:rPr>
                <w:rFonts w:ascii="Times New Roman" w:eastAsia="等线" w:hAnsi="Times New Roman" w:cs="Times New Roman"/>
                <w:sz w:val="20"/>
                <w:szCs w:val="20"/>
              </w:rPr>
              <w:t>For each decomposition, all of the above features except shape features were computed.</w:t>
            </w:r>
          </w:p>
        </w:tc>
      </w:tr>
      <w:tr w:rsidR="00024F56" w14:paraId="0E82EAB4" w14:textId="77777777">
        <w:trPr>
          <w:jc w:val="center"/>
        </w:trPr>
        <w:tc>
          <w:tcPr>
            <w:tcW w:w="3229" w:type="dxa"/>
          </w:tcPr>
          <w:p w14:paraId="63B79834" w14:textId="77777777" w:rsidR="00024F56" w:rsidRDefault="0022519B">
            <w:pPr>
              <w:spacing w:line="360" w:lineRule="auto"/>
              <w:rPr>
                <w:rFonts w:ascii="Times New Roman" w:eastAsia="等线" w:hAnsi="Times New Roman" w:cs="Times New Roman"/>
                <w:b/>
                <w:bCs/>
                <w:sz w:val="20"/>
                <w:szCs w:val="20"/>
              </w:rPr>
            </w:pPr>
            <w:r>
              <w:rPr>
                <w:rFonts w:ascii="Times New Roman" w:eastAsia="等线" w:hAnsi="Times New Roman" w:cs="Times New Roman"/>
                <w:b/>
                <w:bCs/>
                <w:sz w:val="20"/>
                <w:szCs w:val="20"/>
              </w:rPr>
              <w:t>Gradient features (91)</w:t>
            </w:r>
          </w:p>
        </w:tc>
        <w:tc>
          <w:tcPr>
            <w:tcW w:w="6560" w:type="dxa"/>
          </w:tcPr>
          <w:p w14:paraId="1556DCBC" w14:textId="77777777" w:rsidR="00024F56" w:rsidRDefault="0022519B">
            <w:pPr>
              <w:spacing w:line="360" w:lineRule="auto"/>
              <w:rPr>
                <w:rFonts w:ascii="Times New Roman" w:eastAsia="等线" w:hAnsi="Times New Roman" w:cs="Times New Roman"/>
                <w:b/>
                <w:bCs/>
                <w:sz w:val="20"/>
                <w:szCs w:val="20"/>
              </w:rPr>
            </w:pPr>
            <w:r>
              <w:rPr>
                <w:rFonts w:ascii="Times New Roman" w:eastAsia="等线" w:hAnsi="Times New Roman" w:cs="Times New Roman"/>
                <w:b/>
                <w:bCs/>
                <w:sz w:val="20"/>
                <w:szCs w:val="20"/>
              </w:rPr>
              <w:t>1 decomposition:</w:t>
            </w:r>
          </w:p>
          <w:p w14:paraId="405EC39B" w14:textId="77777777" w:rsidR="00024F56" w:rsidRDefault="0022519B">
            <w:pPr>
              <w:spacing w:line="360" w:lineRule="auto"/>
              <w:rPr>
                <w:rFonts w:ascii="Times New Roman" w:eastAsia="等线" w:hAnsi="Times New Roman" w:cs="Times New Roman"/>
                <w:b/>
                <w:bCs/>
                <w:sz w:val="20"/>
                <w:szCs w:val="20"/>
              </w:rPr>
            </w:pPr>
            <w:r>
              <w:rPr>
                <w:rFonts w:ascii="Times New Roman" w:eastAsia="等线" w:hAnsi="Times New Roman" w:cs="Times New Roman"/>
                <w:sz w:val="20"/>
                <w:szCs w:val="20"/>
              </w:rPr>
              <w:t>For each decomposition, all of the above features except shape features were computed.</w:t>
            </w:r>
          </w:p>
        </w:tc>
      </w:tr>
      <w:tr w:rsidR="00024F56" w14:paraId="05CD86A9" w14:textId="77777777">
        <w:trPr>
          <w:jc w:val="center"/>
        </w:trPr>
        <w:tc>
          <w:tcPr>
            <w:tcW w:w="3229" w:type="dxa"/>
          </w:tcPr>
          <w:p w14:paraId="4F72A340" w14:textId="77777777" w:rsidR="00024F56" w:rsidRDefault="0022519B">
            <w:pPr>
              <w:spacing w:line="360" w:lineRule="auto"/>
              <w:rPr>
                <w:rFonts w:ascii="Times New Roman" w:eastAsia="等线" w:hAnsi="Times New Roman" w:cs="Times New Roman"/>
                <w:b/>
                <w:bCs/>
                <w:sz w:val="20"/>
                <w:szCs w:val="20"/>
              </w:rPr>
            </w:pPr>
            <w:bookmarkStart w:id="10" w:name="OLE_LINK1"/>
            <w:r>
              <w:rPr>
                <w:rFonts w:ascii="Times New Roman" w:eastAsia="等线" w:hAnsi="Times New Roman" w:cs="Times New Roman"/>
                <w:b/>
                <w:bCs/>
                <w:sz w:val="20"/>
                <w:szCs w:val="20"/>
              </w:rPr>
              <w:t>Exponential</w:t>
            </w:r>
            <w:bookmarkEnd w:id="10"/>
            <w:r>
              <w:rPr>
                <w:rFonts w:ascii="Times New Roman" w:eastAsia="等线" w:hAnsi="Times New Roman" w:cs="Times New Roman"/>
                <w:b/>
                <w:bCs/>
                <w:sz w:val="20"/>
                <w:szCs w:val="20"/>
              </w:rPr>
              <w:t xml:space="preserve"> features (91)</w:t>
            </w:r>
          </w:p>
        </w:tc>
        <w:tc>
          <w:tcPr>
            <w:tcW w:w="6560" w:type="dxa"/>
          </w:tcPr>
          <w:p w14:paraId="7BEDC05D" w14:textId="77777777" w:rsidR="00024F56" w:rsidRDefault="0022519B">
            <w:pPr>
              <w:spacing w:line="360" w:lineRule="auto"/>
              <w:rPr>
                <w:rFonts w:ascii="Times New Roman" w:eastAsia="等线" w:hAnsi="Times New Roman" w:cs="Times New Roman"/>
                <w:b/>
                <w:bCs/>
                <w:sz w:val="20"/>
                <w:szCs w:val="20"/>
              </w:rPr>
            </w:pPr>
            <w:r>
              <w:rPr>
                <w:rFonts w:ascii="Times New Roman" w:eastAsia="等线" w:hAnsi="Times New Roman" w:cs="Times New Roman"/>
                <w:b/>
                <w:bCs/>
                <w:sz w:val="20"/>
                <w:szCs w:val="20"/>
              </w:rPr>
              <w:t>1 decomposition:</w:t>
            </w:r>
          </w:p>
          <w:p w14:paraId="6AF9A220" w14:textId="77777777" w:rsidR="00024F56" w:rsidRDefault="0022519B">
            <w:pPr>
              <w:spacing w:line="360" w:lineRule="auto"/>
              <w:rPr>
                <w:rFonts w:ascii="Times New Roman" w:eastAsia="等线" w:hAnsi="Times New Roman" w:cs="Times New Roman"/>
                <w:b/>
                <w:bCs/>
                <w:sz w:val="20"/>
                <w:szCs w:val="20"/>
              </w:rPr>
            </w:pPr>
            <w:r>
              <w:rPr>
                <w:rFonts w:ascii="Times New Roman" w:eastAsia="等线" w:hAnsi="Times New Roman" w:cs="Times New Roman"/>
                <w:sz w:val="20"/>
                <w:szCs w:val="20"/>
              </w:rPr>
              <w:t>For each decomposition, all of the above features except shape features were computed.</w:t>
            </w:r>
          </w:p>
        </w:tc>
      </w:tr>
      <w:tr w:rsidR="00024F56" w14:paraId="5D5F537A" w14:textId="77777777">
        <w:trPr>
          <w:jc w:val="center"/>
        </w:trPr>
        <w:tc>
          <w:tcPr>
            <w:tcW w:w="3229" w:type="dxa"/>
          </w:tcPr>
          <w:p w14:paraId="38B3BD90" w14:textId="77777777" w:rsidR="00024F56" w:rsidRDefault="0022519B">
            <w:pPr>
              <w:spacing w:line="360" w:lineRule="auto"/>
              <w:rPr>
                <w:rFonts w:ascii="Times New Roman" w:eastAsia="等线" w:hAnsi="Times New Roman" w:cs="Times New Roman"/>
                <w:b/>
                <w:bCs/>
                <w:sz w:val="20"/>
                <w:szCs w:val="20"/>
              </w:rPr>
            </w:pPr>
            <w:r>
              <w:rPr>
                <w:rFonts w:ascii="Times New Roman" w:eastAsia="等线" w:hAnsi="Times New Roman" w:cs="Times New Roman"/>
                <w:b/>
                <w:bCs/>
                <w:sz w:val="20"/>
                <w:szCs w:val="20"/>
              </w:rPr>
              <w:t>Logarithm features (91)</w:t>
            </w:r>
          </w:p>
        </w:tc>
        <w:tc>
          <w:tcPr>
            <w:tcW w:w="6560" w:type="dxa"/>
          </w:tcPr>
          <w:p w14:paraId="627C11AE" w14:textId="77777777" w:rsidR="00024F56" w:rsidRDefault="0022519B">
            <w:pPr>
              <w:spacing w:line="360" w:lineRule="auto"/>
              <w:rPr>
                <w:rFonts w:ascii="Times New Roman" w:eastAsia="等线" w:hAnsi="Times New Roman" w:cs="Times New Roman"/>
                <w:b/>
                <w:bCs/>
                <w:sz w:val="20"/>
                <w:szCs w:val="20"/>
              </w:rPr>
            </w:pPr>
            <w:r>
              <w:rPr>
                <w:rFonts w:ascii="Times New Roman" w:eastAsia="等线" w:hAnsi="Times New Roman" w:cs="Times New Roman"/>
                <w:b/>
                <w:bCs/>
                <w:sz w:val="20"/>
                <w:szCs w:val="20"/>
              </w:rPr>
              <w:t>1 decomposition:</w:t>
            </w:r>
          </w:p>
          <w:p w14:paraId="4CBF2E48" w14:textId="77777777" w:rsidR="00024F56" w:rsidRDefault="0022519B">
            <w:pPr>
              <w:spacing w:line="360" w:lineRule="auto"/>
              <w:rPr>
                <w:rFonts w:ascii="Times New Roman" w:eastAsia="等线" w:hAnsi="Times New Roman" w:cs="Times New Roman"/>
                <w:b/>
                <w:bCs/>
                <w:sz w:val="20"/>
                <w:szCs w:val="20"/>
              </w:rPr>
            </w:pPr>
            <w:r>
              <w:rPr>
                <w:rFonts w:ascii="Times New Roman" w:eastAsia="等线" w:hAnsi="Times New Roman" w:cs="Times New Roman"/>
                <w:sz w:val="20"/>
                <w:szCs w:val="20"/>
              </w:rPr>
              <w:t>For each decomposition, all of the above features except shape features were computed.</w:t>
            </w:r>
          </w:p>
        </w:tc>
      </w:tr>
    </w:tbl>
    <w:p w14:paraId="2D124890" w14:textId="77777777" w:rsidR="00024F56" w:rsidRDefault="00024F56">
      <w:pPr>
        <w:suppressLineNumbers/>
        <w:spacing w:line="480" w:lineRule="auto"/>
        <w:jc w:val="left"/>
        <w:rPr>
          <w:rFonts w:ascii="Times New Roman" w:eastAsia="宋体" w:hAnsi="Times New Roman" w:cs="Times New Roman"/>
          <w:bCs/>
          <w:kern w:val="44"/>
          <w:sz w:val="20"/>
          <w:szCs w:val="20"/>
        </w:rPr>
      </w:pPr>
    </w:p>
    <w:p w14:paraId="31767C9A" w14:textId="77777777" w:rsidR="00024F56" w:rsidRDefault="00024F56">
      <w:pPr>
        <w:suppressLineNumbers/>
        <w:spacing w:line="480" w:lineRule="auto"/>
        <w:jc w:val="left"/>
        <w:rPr>
          <w:rFonts w:ascii="Times New Roman" w:eastAsia="宋体" w:hAnsi="Times New Roman" w:cs="Times New Roman"/>
          <w:bCs/>
          <w:kern w:val="44"/>
          <w:sz w:val="20"/>
          <w:szCs w:val="20"/>
        </w:rPr>
      </w:pPr>
    </w:p>
    <w:p w14:paraId="2996F3F1" w14:textId="77777777" w:rsidR="00024F56" w:rsidRDefault="0022519B">
      <w:pPr>
        <w:suppressLineNumbers/>
        <w:spacing w:line="480" w:lineRule="auto"/>
        <w:jc w:val="left"/>
        <w:rPr>
          <w:rFonts w:ascii="Times New Roman" w:eastAsia="宋体" w:hAnsi="Times New Roman" w:cs="Times New Roman"/>
          <w:bCs/>
          <w:kern w:val="44"/>
          <w:sz w:val="20"/>
          <w:szCs w:val="20"/>
        </w:rPr>
      </w:pPr>
      <w:bookmarkStart w:id="11" w:name="_Toc48142021"/>
      <w:bookmarkStart w:id="12" w:name="_Ref43844495"/>
      <w:r>
        <w:rPr>
          <w:rFonts w:ascii="Times New Roman" w:eastAsia="等线" w:hAnsi="Times New Roman" w:cs="Times New Roman"/>
          <w:b/>
          <w:sz w:val="20"/>
          <w:szCs w:val="20"/>
        </w:rPr>
        <w:br w:type="page"/>
      </w:r>
    </w:p>
    <w:p w14:paraId="1F192FC8" w14:textId="77777777" w:rsidR="00024F56" w:rsidRDefault="0022519B">
      <w:pPr>
        <w:keepNext/>
        <w:keepLines/>
        <w:spacing w:before="120" w:after="120" w:line="480" w:lineRule="auto"/>
        <w:jc w:val="center"/>
        <w:outlineLvl w:val="1"/>
        <w:rPr>
          <w:rFonts w:ascii="Times New Roman" w:eastAsia="黑体" w:hAnsi="Times New Roman" w:cs="Times New Roman"/>
          <w:b/>
          <w:sz w:val="20"/>
          <w:szCs w:val="20"/>
        </w:rPr>
      </w:pPr>
      <w:r>
        <w:rPr>
          <w:rFonts w:ascii="Times New Roman" w:eastAsia="黑体" w:hAnsi="Times New Roman" w:cs="Times New Roman"/>
          <w:b/>
          <w:sz w:val="20"/>
          <w:szCs w:val="20"/>
        </w:rPr>
        <w:lastRenderedPageBreak/>
        <w:t xml:space="preserve">Table </w:t>
      </w:r>
      <w:r>
        <w:rPr>
          <w:rFonts w:ascii="Times New Roman" w:eastAsia="黑体" w:hAnsi="Times New Roman" w:cs="Times New Roman" w:hint="eastAsia"/>
          <w:b/>
          <w:sz w:val="20"/>
          <w:szCs w:val="20"/>
        </w:rPr>
        <w:t>S</w:t>
      </w:r>
      <w:r>
        <w:rPr>
          <w:rFonts w:ascii="Times New Roman" w:eastAsia="黑体" w:hAnsi="Times New Roman" w:cs="Times New Roman"/>
          <w:b/>
          <w:sz w:val="20"/>
          <w:szCs w:val="20"/>
        </w:rPr>
        <w:t>4. Performance of feature selection methods</w:t>
      </w:r>
      <w:r>
        <w:rPr>
          <w:rFonts w:ascii="Times New Roman" w:eastAsia="黑体" w:hAnsi="Times New Roman" w:cs="Times New Roman" w:hint="eastAsia"/>
          <w:b/>
          <w:sz w:val="20"/>
          <w:szCs w:val="20"/>
        </w:rPr>
        <w:t xml:space="preserve"> in handcrafted radiomics feature selection</w:t>
      </w:r>
    </w:p>
    <w:tbl>
      <w:tblPr>
        <w:tblStyle w:val="ad"/>
        <w:tblW w:w="6305" w:type="dxa"/>
        <w:jc w:val="center"/>
        <w:tblBorders>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31"/>
        <w:gridCol w:w="874"/>
        <w:gridCol w:w="3500"/>
      </w:tblGrid>
      <w:tr w:rsidR="00024F56" w14:paraId="7E066D61" w14:textId="77777777">
        <w:trPr>
          <w:trHeight w:val="239"/>
          <w:jc w:val="center"/>
        </w:trPr>
        <w:tc>
          <w:tcPr>
            <w:tcW w:w="1931" w:type="dxa"/>
            <w:tcBorders>
              <w:bottom w:val="single" w:sz="6" w:space="0" w:color="auto"/>
            </w:tcBorders>
            <w:vAlign w:val="center"/>
          </w:tcPr>
          <w:p w14:paraId="244ACD38" w14:textId="77777777" w:rsidR="00024F56" w:rsidRDefault="0022519B">
            <w:pPr>
              <w:spacing w:line="480" w:lineRule="auto"/>
              <w:jc w:val="center"/>
              <w:rPr>
                <w:rFonts w:ascii="Times New Roman" w:eastAsia="等线" w:hAnsi="Times New Roman" w:cs="Times New Roman"/>
                <w:sz w:val="20"/>
                <w:szCs w:val="20"/>
              </w:rPr>
            </w:pPr>
            <w:bookmarkStart w:id="13" w:name="OLE_LINK2"/>
            <w:r>
              <w:rPr>
                <w:rFonts w:ascii="Times New Roman" w:eastAsia="等线" w:hAnsi="Times New Roman" w:cs="Times New Roman"/>
                <w:sz w:val="20"/>
                <w:szCs w:val="20"/>
              </w:rPr>
              <w:t>FS methods</w:t>
            </w:r>
          </w:p>
        </w:tc>
        <w:tc>
          <w:tcPr>
            <w:tcW w:w="874" w:type="dxa"/>
            <w:tcBorders>
              <w:top w:val="single" w:sz="6" w:space="0" w:color="auto"/>
              <w:bottom w:val="single" w:sz="6" w:space="0" w:color="auto"/>
            </w:tcBorders>
            <w:vAlign w:val="center"/>
          </w:tcPr>
          <w:p w14:paraId="64AFB4B5" w14:textId="77777777" w:rsidR="00024F56" w:rsidRDefault="0022519B">
            <w:pPr>
              <w:spacing w:line="480" w:lineRule="auto"/>
              <w:jc w:val="center"/>
              <w:rPr>
                <w:rFonts w:ascii="Times New Roman" w:eastAsia="等线" w:hAnsi="Times New Roman" w:cs="Times New Roman"/>
                <w:sz w:val="20"/>
                <w:szCs w:val="20"/>
              </w:rPr>
            </w:pPr>
            <w:r>
              <w:rPr>
                <w:rFonts w:ascii="Times New Roman" w:eastAsia="等线" w:hAnsi="Times New Roman" w:cs="Times New Roman" w:hint="eastAsia"/>
                <w:sz w:val="20"/>
                <w:szCs w:val="20"/>
              </w:rPr>
              <w:t>Count</w:t>
            </w:r>
          </w:p>
        </w:tc>
        <w:tc>
          <w:tcPr>
            <w:tcW w:w="3500" w:type="dxa"/>
            <w:tcBorders>
              <w:top w:val="single" w:sz="6" w:space="0" w:color="auto"/>
              <w:bottom w:val="single" w:sz="6" w:space="0" w:color="auto"/>
            </w:tcBorders>
            <w:vAlign w:val="center"/>
          </w:tcPr>
          <w:p w14:paraId="43B47C04" w14:textId="77777777" w:rsidR="00024F56" w:rsidRDefault="0022519B">
            <w:pPr>
              <w:spacing w:line="480" w:lineRule="auto"/>
              <w:jc w:val="center"/>
              <w:rPr>
                <w:rFonts w:ascii="Times New Roman" w:eastAsia="等线" w:hAnsi="Times New Roman" w:cs="Times New Roman"/>
                <w:sz w:val="20"/>
                <w:szCs w:val="20"/>
              </w:rPr>
            </w:pPr>
            <w:r>
              <w:rPr>
                <w:rFonts w:ascii="Times New Roman" w:eastAsia="等线" w:hAnsi="Times New Roman" w:cs="Times New Roman" w:hint="eastAsia"/>
                <w:sz w:val="20"/>
                <w:szCs w:val="20"/>
              </w:rPr>
              <w:t>Threshold</w:t>
            </w:r>
          </w:p>
        </w:tc>
      </w:tr>
      <w:tr w:rsidR="00024F56" w14:paraId="75D6C0A0" w14:textId="77777777">
        <w:trPr>
          <w:jc w:val="center"/>
        </w:trPr>
        <w:tc>
          <w:tcPr>
            <w:tcW w:w="1931" w:type="dxa"/>
            <w:tcBorders>
              <w:tl2br w:val="nil"/>
              <w:tr2bl w:val="nil"/>
            </w:tcBorders>
          </w:tcPr>
          <w:p w14:paraId="579F30D3" w14:textId="77777777" w:rsidR="00024F56" w:rsidRDefault="0022519B">
            <w:pPr>
              <w:spacing w:line="480" w:lineRule="auto"/>
              <w:jc w:val="center"/>
              <w:rPr>
                <w:rFonts w:ascii="Times New Roman" w:eastAsia="等线" w:hAnsi="Times New Roman" w:cs="Times New Roman"/>
                <w:sz w:val="20"/>
                <w:szCs w:val="20"/>
              </w:rPr>
            </w:pPr>
            <w:r>
              <w:rPr>
                <w:rFonts w:ascii="Times New Roman" w:eastAsia="等线" w:hAnsi="Times New Roman" w:cs="Times New Roman"/>
                <w:sz w:val="20"/>
                <w:szCs w:val="20"/>
              </w:rPr>
              <w:t>RF</w:t>
            </w:r>
          </w:p>
        </w:tc>
        <w:tc>
          <w:tcPr>
            <w:tcW w:w="874" w:type="dxa"/>
            <w:tcBorders>
              <w:tl2br w:val="nil"/>
              <w:tr2bl w:val="nil"/>
            </w:tcBorders>
          </w:tcPr>
          <w:p w14:paraId="112101F8" w14:textId="77777777" w:rsidR="00024F56" w:rsidRDefault="0022519B">
            <w:pPr>
              <w:spacing w:line="480" w:lineRule="auto"/>
              <w:jc w:val="center"/>
              <w:rPr>
                <w:rFonts w:ascii="Times New Roman" w:eastAsia="等线" w:hAnsi="Times New Roman" w:cs="Times New Roman"/>
                <w:sz w:val="20"/>
                <w:szCs w:val="20"/>
              </w:rPr>
            </w:pPr>
            <w:r>
              <w:rPr>
                <w:rFonts w:ascii="Times New Roman" w:eastAsia="等线" w:hAnsi="Times New Roman" w:cs="Times New Roman" w:hint="eastAsia"/>
                <w:sz w:val="20"/>
                <w:szCs w:val="20"/>
              </w:rPr>
              <w:t>8</w:t>
            </w:r>
          </w:p>
        </w:tc>
        <w:tc>
          <w:tcPr>
            <w:tcW w:w="3500" w:type="dxa"/>
            <w:tcBorders>
              <w:tl2br w:val="nil"/>
              <w:tr2bl w:val="nil"/>
            </w:tcBorders>
          </w:tcPr>
          <w:p w14:paraId="3A554F7A" w14:textId="77777777" w:rsidR="00024F56" w:rsidRDefault="0022519B">
            <w:pPr>
              <w:spacing w:line="480" w:lineRule="auto"/>
              <w:jc w:val="center"/>
              <w:rPr>
                <w:rFonts w:ascii="Times New Roman" w:eastAsia="等线" w:hAnsi="Times New Roman" w:cs="Times New Roman"/>
                <w:sz w:val="20"/>
                <w:szCs w:val="20"/>
              </w:rPr>
            </w:pPr>
            <w:r>
              <w:rPr>
                <w:rFonts w:ascii="Times New Roman" w:eastAsia="等线" w:hAnsi="Times New Roman" w:cs="Times New Roman" w:hint="eastAsia"/>
                <w:sz w:val="20"/>
                <w:szCs w:val="20"/>
              </w:rPr>
              <w:t>0.4468</w:t>
            </w:r>
          </w:p>
        </w:tc>
      </w:tr>
      <w:tr w:rsidR="00024F56" w14:paraId="3DF55111" w14:textId="77777777">
        <w:trPr>
          <w:jc w:val="center"/>
        </w:trPr>
        <w:tc>
          <w:tcPr>
            <w:tcW w:w="1931" w:type="dxa"/>
            <w:tcBorders>
              <w:tl2br w:val="nil"/>
              <w:tr2bl w:val="nil"/>
            </w:tcBorders>
            <w:vAlign w:val="center"/>
          </w:tcPr>
          <w:p w14:paraId="4AA8BB00" w14:textId="77777777" w:rsidR="00024F56" w:rsidRDefault="0022519B">
            <w:pPr>
              <w:spacing w:line="480" w:lineRule="auto"/>
              <w:jc w:val="center"/>
              <w:rPr>
                <w:rFonts w:ascii="Times New Roman" w:eastAsia="等线" w:hAnsi="Times New Roman" w:cs="Times New Roman"/>
                <w:sz w:val="20"/>
                <w:szCs w:val="20"/>
              </w:rPr>
            </w:pPr>
            <w:r>
              <w:rPr>
                <w:rFonts w:ascii="Times New Roman" w:eastAsia="等线" w:hAnsi="Times New Roman" w:cs="Times New Roman"/>
                <w:sz w:val="20"/>
                <w:szCs w:val="20"/>
              </w:rPr>
              <w:t>LR</w:t>
            </w:r>
          </w:p>
        </w:tc>
        <w:tc>
          <w:tcPr>
            <w:tcW w:w="874" w:type="dxa"/>
            <w:tcBorders>
              <w:tl2br w:val="nil"/>
              <w:tr2bl w:val="nil"/>
            </w:tcBorders>
          </w:tcPr>
          <w:p w14:paraId="461AD906" w14:textId="77777777" w:rsidR="00024F56" w:rsidRDefault="0022519B">
            <w:pPr>
              <w:spacing w:line="480" w:lineRule="auto"/>
              <w:jc w:val="center"/>
              <w:rPr>
                <w:rFonts w:ascii="Times New Roman" w:eastAsia="等线" w:hAnsi="Times New Roman" w:cs="Times New Roman"/>
                <w:sz w:val="20"/>
                <w:szCs w:val="20"/>
              </w:rPr>
            </w:pPr>
            <w:r>
              <w:rPr>
                <w:rFonts w:ascii="Times New Roman" w:eastAsia="等线" w:hAnsi="Times New Roman" w:cs="Times New Roman" w:hint="eastAsia"/>
                <w:sz w:val="20"/>
                <w:szCs w:val="20"/>
              </w:rPr>
              <w:t>18</w:t>
            </w:r>
          </w:p>
        </w:tc>
        <w:tc>
          <w:tcPr>
            <w:tcW w:w="3500" w:type="dxa"/>
            <w:tcBorders>
              <w:tl2br w:val="nil"/>
              <w:tr2bl w:val="nil"/>
            </w:tcBorders>
          </w:tcPr>
          <w:p w14:paraId="0F0495D9" w14:textId="77777777" w:rsidR="00024F56" w:rsidRDefault="0022519B">
            <w:pPr>
              <w:spacing w:line="480" w:lineRule="auto"/>
              <w:jc w:val="center"/>
              <w:rPr>
                <w:rFonts w:ascii="Times New Roman" w:eastAsia="等线" w:hAnsi="Times New Roman" w:cs="Times New Roman"/>
                <w:sz w:val="20"/>
                <w:szCs w:val="20"/>
              </w:rPr>
            </w:pPr>
            <w:r>
              <w:rPr>
                <w:rFonts w:ascii="Times New Roman" w:eastAsia="等线" w:hAnsi="Times New Roman" w:cs="Times New Roman" w:hint="eastAsia"/>
                <w:sz w:val="20"/>
                <w:szCs w:val="20"/>
              </w:rPr>
              <w:t>0.4319</w:t>
            </w:r>
          </w:p>
        </w:tc>
      </w:tr>
      <w:tr w:rsidR="00024F56" w14:paraId="4CD4769B" w14:textId="77777777">
        <w:trPr>
          <w:jc w:val="center"/>
        </w:trPr>
        <w:tc>
          <w:tcPr>
            <w:tcW w:w="1931" w:type="dxa"/>
            <w:tcBorders>
              <w:tl2br w:val="nil"/>
              <w:tr2bl w:val="nil"/>
            </w:tcBorders>
          </w:tcPr>
          <w:p w14:paraId="0733CB9A" w14:textId="77777777" w:rsidR="00024F56" w:rsidRDefault="0022519B">
            <w:pPr>
              <w:spacing w:line="480" w:lineRule="auto"/>
              <w:jc w:val="center"/>
              <w:rPr>
                <w:rFonts w:ascii="Times New Roman" w:eastAsia="等线" w:hAnsi="Times New Roman" w:cs="Times New Roman"/>
                <w:sz w:val="20"/>
                <w:szCs w:val="20"/>
              </w:rPr>
            </w:pPr>
            <w:r>
              <w:rPr>
                <w:rFonts w:ascii="Times New Roman" w:eastAsia="等线" w:hAnsi="Times New Roman" w:cs="Times New Roman"/>
                <w:sz w:val="20"/>
                <w:szCs w:val="20"/>
              </w:rPr>
              <w:t>SVM</w:t>
            </w:r>
          </w:p>
        </w:tc>
        <w:tc>
          <w:tcPr>
            <w:tcW w:w="874" w:type="dxa"/>
            <w:tcBorders>
              <w:tl2br w:val="nil"/>
              <w:tr2bl w:val="nil"/>
            </w:tcBorders>
          </w:tcPr>
          <w:p w14:paraId="69167EED" w14:textId="77777777" w:rsidR="00024F56" w:rsidRDefault="0022519B">
            <w:pPr>
              <w:spacing w:line="480" w:lineRule="auto"/>
              <w:jc w:val="center"/>
              <w:rPr>
                <w:rFonts w:ascii="Times New Roman" w:eastAsia="等线" w:hAnsi="Times New Roman" w:cs="Times New Roman"/>
                <w:sz w:val="20"/>
                <w:szCs w:val="20"/>
              </w:rPr>
            </w:pPr>
            <w:r>
              <w:rPr>
                <w:rFonts w:ascii="Times New Roman" w:eastAsia="等线" w:hAnsi="Times New Roman" w:cs="Times New Roman" w:hint="eastAsia"/>
                <w:sz w:val="20"/>
                <w:szCs w:val="20"/>
              </w:rPr>
              <w:t>12</w:t>
            </w:r>
          </w:p>
        </w:tc>
        <w:tc>
          <w:tcPr>
            <w:tcW w:w="3500" w:type="dxa"/>
            <w:tcBorders>
              <w:tl2br w:val="nil"/>
              <w:tr2bl w:val="nil"/>
            </w:tcBorders>
          </w:tcPr>
          <w:p w14:paraId="1F103BD7" w14:textId="77777777" w:rsidR="00024F56" w:rsidRDefault="0022519B">
            <w:pPr>
              <w:spacing w:line="480" w:lineRule="auto"/>
              <w:jc w:val="center"/>
              <w:rPr>
                <w:rFonts w:ascii="Times New Roman" w:eastAsia="等线" w:hAnsi="Times New Roman" w:cs="Times New Roman"/>
                <w:sz w:val="20"/>
                <w:szCs w:val="20"/>
              </w:rPr>
            </w:pPr>
            <w:r>
              <w:rPr>
                <w:rFonts w:ascii="Times New Roman" w:eastAsia="等线" w:hAnsi="Times New Roman" w:cs="Times New Roman" w:hint="eastAsia"/>
                <w:sz w:val="20"/>
                <w:szCs w:val="20"/>
              </w:rPr>
              <w:t>0.</w:t>
            </w:r>
            <w:r>
              <w:rPr>
                <w:rFonts w:ascii="Times New Roman" w:eastAsia="等线" w:hAnsi="Times New Roman" w:cs="Times New Roman" w:hint="eastAsia"/>
                <w:sz w:val="20"/>
                <w:szCs w:val="20"/>
              </w:rPr>
              <w:t>4213</w:t>
            </w:r>
          </w:p>
        </w:tc>
      </w:tr>
      <w:tr w:rsidR="00024F56" w14:paraId="0E3ED95A" w14:textId="77777777">
        <w:trPr>
          <w:jc w:val="center"/>
        </w:trPr>
        <w:tc>
          <w:tcPr>
            <w:tcW w:w="1931" w:type="dxa"/>
            <w:tcBorders>
              <w:tl2br w:val="nil"/>
              <w:tr2bl w:val="nil"/>
            </w:tcBorders>
          </w:tcPr>
          <w:p w14:paraId="0DD6E770" w14:textId="77777777" w:rsidR="00024F56" w:rsidRDefault="0022519B">
            <w:pPr>
              <w:spacing w:line="480" w:lineRule="auto"/>
              <w:jc w:val="center"/>
              <w:rPr>
                <w:rFonts w:ascii="Times New Roman" w:eastAsia="等线" w:hAnsi="Times New Roman" w:cs="Times New Roman"/>
                <w:sz w:val="20"/>
                <w:szCs w:val="20"/>
              </w:rPr>
            </w:pPr>
            <w:r>
              <w:rPr>
                <w:rFonts w:ascii="Times New Roman" w:eastAsia="等线" w:hAnsi="Times New Roman" w:cs="Times New Roman"/>
                <w:sz w:val="20"/>
                <w:szCs w:val="20"/>
              </w:rPr>
              <w:t>KNN</w:t>
            </w:r>
          </w:p>
        </w:tc>
        <w:tc>
          <w:tcPr>
            <w:tcW w:w="874" w:type="dxa"/>
            <w:tcBorders>
              <w:tl2br w:val="nil"/>
              <w:tr2bl w:val="nil"/>
            </w:tcBorders>
          </w:tcPr>
          <w:p w14:paraId="08795FF9" w14:textId="77777777" w:rsidR="00024F56" w:rsidRDefault="0022519B">
            <w:pPr>
              <w:spacing w:line="480" w:lineRule="auto"/>
              <w:jc w:val="center"/>
              <w:rPr>
                <w:rFonts w:ascii="Times New Roman" w:eastAsia="等线" w:hAnsi="Times New Roman" w:cs="Times New Roman"/>
                <w:sz w:val="20"/>
                <w:szCs w:val="20"/>
              </w:rPr>
            </w:pPr>
            <w:r>
              <w:rPr>
                <w:rFonts w:ascii="Times New Roman" w:eastAsia="等线" w:hAnsi="Times New Roman" w:cs="Times New Roman" w:hint="eastAsia"/>
                <w:sz w:val="20"/>
                <w:szCs w:val="20"/>
              </w:rPr>
              <w:t>23</w:t>
            </w:r>
          </w:p>
        </w:tc>
        <w:tc>
          <w:tcPr>
            <w:tcW w:w="3500" w:type="dxa"/>
            <w:tcBorders>
              <w:tl2br w:val="nil"/>
              <w:tr2bl w:val="nil"/>
            </w:tcBorders>
          </w:tcPr>
          <w:p w14:paraId="33639459" w14:textId="77777777" w:rsidR="00024F56" w:rsidRDefault="0022519B">
            <w:pPr>
              <w:spacing w:line="480" w:lineRule="auto"/>
              <w:jc w:val="center"/>
              <w:rPr>
                <w:rFonts w:ascii="Times New Roman" w:eastAsia="等线" w:hAnsi="Times New Roman" w:cs="Times New Roman"/>
                <w:sz w:val="20"/>
                <w:szCs w:val="20"/>
              </w:rPr>
            </w:pPr>
            <w:r>
              <w:rPr>
                <w:rFonts w:ascii="Times New Roman" w:eastAsia="等线" w:hAnsi="Times New Roman" w:cs="Times New Roman" w:hint="eastAsia"/>
                <w:sz w:val="20"/>
                <w:szCs w:val="20"/>
              </w:rPr>
              <w:t>0.4213</w:t>
            </w:r>
          </w:p>
        </w:tc>
      </w:tr>
      <w:tr w:rsidR="00024F56" w14:paraId="0C8A2C86" w14:textId="77777777">
        <w:trPr>
          <w:jc w:val="center"/>
        </w:trPr>
        <w:tc>
          <w:tcPr>
            <w:tcW w:w="1931" w:type="dxa"/>
            <w:tcBorders>
              <w:tl2br w:val="nil"/>
              <w:tr2bl w:val="nil"/>
            </w:tcBorders>
          </w:tcPr>
          <w:p w14:paraId="1C24FBF5" w14:textId="77777777" w:rsidR="00024F56" w:rsidRDefault="0022519B">
            <w:pPr>
              <w:spacing w:line="480" w:lineRule="auto"/>
              <w:jc w:val="center"/>
              <w:rPr>
                <w:rFonts w:ascii="Times New Roman" w:eastAsia="等线" w:hAnsi="Times New Roman" w:cs="Times New Roman"/>
                <w:sz w:val="20"/>
                <w:szCs w:val="20"/>
              </w:rPr>
            </w:pPr>
            <w:r>
              <w:rPr>
                <w:rFonts w:ascii="Times New Roman" w:eastAsia="等线" w:hAnsi="Times New Roman" w:cs="Times New Roman" w:hint="eastAsia"/>
                <w:sz w:val="20"/>
                <w:szCs w:val="20"/>
              </w:rPr>
              <w:t>NB</w:t>
            </w:r>
          </w:p>
        </w:tc>
        <w:tc>
          <w:tcPr>
            <w:tcW w:w="874" w:type="dxa"/>
            <w:tcBorders>
              <w:tl2br w:val="nil"/>
              <w:tr2bl w:val="nil"/>
            </w:tcBorders>
          </w:tcPr>
          <w:p w14:paraId="51E2AA90" w14:textId="77777777" w:rsidR="00024F56" w:rsidRDefault="0022519B">
            <w:pPr>
              <w:spacing w:line="480" w:lineRule="auto"/>
              <w:jc w:val="center"/>
              <w:rPr>
                <w:rFonts w:ascii="Times New Roman" w:eastAsia="等线" w:hAnsi="Times New Roman" w:cs="Times New Roman"/>
                <w:sz w:val="20"/>
                <w:szCs w:val="20"/>
              </w:rPr>
            </w:pPr>
            <w:r>
              <w:rPr>
                <w:rFonts w:ascii="Times New Roman" w:eastAsia="等线" w:hAnsi="Times New Roman" w:cs="Times New Roman" w:hint="eastAsia"/>
                <w:sz w:val="20"/>
                <w:szCs w:val="20"/>
              </w:rPr>
              <w:t>15</w:t>
            </w:r>
          </w:p>
        </w:tc>
        <w:tc>
          <w:tcPr>
            <w:tcW w:w="3500" w:type="dxa"/>
            <w:tcBorders>
              <w:tl2br w:val="nil"/>
              <w:tr2bl w:val="nil"/>
            </w:tcBorders>
          </w:tcPr>
          <w:p w14:paraId="7FB637DE" w14:textId="77777777" w:rsidR="00024F56" w:rsidRDefault="0022519B">
            <w:pPr>
              <w:spacing w:line="480" w:lineRule="auto"/>
              <w:jc w:val="center"/>
              <w:rPr>
                <w:rFonts w:ascii="Times New Roman" w:eastAsia="等线" w:hAnsi="Times New Roman" w:cs="Times New Roman"/>
                <w:sz w:val="20"/>
                <w:szCs w:val="20"/>
              </w:rPr>
            </w:pPr>
            <w:r>
              <w:rPr>
                <w:rFonts w:ascii="Times New Roman" w:eastAsia="等线" w:hAnsi="Times New Roman" w:cs="Times New Roman" w:hint="eastAsia"/>
                <w:sz w:val="20"/>
                <w:szCs w:val="20"/>
              </w:rPr>
              <w:t>0.4213</w:t>
            </w:r>
          </w:p>
        </w:tc>
      </w:tr>
      <w:tr w:rsidR="00024F56" w14:paraId="2A5668AE" w14:textId="77777777">
        <w:trPr>
          <w:trHeight w:val="90"/>
          <w:jc w:val="center"/>
        </w:trPr>
        <w:tc>
          <w:tcPr>
            <w:tcW w:w="1931" w:type="dxa"/>
            <w:tcBorders>
              <w:tl2br w:val="nil"/>
              <w:tr2bl w:val="nil"/>
            </w:tcBorders>
          </w:tcPr>
          <w:p w14:paraId="2BDAC14F" w14:textId="77777777" w:rsidR="00024F56" w:rsidRDefault="0022519B">
            <w:pPr>
              <w:spacing w:line="480" w:lineRule="auto"/>
              <w:jc w:val="center"/>
              <w:rPr>
                <w:rFonts w:ascii="Times New Roman" w:eastAsia="等线" w:hAnsi="Times New Roman" w:cs="Times New Roman"/>
                <w:sz w:val="20"/>
                <w:szCs w:val="20"/>
              </w:rPr>
            </w:pPr>
            <w:r>
              <w:rPr>
                <w:rFonts w:ascii="Times New Roman" w:eastAsia="等线" w:hAnsi="Times New Roman" w:cs="Times New Roman" w:hint="eastAsia"/>
                <w:sz w:val="20"/>
                <w:szCs w:val="20"/>
              </w:rPr>
              <w:t>RFFI</w:t>
            </w:r>
          </w:p>
        </w:tc>
        <w:tc>
          <w:tcPr>
            <w:tcW w:w="874" w:type="dxa"/>
            <w:tcBorders>
              <w:tl2br w:val="nil"/>
              <w:tr2bl w:val="nil"/>
            </w:tcBorders>
          </w:tcPr>
          <w:p w14:paraId="0236C91F" w14:textId="77777777" w:rsidR="00024F56" w:rsidRDefault="0022519B">
            <w:pPr>
              <w:spacing w:line="480" w:lineRule="auto"/>
              <w:jc w:val="center"/>
              <w:rPr>
                <w:rFonts w:ascii="Times New Roman" w:eastAsia="等线" w:hAnsi="Times New Roman" w:cs="Times New Roman"/>
                <w:sz w:val="20"/>
                <w:szCs w:val="20"/>
              </w:rPr>
            </w:pPr>
            <w:r>
              <w:rPr>
                <w:rFonts w:ascii="Times New Roman" w:eastAsia="等线" w:hAnsi="Times New Roman" w:cs="Times New Roman" w:hint="eastAsia"/>
                <w:sz w:val="20"/>
                <w:szCs w:val="20"/>
              </w:rPr>
              <w:t>9</w:t>
            </w:r>
          </w:p>
        </w:tc>
        <w:tc>
          <w:tcPr>
            <w:tcW w:w="3500" w:type="dxa"/>
            <w:tcBorders>
              <w:tl2br w:val="nil"/>
              <w:tr2bl w:val="nil"/>
            </w:tcBorders>
          </w:tcPr>
          <w:p w14:paraId="0ACE6070" w14:textId="77777777" w:rsidR="00024F56" w:rsidRDefault="0022519B">
            <w:pPr>
              <w:spacing w:line="480" w:lineRule="auto"/>
              <w:jc w:val="center"/>
              <w:rPr>
                <w:rFonts w:ascii="Times New Roman" w:eastAsia="等线" w:hAnsi="Times New Roman" w:cs="Times New Roman"/>
                <w:sz w:val="20"/>
                <w:szCs w:val="20"/>
              </w:rPr>
            </w:pPr>
            <w:r>
              <w:rPr>
                <w:rFonts w:ascii="Times New Roman" w:eastAsia="等线" w:hAnsi="Times New Roman" w:cs="Times New Roman" w:hint="eastAsia"/>
                <w:sz w:val="20"/>
                <w:szCs w:val="20"/>
              </w:rPr>
              <w:t>0.01 (Feature importance)</w:t>
            </w:r>
          </w:p>
        </w:tc>
      </w:tr>
      <w:tr w:rsidR="00024F56" w14:paraId="7EF8F321" w14:textId="77777777">
        <w:trPr>
          <w:jc w:val="center"/>
        </w:trPr>
        <w:tc>
          <w:tcPr>
            <w:tcW w:w="1931" w:type="dxa"/>
            <w:tcBorders>
              <w:tl2br w:val="nil"/>
              <w:tr2bl w:val="nil"/>
            </w:tcBorders>
          </w:tcPr>
          <w:p w14:paraId="4FFAAA53" w14:textId="77777777" w:rsidR="00024F56" w:rsidRDefault="0022519B">
            <w:pPr>
              <w:spacing w:line="480" w:lineRule="auto"/>
              <w:jc w:val="center"/>
              <w:rPr>
                <w:rFonts w:ascii="Times New Roman" w:eastAsia="等线" w:hAnsi="Times New Roman" w:cs="Times New Roman"/>
                <w:sz w:val="20"/>
                <w:szCs w:val="20"/>
              </w:rPr>
            </w:pPr>
            <w:r>
              <w:rPr>
                <w:rFonts w:ascii="Times New Roman" w:eastAsia="等线" w:hAnsi="Times New Roman" w:cs="Times New Roman"/>
                <w:sz w:val="20"/>
                <w:szCs w:val="20"/>
              </w:rPr>
              <w:t xml:space="preserve">RFE-LGBM </w:t>
            </w:r>
          </w:p>
        </w:tc>
        <w:tc>
          <w:tcPr>
            <w:tcW w:w="874" w:type="dxa"/>
            <w:tcBorders>
              <w:tl2br w:val="nil"/>
              <w:tr2bl w:val="nil"/>
            </w:tcBorders>
          </w:tcPr>
          <w:p w14:paraId="5E651BE9" w14:textId="77777777" w:rsidR="00024F56" w:rsidRDefault="0022519B">
            <w:pPr>
              <w:spacing w:line="480" w:lineRule="auto"/>
              <w:jc w:val="center"/>
              <w:rPr>
                <w:rFonts w:ascii="Times New Roman" w:eastAsia="等线" w:hAnsi="Times New Roman" w:cs="Times New Roman"/>
                <w:sz w:val="20"/>
                <w:szCs w:val="20"/>
              </w:rPr>
            </w:pPr>
            <w:r>
              <w:rPr>
                <w:rFonts w:ascii="Times New Roman" w:eastAsia="等线" w:hAnsi="Times New Roman" w:cs="Times New Roman" w:hint="eastAsia"/>
                <w:sz w:val="20"/>
                <w:szCs w:val="20"/>
              </w:rPr>
              <w:t>20</w:t>
            </w:r>
          </w:p>
        </w:tc>
        <w:tc>
          <w:tcPr>
            <w:tcW w:w="3500" w:type="dxa"/>
            <w:tcBorders>
              <w:tl2br w:val="nil"/>
              <w:tr2bl w:val="nil"/>
            </w:tcBorders>
          </w:tcPr>
          <w:p w14:paraId="67ECB56D" w14:textId="77777777" w:rsidR="00024F56" w:rsidRDefault="0022519B">
            <w:pPr>
              <w:spacing w:line="480" w:lineRule="auto"/>
              <w:jc w:val="center"/>
              <w:rPr>
                <w:rFonts w:ascii="Times New Roman" w:eastAsia="等线" w:hAnsi="Times New Roman" w:cs="Times New Roman"/>
                <w:sz w:val="20"/>
                <w:szCs w:val="20"/>
              </w:rPr>
            </w:pPr>
            <w:r>
              <w:rPr>
                <w:rFonts w:ascii="Times New Roman" w:eastAsia="等线" w:hAnsi="Times New Roman" w:cs="Times New Roman" w:hint="eastAsia"/>
                <w:sz w:val="20"/>
                <w:szCs w:val="20"/>
              </w:rPr>
              <w:t>0.5989</w:t>
            </w:r>
          </w:p>
        </w:tc>
      </w:tr>
      <w:tr w:rsidR="00024F56" w14:paraId="0378C734" w14:textId="77777777">
        <w:trPr>
          <w:jc w:val="center"/>
        </w:trPr>
        <w:tc>
          <w:tcPr>
            <w:tcW w:w="1931" w:type="dxa"/>
            <w:tcBorders>
              <w:tl2br w:val="nil"/>
              <w:tr2bl w:val="nil"/>
            </w:tcBorders>
          </w:tcPr>
          <w:p w14:paraId="2F9445B4" w14:textId="77777777" w:rsidR="00024F56" w:rsidRDefault="0022519B">
            <w:pPr>
              <w:spacing w:line="480" w:lineRule="auto"/>
              <w:jc w:val="center"/>
              <w:rPr>
                <w:rFonts w:ascii="Times New Roman" w:eastAsia="等线" w:hAnsi="Times New Roman" w:cs="Times New Roman"/>
                <w:sz w:val="20"/>
                <w:szCs w:val="20"/>
              </w:rPr>
            </w:pPr>
            <w:bookmarkStart w:id="14" w:name="OLE_LINK9"/>
            <w:r>
              <w:rPr>
                <w:rFonts w:ascii="Times New Roman" w:eastAsia="等线" w:hAnsi="Times New Roman" w:cs="Times New Roman"/>
                <w:sz w:val="20"/>
                <w:szCs w:val="20"/>
              </w:rPr>
              <w:t>RFE-</w:t>
            </w:r>
            <w:r>
              <w:rPr>
                <w:rFonts w:ascii="Times New Roman" w:eastAsia="等线" w:hAnsi="Times New Roman" w:cs="Times New Roman" w:hint="eastAsia"/>
                <w:sz w:val="20"/>
                <w:szCs w:val="20"/>
              </w:rPr>
              <w:t>XGB</w:t>
            </w:r>
            <w:bookmarkEnd w:id="14"/>
            <w:r>
              <w:rPr>
                <w:rFonts w:ascii="Times New Roman" w:eastAsia="等线" w:hAnsi="Times New Roman" w:cs="Times New Roman"/>
                <w:sz w:val="20"/>
                <w:szCs w:val="20"/>
              </w:rPr>
              <w:t xml:space="preserve"> </w:t>
            </w:r>
          </w:p>
        </w:tc>
        <w:tc>
          <w:tcPr>
            <w:tcW w:w="874" w:type="dxa"/>
            <w:tcBorders>
              <w:tl2br w:val="nil"/>
              <w:tr2bl w:val="nil"/>
            </w:tcBorders>
          </w:tcPr>
          <w:p w14:paraId="6642E906" w14:textId="77777777" w:rsidR="00024F56" w:rsidRDefault="0022519B">
            <w:pPr>
              <w:spacing w:line="480" w:lineRule="auto"/>
              <w:jc w:val="center"/>
              <w:rPr>
                <w:rFonts w:ascii="Times New Roman" w:eastAsia="等线" w:hAnsi="Times New Roman" w:cs="Times New Roman"/>
                <w:sz w:val="20"/>
                <w:szCs w:val="20"/>
              </w:rPr>
            </w:pPr>
            <w:r>
              <w:rPr>
                <w:rFonts w:ascii="Times New Roman" w:eastAsia="等线" w:hAnsi="Times New Roman" w:cs="Times New Roman" w:hint="eastAsia"/>
                <w:sz w:val="20"/>
                <w:szCs w:val="20"/>
              </w:rPr>
              <w:t>21</w:t>
            </w:r>
          </w:p>
        </w:tc>
        <w:tc>
          <w:tcPr>
            <w:tcW w:w="3500" w:type="dxa"/>
            <w:tcBorders>
              <w:tl2br w:val="nil"/>
              <w:tr2bl w:val="nil"/>
            </w:tcBorders>
          </w:tcPr>
          <w:p w14:paraId="2FF274D4" w14:textId="77777777" w:rsidR="00024F56" w:rsidRDefault="0022519B">
            <w:pPr>
              <w:spacing w:line="480" w:lineRule="auto"/>
              <w:jc w:val="center"/>
              <w:rPr>
                <w:rFonts w:ascii="Times New Roman" w:eastAsia="等线" w:hAnsi="Times New Roman" w:cs="Times New Roman"/>
                <w:sz w:val="20"/>
                <w:szCs w:val="20"/>
              </w:rPr>
            </w:pPr>
            <w:r>
              <w:rPr>
                <w:rFonts w:ascii="Times New Roman" w:eastAsia="等线" w:hAnsi="Times New Roman" w:cs="Times New Roman" w:hint="eastAsia"/>
                <w:sz w:val="20"/>
                <w:szCs w:val="20"/>
              </w:rPr>
              <w:t>0.6497</w:t>
            </w:r>
          </w:p>
        </w:tc>
      </w:tr>
      <w:tr w:rsidR="00024F56" w14:paraId="5DA24BE4" w14:textId="77777777">
        <w:trPr>
          <w:jc w:val="center"/>
        </w:trPr>
        <w:tc>
          <w:tcPr>
            <w:tcW w:w="1931" w:type="dxa"/>
            <w:tcBorders>
              <w:tl2br w:val="nil"/>
              <w:tr2bl w:val="nil"/>
            </w:tcBorders>
          </w:tcPr>
          <w:p w14:paraId="4B7ED5BB" w14:textId="77777777" w:rsidR="00024F56" w:rsidRDefault="0022519B">
            <w:pPr>
              <w:spacing w:line="480" w:lineRule="auto"/>
              <w:jc w:val="center"/>
              <w:rPr>
                <w:rFonts w:ascii="Times New Roman" w:eastAsia="等线" w:hAnsi="Times New Roman" w:cs="Times New Roman"/>
                <w:sz w:val="20"/>
                <w:szCs w:val="20"/>
              </w:rPr>
            </w:pPr>
            <w:r>
              <w:rPr>
                <w:rFonts w:ascii="Times New Roman" w:eastAsia="等线" w:hAnsi="Times New Roman" w:cs="Times New Roman"/>
                <w:sz w:val="20"/>
                <w:szCs w:val="20"/>
              </w:rPr>
              <w:t>RFE-</w:t>
            </w:r>
            <w:r>
              <w:rPr>
                <w:rFonts w:ascii="Times New Roman" w:eastAsia="等线" w:hAnsi="Times New Roman" w:cs="Times New Roman" w:hint="eastAsia"/>
                <w:sz w:val="20"/>
                <w:szCs w:val="20"/>
              </w:rPr>
              <w:t>GBDT</w:t>
            </w:r>
          </w:p>
        </w:tc>
        <w:tc>
          <w:tcPr>
            <w:tcW w:w="874" w:type="dxa"/>
            <w:tcBorders>
              <w:tl2br w:val="nil"/>
              <w:tr2bl w:val="nil"/>
            </w:tcBorders>
          </w:tcPr>
          <w:p w14:paraId="5BDA377B" w14:textId="77777777" w:rsidR="00024F56" w:rsidRDefault="0022519B">
            <w:pPr>
              <w:spacing w:line="480" w:lineRule="auto"/>
              <w:jc w:val="center"/>
              <w:rPr>
                <w:rFonts w:ascii="Times New Roman" w:eastAsia="等线" w:hAnsi="Times New Roman" w:cs="Times New Roman"/>
                <w:sz w:val="20"/>
                <w:szCs w:val="20"/>
              </w:rPr>
            </w:pPr>
            <w:r>
              <w:rPr>
                <w:rFonts w:ascii="Times New Roman" w:eastAsia="等线" w:hAnsi="Times New Roman" w:cs="Times New Roman" w:hint="eastAsia"/>
                <w:sz w:val="20"/>
                <w:szCs w:val="20"/>
              </w:rPr>
              <w:t>20</w:t>
            </w:r>
          </w:p>
        </w:tc>
        <w:tc>
          <w:tcPr>
            <w:tcW w:w="3500" w:type="dxa"/>
            <w:tcBorders>
              <w:tl2br w:val="nil"/>
              <w:tr2bl w:val="nil"/>
            </w:tcBorders>
          </w:tcPr>
          <w:p w14:paraId="5D8F4DA3" w14:textId="77777777" w:rsidR="00024F56" w:rsidRDefault="0022519B">
            <w:pPr>
              <w:spacing w:line="480" w:lineRule="auto"/>
              <w:jc w:val="center"/>
              <w:rPr>
                <w:rFonts w:ascii="Times New Roman" w:eastAsia="等线" w:hAnsi="Times New Roman" w:cs="Times New Roman"/>
                <w:sz w:val="20"/>
                <w:szCs w:val="20"/>
              </w:rPr>
            </w:pPr>
            <w:r>
              <w:rPr>
                <w:rFonts w:ascii="Times New Roman" w:eastAsia="等线" w:hAnsi="Times New Roman" w:cs="Times New Roman" w:hint="eastAsia"/>
                <w:sz w:val="20"/>
                <w:szCs w:val="20"/>
              </w:rPr>
              <w:t>0.5958</w:t>
            </w:r>
          </w:p>
        </w:tc>
      </w:tr>
      <w:tr w:rsidR="00024F56" w14:paraId="4995286E" w14:textId="77777777">
        <w:trPr>
          <w:jc w:val="center"/>
        </w:trPr>
        <w:tc>
          <w:tcPr>
            <w:tcW w:w="1931" w:type="dxa"/>
            <w:tcBorders>
              <w:tl2br w:val="nil"/>
              <w:tr2bl w:val="nil"/>
            </w:tcBorders>
          </w:tcPr>
          <w:p w14:paraId="36465653" w14:textId="77777777" w:rsidR="00024F56" w:rsidRDefault="0022519B">
            <w:pPr>
              <w:spacing w:line="480" w:lineRule="auto"/>
              <w:jc w:val="center"/>
              <w:rPr>
                <w:rFonts w:ascii="Times New Roman" w:eastAsia="等线" w:hAnsi="Times New Roman" w:cs="Times New Roman"/>
                <w:sz w:val="20"/>
                <w:szCs w:val="20"/>
              </w:rPr>
            </w:pPr>
            <w:r>
              <w:rPr>
                <w:rFonts w:ascii="Times New Roman" w:eastAsia="等线" w:hAnsi="Times New Roman" w:cs="Times New Roman" w:hint="eastAsia"/>
                <w:sz w:val="20"/>
                <w:szCs w:val="20"/>
              </w:rPr>
              <w:t>RFE-RF</w:t>
            </w:r>
          </w:p>
        </w:tc>
        <w:tc>
          <w:tcPr>
            <w:tcW w:w="874" w:type="dxa"/>
            <w:tcBorders>
              <w:tl2br w:val="nil"/>
              <w:tr2bl w:val="nil"/>
            </w:tcBorders>
          </w:tcPr>
          <w:p w14:paraId="436A8897" w14:textId="77777777" w:rsidR="00024F56" w:rsidRDefault="0022519B">
            <w:pPr>
              <w:spacing w:line="480" w:lineRule="auto"/>
              <w:jc w:val="center"/>
              <w:rPr>
                <w:rFonts w:ascii="Times New Roman" w:eastAsia="等线" w:hAnsi="Times New Roman" w:cs="Times New Roman"/>
                <w:sz w:val="20"/>
                <w:szCs w:val="20"/>
              </w:rPr>
            </w:pPr>
            <w:r>
              <w:rPr>
                <w:rFonts w:ascii="Times New Roman" w:eastAsia="等线" w:hAnsi="Times New Roman" w:cs="Times New Roman" w:hint="eastAsia"/>
                <w:sz w:val="20"/>
                <w:szCs w:val="20"/>
              </w:rPr>
              <w:t>5</w:t>
            </w:r>
          </w:p>
        </w:tc>
        <w:tc>
          <w:tcPr>
            <w:tcW w:w="3500" w:type="dxa"/>
            <w:tcBorders>
              <w:tl2br w:val="nil"/>
              <w:tr2bl w:val="nil"/>
            </w:tcBorders>
          </w:tcPr>
          <w:p w14:paraId="6906EBE9" w14:textId="77777777" w:rsidR="00024F56" w:rsidRDefault="0022519B">
            <w:pPr>
              <w:spacing w:line="480" w:lineRule="auto"/>
              <w:jc w:val="center"/>
              <w:rPr>
                <w:rFonts w:ascii="Times New Roman" w:eastAsia="等线" w:hAnsi="Times New Roman" w:cs="Times New Roman"/>
                <w:sz w:val="20"/>
                <w:szCs w:val="20"/>
              </w:rPr>
            </w:pPr>
            <w:r>
              <w:rPr>
                <w:rFonts w:ascii="Times New Roman" w:eastAsia="等线" w:hAnsi="Times New Roman" w:cs="Times New Roman" w:hint="eastAsia"/>
                <w:sz w:val="20"/>
                <w:szCs w:val="20"/>
              </w:rPr>
              <w:t>0.6197</w:t>
            </w:r>
          </w:p>
        </w:tc>
      </w:tr>
      <w:tr w:rsidR="00024F56" w14:paraId="37579128" w14:textId="77777777">
        <w:trPr>
          <w:jc w:val="center"/>
        </w:trPr>
        <w:tc>
          <w:tcPr>
            <w:tcW w:w="1931" w:type="dxa"/>
            <w:tcBorders>
              <w:tl2br w:val="nil"/>
              <w:tr2bl w:val="nil"/>
            </w:tcBorders>
          </w:tcPr>
          <w:p w14:paraId="7A3CD52E" w14:textId="77777777" w:rsidR="00024F56" w:rsidRDefault="0022519B">
            <w:pPr>
              <w:spacing w:line="480" w:lineRule="auto"/>
              <w:jc w:val="center"/>
              <w:rPr>
                <w:rFonts w:ascii="Times New Roman" w:eastAsia="等线" w:hAnsi="Times New Roman" w:cs="Times New Roman"/>
                <w:sz w:val="20"/>
                <w:szCs w:val="20"/>
              </w:rPr>
            </w:pPr>
            <w:r>
              <w:rPr>
                <w:rFonts w:ascii="Times New Roman" w:eastAsia="等线" w:hAnsi="Times New Roman" w:cs="Times New Roman" w:hint="eastAsia"/>
                <w:sz w:val="20"/>
                <w:szCs w:val="20"/>
              </w:rPr>
              <w:t>RFE-LR</w:t>
            </w:r>
          </w:p>
        </w:tc>
        <w:tc>
          <w:tcPr>
            <w:tcW w:w="874" w:type="dxa"/>
            <w:tcBorders>
              <w:tl2br w:val="nil"/>
              <w:tr2bl w:val="nil"/>
            </w:tcBorders>
          </w:tcPr>
          <w:p w14:paraId="0ACB4205" w14:textId="77777777" w:rsidR="00024F56" w:rsidRDefault="0022519B">
            <w:pPr>
              <w:spacing w:line="480" w:lineRule="auto"/>
              <w:jc w:val="center"/>
              <w:rPr>
                <w:rFonts w:ascii="Times New Roman" w:eastAsia="等线" w:hAnsi="Times New Roman" w:cs="Times New Roman"/>
                <w:sz w:val="20"/>
                <w:szCs w:val="20"/>
              </w:rPr>
            </w:pPr>
            <w:r>
              <w:rPr>
                <w:rFonts w:ascii="Times New Roman" w:eastAsia="等线" w:hAnsi="Times New Roman" w:cs="Times New Roman" w:hint="eastAsia"/>
                <w:sz w:val="20"/>
                <w:szCs w:val="20"/>
              </w:rPr>
              <w:t>7</w:t>
            </w:r>
          </w:p>
        </w:tc>
        <w:tc>
          <w:tcPr>
            <w:tcW w:w="3500" w:type="dxa"/>
            <w:tcBorders>
              <w:tl2br w:val="nil"/>
              <w:tr2bl w:val="nil"/>
            </w:tcBorders>
          </w:tcPr>
          <w:p w14:paraId="32B07A7B" w14:textId="77777777" w:rsidR="00024F56" w:rsidRDefault="0022519B">
            <w:pPr>
              <w:spacing w:line="480" w:lineRule="auto"/>
              <w:jc w:val="center"/>
              <w:rPr>
                <w:rFonts w:ascii="Times New Roman" w:eastAsia="等线" w:hAnsi="Times New Roman" w:cs="Times New Roman"/>
                <w:sz w:val="20"/>
                <w:szCs w:val="20"/>
              </w:rPr>
            </w:pPr>
            <w:r>
              <w:rPr>
                <w:rFonts w:ascii="Times New Roman" w:eastAsia="等线" w:hAnsi="Times New Roman" w:cs="Times New Roman" w:hint="eastAsia"/>
                <w:sz w:val="20"/>
                <w:szCs w:val="20"/>
              </w:rPr>
              <w:t>0.7249</w:t>
            </w:r>
          </w:p>
        </w:tc>
      </w:tr>
      <w:bookmarkEnd w:id="13"/>
    </w:tbl>
    <w:p w14:paraId="35688885" w14:textId="77777777" w:rsidR="00024F56" w:rsidRDefault="00024F56">
      <w:pPr>
        <w:spacing w:line="480" w:lineRule="auto"/>
        <w:ind w:firstLineChars="200" w:firstLine="400"/>
        <w:rPr>
          <w:rFonts w:ascii="Times New Roman" w:eastAsia="等线" w:hAnsi="Times New Roman" w:cs="Times New Roman"/>
          <w:sz w:val="20"/>
          <w:szCs w:val="20"/>
        </w:rPr>
      </w:pPr>
    </w:p>
    <w:p w14:paraId="064A19C1" w14:textId="77777777" w:rsidR="00024F56" w:rsidRDefault="00024F56">
      <w:pPr>
        <w:spacing w:line="480" w:lineRule="auto"/>
        <w:ind w:firstLineChars="200" w:firstLine="400"/>
        <w:rPr>
          <w:rFonts w:ascii="Times New Roman" w:eastAsia="等线" w:hAnsi="Times New Roman" w:cs="Times New Roman"/>
          <w:sz w:val="20"/>
          <w:szCs w:val="20"/>
        </w:rPr>
      </w:pPr>
    </w:p>
    <w:p w14:paraId="63CAC6DF" w14:textId="77777777" w:rsidR="00024F56" w:rsidRDefault="0022519B">
      <w:pPr>
        <w:rPr>
          <w:rFonts w:ascii="Times New Roman" w:eastAsia="黑体" w:hAnsi="Times New Roman" w:cs="Times New Roman"/>
          <w:b/>
          <w:sz w:val="20"/>
          <w:szCs w:val="20"/>
        </w:rPr>
      </w:pPr>
      <w:r>
        <w:rPr>
          <w:rFonts w:ascii="Times New Roman" w:eastAsia="黑体" w:hAnsi="Times New Roman" w:cs="Times New Roman"/>
          <w:b/>
          <w:sz w:val="20"/>
          <w:szCs w:val="20"/>
        </w:rPr>
        <w:br w:type="page"/>
      </w:r>
    </w:p>
    <w:p w14:paraId="753C36F8" w14:textId="77777777" w:rsidR="00024F56" w:rsidRDefault="0022519B">
      <w:pPr>
        <w:keepNext/>
        <w:keepLines/>
        <w:spacing w:line="480" w:lineRule="auto"/>
        <w:jc w:val="center"/>
        <w:outlineLvl w:val="1"/>
        <w:rPr>
          <w:rFonts w:ascii="Times New Roman" w:eastAsia="黑体" w:hAnsi="Times New Roman" w:cs="Times New Roman"/>
          <w:b/>
          <w:sz w:val="20"/>
          <w:szCs w:val="20"/>
        </w:rPr>
      </w:pPr>
      <w:r>
        <w:rPr>
          <w:rFonts w:ascii="Times New Roman" w:eastAsia="黑体" w:hAnsi="Times New Roman" w:cs="Times New Roman"/>
          <w:b/>
          <w:sz w:val="20"/>
          <w:szCs w:val="20"/>
        </w:rPr>
        <w:lastRenderedPageBreak/>
        <w:t xml:space="preserve">Table </w:t>
      </w:r>
      <w:r>
        <w:rPr>
          <w:rFonts w:ascii="Times New Roman" w:eastAsia="黑体" w:hAnsi="Times New Roman" w:cs="Times New Roman" w:hint="eastAsia"/>
          <w:b/>
          <w:sz w:val="20"/>
          <w:szCs w:val="20"/>
        </w:rPr>
        <w:t>S</w:t>
      </w:r>
      <w:r>
        <w:rPr>
          <w:rFonts w:ascii="Times New Roman" w:eastAsia="黑体" w:hAnsi="Times New Roman" w:cs="Times New Roman"/>
          <w:b/>
          <w:sz w:val="20"/>
          <w:szCs w:val="20"/>
        </w:rPr>
        <w:t xml:space="preserve">5. </w:t>
      </w:r>
      <w:r>
        <w:rPr>
          <w:rFonts w:ascii="Times New Roman" w:eastAsia="黑体" w:hAnsi="Times New Roman" w:cs="Times New Roman" w:hint="eastAsia"/>
          <w:b/>
          <w:sz w:val="20"/>
          <w:szCs w:val="20"/>
        </w:rPr>
        <w:t>Interquartile range</w:t>
      </w:r>
      <w:r>
        <w:rPr>
          <w:rFonts w:ascii="Times New Roman" w:eastAsia="黑体" w:hAnsi="Times New Roman" w:cs="Times New Roman"/>
          <w:b/>
          <w:sz w:val="20"/>
          <w:szCs w:val="20"/>
        </w:rPr>
        <w:t xml:space="preserve"> of the enrolled radiomic features of the optimal model</w:t>
      </w:r>
    </w:p>
    <w:tbl>
      <w:tblPr>
        <w:tblStyle w:val="21"/>
        <w:tblW w:w="9918" w:type="dxa"/>
        <w:jc w:val="center"/>
        <w:tblInd w:w="0" w:type="dxa"/>
        <w:tblBorders>
          <w:top w:val="single" w:sz="6" w:space="0" w:color="auto"/>
          <w:left w:val="none" w:sz="0" w:space="0" w:color="auto"/>
          <w:bottom w:val="single" w:sz="6" w:space="0" w:color="auto"/>
          <w:right w:val="none" w:sz="0" w:space="0" w:color="auto"/>
          <w:insideH w:val="none" w:sz="0" w:space="0" w:color="auto"/>
          <w:insideV w:val="none" w:sz="0" w:space="0" w:color="auto"/>
        </w:tblBorders>
        <w:tblLayout w:type="fixed"/>
        <w:tblCellMar>
          <w:left w:w="108" w:type="dxa"/>
          <w:right w:w="108" w:type="dxa"/>
        </w:tblCellMar>
        <w:tblLook w:val="04A0" w:firstRow="1" w:lastRow="0" w:firstColumn="1" w:lastColumn="0" w:noHBand="0" w:noVBand="1"/>
      </w:tblPr>
      <w:tblGrid>
        <w:gridCol w:w="913"/>
        <w:gridCol w:w="3354"/>
        <w:gridCol w:w="1910"/>
        <w:gridCol w:w="1790"/>
        <w:gridCol w:w="1951"/>
      </w:tblGrid>
      <w:tr w:rsidR="00024F56" w14:paraId="23601F46" w14:textId="77777777">
        <w:trPr>
          <w:trHeight w:val="187"/>
          <w:jc w:val="center"/>
        </w:trPr>
        <w:tc>
          <w:tcPr>
            <w:tcW w:w="913" w:type="dxa"/>
            <w:tcBorders>
              <w:bottom w:val="single" w:sz="6" w:space="0" w:color="auto"/>
            </w:tcBorders>
            <w:vAlign w:val="center"/>
          </w:tcPr>
          <w:p w14:paraId="2215BFC2" w14:textId="77777777" w:rsidR="00024F56" w:rsidRDefault="0022519B">
            <w:pPr>
              <w:spacing w:line="480" w:lineRule="auto"/>
              <w:jc w:val="center"/>
              <w:rPr>
                <w:rFonts w:ascii="Times New Roman" w:eastAsia="等线" w:hAnsi="Times New Roman" w:cs="Times New Roman"/>
                <w:sz w:val="20"/>
                <w:szCs w:val="20"/>
              </w:rPr>
            </w:pPr>
            <w:r>
              <w:rPr>
                <w:rFonts w:ascii="Times New Roman" w:eastAsia="等线" w:hAnsi="Times New Roman" w:cs="Times New Roman"/>
                <w:sz w:val="20"/>
                <w:szCs w:val="20"/>
              </w:rPr>
              <w:t>Number</w:t>
            </w:r>
          </w:p>
        </w:tc>
        <w:tc>
          <w:tcPr>
            <w:tcW w:w="3354" w:type="dxa"/>
            <w:tcBorders>
              <w:bottom w:val="single" w:sz="6" w:space="0" w:color="auto"/>
            </w:tcBorders>
            <w:vAlign w:val="center"/>
          </w:tcPr>
          <w:p w14:paraId="376A2C1A" w14:textId="77777777" w:rsidR="00024F56" w:rsidRDefault="0022519B">
            <w:pPr>
              <w:spacing w:line="480" w:lineRule="auto"/>
              <w:jc w:val="center"/>
              <w:rPr>
                <w:rFonts w:ascii="Times New Roman" w:eastAsia="等线" w:hAnsi="Times New Roman" w:cs="Times New Roman"/>
                <w:i/>
                <w:iCs/>
                <w:sz w:val="20"/>
                <w:szCs w:val="20"/>
              </w:rPr>
            </w:pPr>
            <w:r>
              <w:rPr>
                <w:rFonts w:ascii="Times New Roman" w:eastAsia="等线" w:hAnsi="Times New Roman" w:cs="Times New Roman"/>
                <w:sz w:val="20"/>
                <w:szCs w:val="20"/>
              </w:rPr>
              <w:t>Enrolled HRFs</w:t>
            </w:r>
          </w:p>
        </w:tc>
        <w:tc>
          <w:tcPr>
            <w:tcW w:w="1910" w:type="dxa"/>
            <w:tcBorders>
              <w:bottom w:val="single" w:sz="6" w:space="0" w:color="auto"/>
            </w:tcBorders>
            <w:vAlign w:val="center"/>
          </w:tcPr>
          <w:p w14:paraId="7F2AA4E1" w14:textId="77777777" w:rsidR="00024F56" w:rsidRDefault="0022519B">
            <w:pPr>
              <w:widowControl/>
              <w:spacing w:line="480" w:lineRule="auto"/>
              <w:jc w:val="center"/>
              <w:textAlignment w:val="center"/>
              <w:rPr>
                <w:rFonts w:ascii="Times New Roman" w:eastAsia="等线" w:hAnsi="Times New Roman" w:cs="Times New Roman"/>
                <w:sz w:val="20"/>
                <w:szCs w:val="20"/>
              </w:rPr>
            </w:pPr>
            <w:r>
              <w:rPr>
                <w:rFonts w:ascii="Times New Roman" w:eastAsia="宋体" w:hAnsi="Times New Roman" w:cs="Times New Roman"/>
                <w:color w:val="000000"/>
                <w:kern w:val="0"/>
                <w:sz w:val="20"/>
                <w:szCs w:val="20"/>
                <w:lang w:bidi="ar"/>
              </w:rPr>
              <w:t>Train</w:t>
            </w:r>
          </w:p>
        </w:tc>
        <w:tc>
          <w:tcPr>
            <w:tcW w:w="1790" w:type="dxa"/>
            <w:tcBorders>
              <w:bottom w:val="single" w:sz="6" w:space="0" w:color="auto"/>
            </w:tcBorders>
            <w:vAlign w:val="center"/>
          </w:tcPr>
          <w:p w14:paraId="220437DD" w14:textId="77777777" w:rsidR="00024F56" w:rsidRDefault="0022519B">
            <w:pPr>
              <w:widowControl/>
              <w:spacing w:line="480" w:lineRule="auto"/>
              <w:jc w:val="center"/>
              <w:textAlignment w:val="center"/>
              <w:rPr>
                <w:rFonts w:ascii="Times New Roman" w:eastAsia="等线" w:hAnsi="Times New Roman" w:cs="Times New Roman"/>
                <w:sz w:val="20"/>
                <w:szCs w:val="20"/>
              </w:rPr>
            </w:pPr>
            <w:r>
              <w:rPr>
                <w:rFonts w:ascii="Times New Roman" w:eastAsia="宋体" w:hAnsi="Times New Roman" w:cs="Times New Roman"/>
                <w:color w:val="000000"/>
                <w:kern w:val="0"/>
                <w:sz w:val="20"/>
                <w:szCs w:val="20"/>
                <w:lang w:bidi="ar"/>
              </w:rPr>
              <w:t>Internal Test</w:t>
            </w:r>
          </w:p>
        </w:tc>
        <w:tc>
          <w:tcPr>
            <w:tcW w:w="1951" w:type="dxa"/>
            <w:tcBorders>
              <w:bottom w:val="single" w:sz="6" w:space="0" w:color="auto"/>
            </w:tcBorders>
            <w:vAlign w:val="center"/>
          </w:tcPr>
          <w:p w14:paraId="16DFD0F6" w14:textId="77777777" w:rsidR="00024F56" w:rsidRDefault="0022519B">
            <w:pPr>
              <w:widowControl/>
              <w:spacing w:line="480" w:lineRule="auto"/>
              <w:jc w:val="center"/>
              <w:textAlignment w:val="center"/>
              <w:rPr>
                <w:rFonts w:ascii="Times New Roman" w:eastAsia="等线" w:hAnsi="Times New Roman" w:cs="Times New Roman"/>
                <w:sz w:val="20"/>
                <w:szCs w:val="20"/>
              </w:rPr>
            </w:pPr>
            <w:r>
              <w:rPr>
                <w:rFonts w:ascii="Times New Roman" w:eastAsia="宋体" w:hAnsi="Times New Roman" w:cs="Times New Roman"/>
                <w:color w:val="000000"/>
                <w:kern w:val="0"/>
                <w:sz w:val="20"/>
                <w:szCs w:val="20"/>
                <w:lang w:bidi="ar"/>
              </w:rPr>
              <w:t>External Test1</w:t>
            </w:r>
          </w:p>
        </w:tc>
      </w:tr>
      <w:tr w:rsidR="00024F56" w14:paraId="5269FA2B" w14:textId="77777777">
        <w:trPr>
          <w:jc w:val="center"/>
        </w:trPr>
        <w:tc>
          <w:tcPr>
            <w:tcW w:w="913" w:type="dxa"/>
            <w:tcBorders>
              <w:top w:val="single" w:sz="6" w:space="0" w:color="auto"/>
              <w:tl2br w:val="nil"/>
              <w:tr2bl w:val="nil"/>
            </w:tcBorders>
            <w:vAlign w:val="center"/>
          </w:tcPr>
          <w:p w14:paraId="399C72DB" w14:textId="77777777" w:rsidR="00024F56" w:rsidRDefault="0022519B">
            <w:pPr>
              <w:widowControl/>
              <w:spacing w:line="480" w:lineRule="auto"/>
              <w:jc w:val="center"/>
              <w:textAlignment w:val="center"/>
              <w:rPr>
                <w:rFonts w:ascii="Times New Roman" w:eastAsia="MingLiU" w:hAnsi="Times New Roman" w:cs="Times New Roman"/>
                <w:color w:val="000000"/>
                <w:kern w:val="0"/>
                <w:sz w:val="20"/>
                <w:szCs w:val="20"/>
              </w:rPr>
            </w:pPr>
            <w:r>
              <w:rPr>
                <w:rFonts w:ascii="Times New Roman" w:eastAsia="宋体" w:hAnsi="Times New Roman" w:cs="Times New Roman"/>
                <w:color w:val="000000"/>
                <w:kern w:val="0"/>
                <w:sz w:val="20"/>
                <w:szCs w:val="20"/>
                <w:lang w:bidi="ar"/>
              </w:rPr>
              <w:t>F1</w:t>
            </w:r>
          </w:p>
        </w:tc>
        <w:tc>
          <w:tcPr>
            <w:tcW w:w="3354" w:type="dxa"/>
            <w:tcBorders>
              <w:top w:val="single" w:sz="6" w:space="0" w:color="auto"/>
              <w:tl2br w:val="nil"/>
              <w:tr2bl w:val="nil"/>
            </w:tcBorders>
            <w:vAlign w:val="center"/>
          </w:tcPr>
          <w:p w14:paraId="41EF1EC4" w14:textId="77777777" w:rsidR="00024F56" w:rsidRDefault="0022519B">
            <w:pPr>
              <w:widowControl/>
              <w:jc w:val="left"/>
              <w:textAlignment w:val="center"/>
              <w:rPr>
                <w:rFonts w:ascii="Times New Roman" w:eastAsia="MingLiU" w:hAnsi="Times New Roman" w:cs="Times New Roman"/>
                <w:color w:val="000000"/>
                <w:kern w:val="0"/>
                <w:sz w:val="20"/>
                <w:szCs w:val="20"/>
              </w:rPr>
            </w:pPr>
            <w:r>
              <w:rPr>
                <w:rFonts w:ascii="Times New Roman" w:eastAsia="宋体" w:hAnsi="Times New Roman" w:cs="Times New Roman"/>
                <w:color w:val="000000"/>
                <w:kern w:val="0"/>
                <w:sz w:val="22"/>
                <w:szCs w:val="22"/>
                <w:lang w:bidi="ar"/>
              </w:rPr>
              <w:t>CT_log.sigma.1.0.mm.3D_firstorder_Median</w:t>
            </w:r>
          </w:p>
        </w:tc>
        <w:tc>
          <w:tcPr>
            <w:tcW w:w="1910" w:type="dxa"/>
            <w:tcBorders>
              <w:top w:val="single" w:sz="6" w:space="0" w:color="auto"/>
              <w:tl2br w:val="nil"/>
              <w:tr2bl w:val="nil"/>
            </w:tcBorders>
            <w:vAlign w:val="center"/>
          </w:tcPr>
          <w:p w14:paraId="0D7C0B90" w14:textId="77777777" w:rsidR="00024F56" w:rsidRDefault="0022519B">
            <w:pPr>
              <w:widowControl/>
              <w:jc w:val="left"/>
              <w:textAlignment w:val="center"/>
              <w:rPr>
                <w:rFonts w:ascii="Times New Roman" w:eastAsia="宋体" w:hAnsi="Times New Roman" w:cs="Times New Roman"/>
                <w:color w:val="000000"/>
                <w:kern w:val="0"/>
                <w:sz w:val="20"/>
                <w:szCs w:val="20"/>
                <w:lang w:bidi="ar"/>
              </w:rPr>
            </w:pPr>
            <w:r>
              <w:rPr>
                <w:rFonts w:ascii="Times New Roman" w:eastAsia="宋体" w:hAnsi="Times New Roman" w:cs="Times New Roman"/>
                <w:color w:val="000000"/>
                <w:kern w:val="0"/>
                <w:sz w:val="22"/>
                <w:szCs w:val="22"/>
                <w:lang w:bidi="ar"/>
              </w:rPr>
              <w:t>[-0.593-0.667]</w:t>
            </w:r>
          </w:p>
        </w:tc>
        <w:tc>
          <w:tcPr>
            <w:tcW w:w="1790" w:type="dxa"/>
            <w:tcBorders>
              <w:top w:val="single" w:sz="6" w:space="0" w:color="auto"/>
              <w:tl2br w:val="nil"/>
              <w:tr2bl w:val="nil"/>
            </w:tcBorders>
            <w:vAlign w:val="center"/>
          </w:tcPr>
          <w:p w14:paraId="6AD45C4A" w14:textId="77777777" w:rsidR="00024F56" w:rsidRDefault="0022519B">
            <w:pPr>
              <w:widowControl/>
              <w:jc w:val="left"/>
              <w:textAlignment w:val="center"/>
              <w:rPr>
                <w:rFonts w:ascii="Times New Roman" w:eastAsia="宋体" w:hAnsi="Times New Roman" w:cs="Times New Roman"/>
                <w:color w:val="000000"/>
                <w:kern w:val="0"/>
                <w:sz w:val="20"/>
                <w:szCs w:val="20"/>
                <w:lang w:bidi="ar"/>
              </w:rPr>
            </w:pPr>
            <w:r>
              <w:rPr>
                <w:rFonts w:ascii="Times New Roman" w:eastAsia="宋体" w:hAnsi="Times New Roman" w:cs="Times New Roman"/>
                <w:color w:val="000000"/>
                <w:kern w:val="0"/>
                <w:sz w:val="22"/>
                <w:szCs w:val="22"/>
                <w:lang w:bidi="ar"/>
              </w:rPr>
              <w:t>[-0.676-0.657]</w:t>
            </w:r>
          </w:p>
        </w:tc>
        <w:tc>
          <w:tcPr>
            <w:tcW w:w="1951" w:type="dxa"/>
            <w:tcBorders>
              <w:top w:val="single" w:sz="6" w:space="0" w:color="auto"/>
              <w:tl2br w:val="nil"/>
              <w:tr2bl w:val="nil"/>
            </w:tcBorders>
            <w:vAlign w:val="center"/>
          </w:tcPr>
          <w:p w14:paraId="6FE57FEF" w14:textId="77777777" w:rsidR="00024F56" w:rsidRDefault="0022519B">
            <w:pPr>
              <w:widowControl/>
              <w:jc w:val="left"/>
              <w:textAlignment w:val="center"/>
              <w:rPr>
                <w:rFonts w:ascii="Times New Roman" w:eastAsia="宋体" w:hAnsi="Times New Roman" w:cs="Times New Roman"/>
                <w:color w:val="000000"/>
                <w:kern w:val="0"/>
                <w:sz w:val="20"/>
                <w:szCs w:val="20"/>
                <w:lang w:bidi="ar"/>
              </w:rPr>
            </w:pPr>
            <w:r>
              <w:rPr>
                <w:rFonts w:ascii="Times New Roman" w:eastAsia="宋体" w:hAnsi="Times New Roman" w:cs="Times New Roman"/>
                <w:color w:val="000000"/>
                <w:kern w:val="0"/>
                <w:sz w:val="22"/>
                <w:szCs w:val="22"/>
                <w:lang w:bidi="ar"/>
              </w:rPr>
              <w:t>[-0.521-0.828]</w:t>
            </w:r>
          </w:p>
        </w:tc>
      </w:tr>
      <w:tr w:rsidR="00024F56" w14:paraId="5F205C80" w14:textId="77777777">
        <w:trPr>
          <w:jc w:val="center"/>
        </w:trPr>
        <w:tc>
          <w:tcPr>
            <w:tcW w:w="913" w:type="dxa"/>
            <w:tcBorders>
              <w:tl2br w:val="nil"/>
              <w:tr2bl w:val="nil"/>
            </w:tcBorders>
            <w:vAlign w:val="center"/>
          </w:tcPr>
          <w:p w14:paraId="46AF37AF" w14:textId="77777777" w:rsidR="00024F56" w:rsidRDefault="0022519B">
            <w:pPr>
              <w:widowControl/>
              <w:spacing w:line="480" w:lineRule="auto"/>
              <w:jc w:val="center"/>
              <w:textAlignment w:val="center"/>
              <w:rPr>
                <w:rFonts w:ascii="Times New Roman" w:eastAsia="MingLiU" w:hAnsi="Times New Roman" w:cs="Times New Roman"/>
                <w:color w:val="000000"/>
                <w:kern w:val="0"/>
                <w:sz w:val="20"/>
                <w:szCs w:val="20"/>
              </w:rPr>
            </w:pPr>
            <w:r>
              <w:rPr>
                <w:rFonts w:ascii="Times New Roman" w:eastAsia="宋体" w:hAnsi="Times New Roman" w:cs="Times New Roman"/>
                <w:color w:val="000000"/>
                <w:kern w:val="0"/>
                <w:sz w:val="20"/>
                <w:szCs w:val="20"/>
                <w:lang w:bidi="ar"/>
              </w:rPr>
              <w:t>F2</w:t>
            </w:r>
          </w:p>
        </w:tc>
        <w:tc>
          <w:tcPr>
            <w:tcW w:w="3354" w:type="dxa"/>
            <w:tcBorders>
              <w:tl2br w:val="nil"/>
              <w:tr2bl w:val="nil"/>
            </w:tcBorders>
            <w:vAlign w:val="center"/>
          </w:tcPr>
          <w:p w14:paraId="4AF81C46" w14:textId="77777777" w:rsidR="00024F56" w:rsidRDefault="0022519B">
            <w:pPr>
              <w:widowControl/>
              <w:jc w:val="left"/>
              <w:textAlignment w:val="center"/>
              <w:rPr>
                <w:rFonts w:ascii="Times New Roman" w:eastAsia="MingLiU" w:hAnsi="Times New Roman" w:cs="Times New Roman"/>
                <w:color w:val="000000"/>
                <w:kern w:val="0"/>
                <w:sz w:val="20"/>
                <w:szCs w:val="20"/>
              </w:rPr>
            </w:pPr>
            <w:r>
              <w:rPr>
                <w:rFonts w:ascii="Times New Roman" w:eastAsia="宋体" w:hAnsi="Times New Roman" w:cs="Times New Roman"/>
                <w:color w:val="000000"/>
                <w:kern w:val="0"/>
                <w:sz w:val="22"/>
                <w:szCs w:val="22"/>
                <w:lang w:bidi="ar"/>
              </w:rPr>
              <w:t>CT_log.sigma.1.0.mm.3D_glcm_Correlation</w:t>
            </w:r>
          </w:p>
        </w:tc>
        <w:tc>
          <w:tcPr>
            <w:tcW w:w="1910" w:type="dxa"/>
            <w:tcBorders>
              <w:tl2br w:val="nil"/>
              <w:tr2bl w:val="nil"/>
            </w:tcBorders>
            <w:vAlign w:val="center"/>
          </w:tcPr>
          <w:p w14:paraId="2B619242" w14:textId="77777777" w:rsidR="00024F56" w:rsidRDefault="0022519B">
            <w:pPr>
              <w:widowControl/>
              <w:jc w:val="left"/>
              <w:textAlignment w:val="center"/>
              <w:rPr>
                <w:rFonts w:ascii="Times New Roman" w:eastAsia="宋体" w:hAnsi="Times New Roman" w:cs="Times New Roman"/>
                <w:color w:val="000000"/>
                <w:kern w:val="0"/>
                <w:sz w:val="20"/>
                <w:szCs w:val="20"/>
                <w:lang w:bidi="ar"/>
              </w:rPr>
            </w:pPr>
            <w:r>
              <w:rPr>
                <w:rFonts w:ascii="Times New Roman" w:eastAsia="宋体" w:hAnsi="Times New Roman" w:cs="Times New Roman"/>
                <w:color w:val="000000"/>
                <w:kern w:val="0"/>
                <w:sz w:val="22"/>
                <w:szCs w:val="22"/>
                <w:lang w:bidi="ar"/>
              </w:rPr>
              <w:t>[-0.562-0.752]</w:t>
            </w:r>
          </w:p>
        </w:tc>
        <w:tc>
          <w:tcPr>
            <w:tcW w:w="1790" w:type="dxa"/>
            <w:tcBorders>
              <w:tl2br w:val="nil"/>
              <w:tr2bl w:val="nil"/>
            </w:tcBorders>
            <w:vAlign w:val="center"/>
          </w:tcPr>
          <w:p w14:paraId="5934A5DF" w14:textId="77777777" w:rsidR="00024F56" w:rsidRDefault="0022519B">
            <w:pPr>
              <w:widowControl/>
              <w:jc w:val="left"/>
              <w:textAlignment w:val="center"/>
              <w:rPr>
                <w:rFonts w:ascii="Times New Roman" w:eastAsia="宋体" w:hAnsi="Times New Roman" w:cs="Times New Roman"/>
                <w:color w:val="000000"/>
                <w:kern w:val="0"/>
                <w:sz w:val="20"/>
                <w:szCs w:val="20"/>
                <w:lang w:bidi="ar"/>
              </w:rPr>
            </w:pPr>
            <w:r>
              <w:rPr>
                <w:rFonts w:ascii="Times New Roman" w:eastAsia="宋体" w:hAnsi="Times New Roman" w:cs="Times New Roman"/>
                <w:color w:val="000000"/>
                <w:kern w:val="0"/>
                <w:sz w:val="22"/>
                <w:szCs w:val="22"/>
                <w:lang w:bidi="ar"/>
              </w:rPr>
              <w:t>[-0.792-0.641]</w:t>
            </w:r>
          </w:p>
        </w:tc>
        <w:tc>
          <w:tcPr>
            <w:tcW w:w="1951" w:type="dxa"/>
            <w:tcBorders>
              <w:tl2br w:val="nil"/>
              <w:tr2bl w:val="nil"/>
            </w:tcBorders>
            <w:vAlign w:val="center"/>
          </w:tcPr>
          <w:p w14:paraId="53CC492E" w14:textId="77777777" w:rsidR="00024F56" w:rsidRDefault="0022519B">
            <w:pPr>
              <w:widowControl/>
              <w:jc w:val="left"/>
              <w:textAlignment w:val="center"/>
              <w:rPr>
                <w:rFonts w:ascii="Times New Roman" w:eastAsia="宋体" w:hAnsi="Times New Roman" w:cs="Times New Roman"/>
                <w:color w:val="000000"/>
                <w:kern w:val="0"/>
                <w:sz w:val="20"/>
                <w:szCs w:val="20"/>
                <w:lang w:bidi="ar"/>
              </w:rPr>
            </w:pPr>
            <w:r>
              <w:rPr>
                <w:rFonts w:ascii="Times New Roman" w:eastAsia="宋体" w:hAnsi="Times New Roman" w:cs="Times New Roman"/>
                <w:color w:val="000000"/>
                <w:kern w:val="0"/>
                <w:sz w:val="22"/>
                <w:szCs w:val="22"/>
                <w:lang w:bidi="ar"/>
              </w:rPr>
              <w:t>[-0.646-0.856]</w:t>
            </w:r>
          </w:p>
        </w:tc>
      </w:tr>
      <w:tr w:rsidR="00024F56" w14:paraId="2FFD0E9E" w14:textId="77777777">
        <w:trPr>
          <w:jc w:val="center"/>
        </w:trPr>
        <w:tc>
          <w:tcPr>
            <w:tcW w:w="913" w:type="dxa"/>
            <w:tcBorders>
              <w:tl2br w:val="nil"/>
              <w:tr2bl w:val="nil"/>
            </w:tcBorders>
            <w:vAlign w:val="center"/>
          </w:tcPr>
          <w:p w14:paraId="77897ED3" w14:textId="77777777" w:rsidR="00024F56" w:rsidRDefault="0022519B">
            <w:pPr>
              <w:widowControl/>
              <w:spacing w:line="480" w:lineRule="auto"/>
              <w:jc w:val="center"/>
              <w:textAlignment w:val="center"/>
              <w:rPr>
                <w:rFonts w:ascii="Times New Roman" w:eastAsia="MingLiU" w:hAnsi="Times New Roman" w:cs="Times New Roman"/>
                <w:color w:val="000000"/>
                <w:kern w:val="0"/>
                <w:sz w:val="20"/>
                <w:szCs w:val="20"/>
              </w:rPr>
            </w:pPr>
            <w:r>
              <w:rPr>
                <w:rFonts w:ascii="Times New Roman" w:eastAsia="宋体" w:hAnsi="Times New Roman" w:cs="Times New Roman"/>
                <w:color w:val="000000"/>
                <w:kern w:val="0"/>
                <w:sz w:val="20"/>
                <w:szCs w:val="20"/>
                <w:lang w:bidi="ar"/>
              </w:rPr>
              <w:t>F3</w:t>
            </w:r>
          </w:p>
        </w:tc>
        <w:tc>
          <w:tcPr>
            <w:tcW w:w="3354" w:type="dxa"/>
            <w:tcBorders>
              <w:tl2br w:val="nil"/>
              <w:tr2bl w:val="nil"/>
            </w:tcBorders>
            <w:vAlign w:val="center"/>
          </w:tcPr>
          <w:p w14:paraId="70D36D2B" w14:textId="77777777" w:rsidR="00024F56" w:rsidRDefault="0022519B">
            <w:pPr>
              <w:widowControl/>
              <w:jc w:val="left"/>
              <w:textAlignment w:val="center"/>
              <w:rPr>
                <w:rFonts w:ascii="Times New Roman" w:eastAsia="MingLiU" w:hAnsi="Times New Roman" w:cs="Times New Roman"/>
                <w:color w:val="000000"/>
                <w:kern w:val="0"/>
                <w:sz w:val="20"/>
                <w:szCs w:val="20"/>
              </w:rPr>
            </w:pPr>
            <w:r>
              <w:rPr>
                <w:rFonts w:ascii="Times New Roman" w:eastAsia="宋体" w:hAnsi="Times New Roman" w:cs="Times New Roman"/>
                <w:color w:val="000000"/>
                <w:kern w:val="0"/>
                <w:sz w:val="22"/>
                <w:szCs w:val="22"/>
                <w:lang w:bidi="ar"/>
              </w:rPr>
              <w:t>PET_wavelet2.HHH_glcm_Correlation</w:t>
            </w:r>
          </w:p>
        </w:tc>
        <w:tc>
          <w:tcPr>
            <w:tcW w:w="1910" w:type="dxa"/>
            <w:tcBorders>
              <w:tl2br w:val="nil"/>
              <w:tr2bl w:val="nil"/>
            </w:tcBorders>
            <w:vAlign w:val="center"/>
          </w:tcPr>
          <w:p w14:paraId="7A100906" w14:textId="77777777" w:rsidR="00024F56" w:rsidRDefault="0022519B">
            <w:pPr>
              <w:widowControl/>
              <w:jc w:val="left"/>
              <w:textAlignment w:val="center"/>
              <w:rPr>
                <w:rFonts w:ascii="Times New Roman" w:eastAsia="宋体" w:hAnsi="Times New Roman" w:cs="Times New Roman"/>
                <w:color w:val="000000"/>
                <w:kern w:val="0"/>
                <w:sz w:val="20"/>
                <w:szCs w:val="20"/>
                <w:lang w:bidi="ar"/>
              </w:rPr>
            </w:pPr>
            <w:r>
              <w:rPr>
                <w:rFonts w:ascii="Times New Roman" w:eastAsia="宋体" w:hAnsi="Times New Roman" w:cs="Times New Roman"/>
                <w:color w:val="000000"/>
                <w:kern w:val="0"/>
                <w:sz w:val="22"/>
                <w:szCs w:val="22"/>
                <w:lang w:bidi="ar"/>
              </w:rPr>
              <w:t>[-0.311-0.562]</w:t>
            </w:r>
          </w:p>
        </w:tc>
        <w:tc>
          <w:tcPr>
            <w:tcW w:w="1790" w:type="dxa"/>
            <w:tcBorders>
              <w:tl2br w:val="nil"/>
              <w:tr2bl w:val="nil"/>
            </w:tcBorders>
            <w:vAlign w:val="center"/>
          </w:tcPr>
          <w:p w14:paraId="54371581" w14:textId="77777777" w:rsidR="00024F56" w:rsidRDefault="0022519B">
            <w:pPr>
              <w:widowControl/>
              <w:jc w:val="left"/>
              <w:textAlignment w:val="center"/>
              <w:rPr>
                <w:rFonts w:ascii="Times New Roman" w:eastAsia="宋体" w:hAnsi="Times New Roman" w:cs="Times New Roman"/>
                <w:color w:val="000000"/>
                <w:kern w:val="0"/>
                <w:sz w:val="20"/>
                <w:szCs w:val="20"/>
                <w:lang w:bidi="ar"/>
              </w:rPr>
            </w:pPr>
            <w:r>
              <w:rPr>
                <w:rFonts w:ascii="Times New Roman" w:eastAsia="宋体" w:hAnsi="Times New Roman" w:cs="Times New Roman"/>
                <w:color w:val="000000"/>
                <w:kern w:val="0"/>
                <w:sz w:val="22"/>
                <w:szCs w:val="22"/>
                <w:lang w:bidi="ar"/>
              </w:rPr>
              <w:t>[-0.344-0.465]</w:t>
            </w:r>
          </w:p>
        </w:tc>
        <w:tc>
          <w:tcPr>
            <w:tcW w:w="1951" w:type="dxa"/>
            <w:tcBorders>
              <w:tl2br w:val="nil"/>
              <w:tr2bl w:val="nil"/>
            </w:tcBorders>
            <w:vAlign w:val="center"/>
          </w:tcPr>
          <w:p w14:paraId="6040C61C" w14:textId="77777777" w:rsidR="00024F56" w:rsidRDefault="0022519B">
            <w:pPr>
              <w:widowControl/>
              <w:jc w:val="left"/>
              <w:textAlignment w:val="center"/>
              <w:rPr>
                <w:rFonts w:ascii="Times New Roman" w:eastAsia="宋体" w:hAnsi="Times New Roman" w:cs="Times New Roman"/>
                <w:color w:val="000000"/>
                <w:kern w:val="0"/>
                <w:sz w:val="20"/>
                <w:szCs w:val="20"/>
                <w:lang w:bidi="ar"/>
              </w:rPr>
            </w:pPr>
            <w:r>
              <w:rPr>
                <w:rFonts w:ascii="Times New Roman" w:eastAsia="宋体" w:hAnsi="Times New Roman" w:cs="Times New Roman"/>
                <w:color w:val="000000"/>
                <w:kern w:val="0"/>
                <w:sz w:val="22"/>
                <w:szCs w:val="22"/>
                <w:lang w:bidi="ar"/>
              </w:rPr>
              <w:t>[-0.454-0.608]</w:t>
            </w:r>
          </w:p>
        </w:tc>
      </w:tr>
      <w:tr w:rsidR="00024F56" w14:paraId="65834D03" w14:textId="77777777">
        <w:trPr>
          <w:jc w:val="center"/>
        </w:trPr>
        <w:tc>
          <w:tcPr>
            <w:tcW w:w="913" w:type="dxa"/>
            <w:tcBorders>
              <w:tl2br w:val="nil"/>
              <w:tr2bl w:val="nil"/>
            </w:tcBorders>
            <w:vAlign w:val="center"/>
          </w:tcPr>
          <w:p w14:paraId="1A269333" w14:textId="77777777" w:rsidR="00024F56" w:rsidRDefault="0022519B">
            <w:pPr>
              <w:widowControl/>
              <w:spacing w:line="480" w:lineRule="auto"/>
              <w:jc w:val="center"/>
              <w:textAlignment w:val="center"/>
              <w:rPr>
                <w:rFonts w:ascii="Times New Roman" w:eastAsia="MingLiU" w:hAnsi="Times New Roman" w:cs="Times New Roman"/>
                <w:color w:val="000000"/>
                <w:kern w:val="0"/>
                <w:sz w:val="20"/>
                <w:szCs w:val="20"/>
              </w:rPr>
            </w:pPr>
            <w:r>
              <w:rPr>
                <w:rFonts w:ascii="Times New Roman" w:eastAsia="宋体" w:hAnsi="Times New Roman" w:cs="Times New Roman"/>
                <w:color w:val="000000"/>
                <w:kern w:val="0"/>
                <w:sz w:val="20"/>
                <w:szCs w:val="20"/>
                <w:lang w:bidi="ar"/>
              </w:rPr>
              <w:t>F4</w:t>
            </w:r>
          </w:p>
        </w:tc>
        <w:tc>
          <w:tcPr>
            <w:tcW w:w="3354" w:type="dxa"/>
            <w:tcBorders>
              <w:tl2br w:val="nil"/>
              <w:tr2bl w:val="nil"/>
            </w:tcBorders>
            <w:vAlign w:val="center"/>
          </w:tcPr>
          <w:p w14:paraId="54E9D029" w14:textId="77777777" w:rsidR="00024F56" w:rsidRDefault="0022519B">
            <w:pPr>
              <w:widowControl/>
              <w:jc w:val="left"/>
              <w:textAlignment w:val="center"/>
              <w:rPr>
                <w:rFonts w:ascii="Times New Roman" w:eastAsia="MingLiU" w:hAnsi="Times New Roman" w:cs="Times New Roman"/>
                <w:color w:val="000000"/>
                <w:kern w:val="0"/>
                <w:sz w:val="20"/>
                <w:szCs w:val="20"/>
              </w:rPr>
            </w:pPr>
            <w:r>
              <w:rPr>
                <w:rFonts w:ascii="Times New Roman" w:eastAsia="宋体" w:hAnsi="Times New Roman" w:cs="Times New Roman"/>
                <w:color w:val="000000"/>
                <w:kern w:val="0"/>
                <w:sz w:val="22"/>
                <w:szCs w:val="22"/>
                <w:lang w:bidi="ar"/>
              </w:rPr>
              <w:t>CT_log.sigma.1.0.mm.3D_glcm_Idmn</w:t>
            </w:r>
          </w:p>
        </w:tc>
        <w:tc>
          <w:tcPr>
            <w:tcW w:w="1910" w:type="dxa"/>
            <w:tcBorders>
              <w:tl2br w:val="nil"/>
              <w:tr2bl w:val="nil"/>
            </w:tcBorders>
            <w:vAlign w:val="center"/>
          </w:tcPr>
          <w:p w14:paraId="28E39D6C" w14:textId="77777777" w:rsidR="00024F56" w:rsidRDefault="0022519B">
            <w:pPr>
              <w:widowControl/>
              <w:jc w:val="left"/>
              <w:textAlignment w:val="center"/>
              <w:rPr>
                <w:rFonts w:ascii="Times New Roman" w:eastAsia="宋体" w:hAnsi="Times New Roman" w:cs="Times New Roman"/>
                <w:color w:val="000000"/>
                <w:kern w:val="0"/>
                <w:sz w:val="20"/>
                <w:szCs w:val="20"/>
                <w:lang w:bidi="ar"/>
              </w:rPr>
            </w:pPr>
            <w:r>
              <w:rPr>
                <w:rFonts w:ascii="Times New Roman" w:eastAsia="宋体" w:hAnsi="Times New Roman" w:cs="Times New Roman"/>
                <w:color w:val="000000"/>
                <w:kern w:val="0"/>
                <w:sz w:val="22"/>
                <w:szCs w:val="22"/>
                <w:lang w:bidi="ar"/>
              </w:rPr>
              <w:t>[-0.509-0.828]</w:t>
            </w:r>
          </w:p>
        </w:tc>
        <w:tc>
          <w:tcPr>
            <w:tcW w:w="1790" w:type="dxa"/>
            <w:tcBorders>
              <w:tl2br w:val="nil"/>
              <w:tr2bl w:val="nil"/>
            </w:tcBorders>
            <w:vAlign w:val="center"/>
          </w:tcPr>
          <w:p w14:paraId="3F1AFA9F" w14:textId="77777777" w:rsidR="00024F56" w:rsidRDefault="0022519B">
            <w:pPr>
              <w:widowControl/>
              <w:jc w:val="left"/>
              <w:textAlignment w:val="center"/>
              <w:rPr>
                <w:rFonts w:ascii="Times New Roman" w:eastAsia="宋体" w:hAnsi="Times New Roman" w:cs="Times New Roman"/>
                <w:color w:val="000000"/>
                <w:kern w:val="0"/>
                <w:sz w:val="20"/>
                <w:szCs w:val="20"/>
                <w:lang w:bidi="ar"/>
              </w:rPr>
            </w:pPr>
            <w:r>
              <w:rPr>
                <w:rFonts w:ascii="Times New Roman" w:eastAsia="宋体" w:hAnsi="Times New Roman" w:cs="Times New Roman"/>
                <w:color w:val="000000"/>
                <w:kern w:val="0"/>
                <w:sz w:val="22"/>
                <w:szCs w:val="22"/>
                <w:lang w:bidi="ar"/>
              </w:rPr>
              <w:t>[-0.863-0.651]</w:t>
            </w:r>
          </w:p>
        </w:tc>
        <w:tc>
          <w:tcPr>
            <w:tcW w:w="1951" w:type="dxa"/>
            <w:tcBorders>
              <w:tl2br w:val="nil"/>
              <w:tr2bl w:val="nil"/>
            </w:tcBorders>
            <w:vAlign w:val="center"/>
          </w:tcPr>
          <w:p w14:paraId="090D7D0F" w14:textId="77777777" w:rsidR="00024F56" w:rsidRDefault="0022519B">
            <w:pPr>
              <w:widowControl/>
              <w:jc w:val="left"/>
              <w:textAlignment w:val="center"/>
              <w:rPr>
                <w:rFonts w:ascii="Times New Roman" w:eastAsia="宋体" w:hAnsi="Times New Roman" w:cs="Times New Roman"/>
                <w:color w:val="000000"/>
                <w:kern w:val="0"/>
                <w:sz w:val="20"/>
                <w:szCs w:val="20"/>
                <w:lang w:bidi="ar"/>
              </w:rPr>
            </w:pPr>
            <w:r>
              <w:rPr>
                <w:rFonts w:ascii="Times New Roman" w:eastAsia="宋体" w:hAnsi="Times New Roman" w:cs="Times New Roman"/>
                <w:color w:val="000000"/>
                <w:kern w:val="0"/>
                <w:sz w:val="22"/>
                <w:szCs w:val="22"/>
                <w:lang w:bidi="ar"/>
              </w:rPr>
              <w:t>[-0.428-0.777]</w:t>
            </w:r>
          </w:p>
        </w:tc>
      </w:tr>
      <w:tr w:rsidR="00024F56" w14:paraId="4B624C5B" w14:textId="77777777">
        <w:trPr>
          <w:trHeight w:val="90"/>
          <w:jc w:val="center"/>
        </w:trPr>
        <w:tc>
          <w:tcPr>
            <w:tcW w:w="913" w:type="dxa"/>
            <w:tcBorders>
              <w:tl2br w:val="nil"/>
              <w:tr2bl w:val="nil"/>
            </w:tcBorders>
            <w:vAlign w:val="center"/>
          </w:tcPr>
          <w:p w14:paraId="792E5E81" w14:textId="77777777" w:rsidR="00024F56" w:rsidRDefault="0022519B">
            <w:pPr>
              <w:widowControl/>
              <w:spacing w:line="480" w:lineRule="auto"/>
              <w:jc w:val="center"/>
              <w:textAlignment w:val="center"/>
              <w:rPr>
                <w:rFonts w:ascii="Times New Roman" w:eastAsia="MingLiU" w:hAnsi="Times New Roman" w:cs="Times New Roman"/>
                <w:color w:val="000000"/>
                <w:kern w:val="0"/>
                <w:sz w:val="20"/>
                <w:szCs w:val="20"/>
              </w:rPr>
            </w:pPr>
            <w:r>
              <w:rPr>
                <w:rFonts w:ascii="Times New Roman" w:eastAsia="宋体" w:hAnsi="Times New Roman" w:cs="Times New Roman"/>
                <w:color w:val="000000"/>
                <w:kern w:val="0"/>
                <w:sz w:val="20"/>
                <w:szCs w:val="20"/>
                <w:lang w:bidi="ar"/>
              </w:rPr>
              <w:t>F5</w:t>
            </w:r>
          </w:p>
        </w:tc>
        <w:tc>
          <w:tcPr>
            <w:tcW w:w="3354" w:type="dxa"/>
            <w:tcBorders>
              <w:tl2br w:val="nil"/>
              <w:tr2bl w:val="nil"/>
            </w:tcBorders>
            <w:vAlign w:val="center"/>
          </w:tcPr>
          <w:p w14:paraId="02EC62B8" w14:textId="77777777" w:rsidR="00024F56" w:rsidRDefault="0022519B">
            <w:pPr>
              <w:widowControl/>
              <w:jc w:val="left"/>
              <w:textAlignment w:val="center"/>
              <w:rPr>
                <w:rFonts w:ascii="Times New Roman" w:eastAsia="MingLiU" w:hAnsi="Times New Roman" w:cs="Times New Roman"/>
                <w:color w:val="000000"/>
                <w:kern w:val="0"/>
                <w:sz w:val="20"/>
                <w:szCs w:val="20"/>
              </w:rPr>
            </w:pPr>
            <w:r>
              <w:rPr>
                <w:rFonts w:ascii="Times New Roman" w:eastAsia="宋体" w:hAnsi="Times New Roman" w:cs="Times New Roman"/>
                <w:color w:val="000000"/>
                <w:kern w:val="0"/>
                <w:sz w:val="22"/>
                <w:szCs w:val="22"/>
                <w:lang w:bidi="ar"/>
              </w:rPr>
              <w:t>CT_log.sigma.1.0.mm.3D_firstorder_10Percentile</w:t>
            </w:r>
          </w:p>
        </w:tc>
        <w:tc>
          <w:tcPr>
            <w:tcW w:w="1910" w:type="dxa"/>
            <w:tcBorders>
              <w:tl2br w:val="nil"/>
              <w:tr2bl w:val="nil"/>
            </w:tcBorders>
            <w:vAlign w:val="center"/>
          </w:tcPr>
          <w:p w14:paraId="4193D707" w14:textId="77777777" w:rsidR="00024F56" w:rsidRDefault="0022519B">
            <w:pPr>
              <w:widowControl/>
              <w:jc w:val="left"/>
              <w:textAlignment w:val="center"/>
              <w:rPr>
                <w:rFonts w:ascii="Times New Roman" w:eastAsia="宋体" w:hAnsi="Times New Roman" w:cs="Times New Roman"/>
                <w:color w:val="000000"/>
                <w:kern w:val="0"/>
                <w:sz w:val="20"/>
                <w:szCs w:val="20"/>
                <w:lang w:bidi="ar"/>
              </w:rPr>
            </w:pPr>
            <w:r>
              <w:rPr>
                <w:rFonts w:ascii="Times New Roman" w:eastAsia="宋体" w:hAnsi="Times New Roman" w:cs="Times New Roman"/>
                <w:color w:val="000000"/>
                <w:kern w:val="0"/>
                <w:sz w:val="22"/>
                <w:szCs w:val="22"/>
                <w:lang w:bidi="ar"/>
              </w:rPr>
              <w:t>[-0.559-0.746]</w:t>
            </w:r>
          </w:p>
        </w:tc>
        <w:tc>
          <w:tcPr>
            <w:tcW w:w="1790" w:type="dxa"/>
            <w:tcBorders>
              <w:tl2br w:val="nil"/>
              <w:tr2bl w:val="nil"/>
            </w:tcBorders>
            <w:vAlign w:val="center"/>
          </w:tcPr>
          <w:p w14:paraId="5FAD0B7F" w14:textId="77777777" w:rsidR="00024F56" w:rsidRDefault="0022519B">
            <w:pPr>
              <w:widowControl/>
              <w:jc w:val="left"/>
              <w:textAlignment w:val="center"/>
              <w:rPr>
                <w:rFonts w:ascii="Times New Roman" w:eastAsia="宋体" w:hAnsi="Times New Roman" w:cs="Times New Roman"/>
                <w:color w:val="000000"/>
                <w:kern w:val="0"/>
                <w:sz w:val="20"/>
                <w:szCs w:val="20"/>
                <w:lang w:bidi="ar"/>
              </w:rPr>
            </w:pPr>
            <w:r>
              <w:rPr>
                <w:rFonts w:ascii="Times New Roman" w:eastAsia="宋体" w:hAnsi="Times New Roman" w:cs="Times New Roman"/>
                <w:color w:val="000000"/>
                <w:kern w:val="0"/>
                <w:sz w:val="22"/>
                <w:szCs w:val="22"/>
                <w:lang w:bidi="ar"/>
              </w:rPr>
              <w:t>[-0.566-0.397]</w:t>
            </w:r>
          </w:p>
        </w:tc>
        <w:tc>
          <w:tcPr>
            <w:tcW w:w="1951" w:type="dxa"/>
            <w:tcBorders>
              <w:tl2br w:val="nil"/>
              <w:tr2bl w:val="nil"/>
            </w:tcBorders>
            <w:vAlign w:val="center"/>
          </w:tcPr>
          <w:p w14:paraId="0C9F03D2" w14:textId="77777777" w:rsidR="00024F56" w:rsidRDefault="0022519B">
            <w:pPr>
              <w:widowControl/>
              <w:jc w:val="left"/>
              <w:textAlignment w:val="center"/>
              <w:rPr>
                <w:rFonts w:ascii="Times New Roman" w:eastAsia="宋体" w:hAnsi="Times New Roman" w:cs="Times New Roman"/>
                <w:color w:val="000000"/>
                <w:kern w:val="0"/>
                <w:sz w:val="20"/>
                <w:szCs w:val="20"/>
                <w:lang w:bidi="ar"/>
              </w:rPr>
            </w:pPr>
            <w:r>
              <w:rPr>
                <w:rFonts w:ascii="Times New Roman" w:eastAsia="宋体" w:hAnsi="Times New Roman" w:cs="Times New Roman"/>
                <w:color w:val="000000"/>
                <w:kern w:val="0"/>
                <w:sz w:val="22"/>
                <w:szCs w:val="22"/>
                <w:lang w:bidi="ar"/>
              </w:rPr>
              <w:t>[-0.576-0.580]</w:t>
            </w:r>
          </w:p>
        </w:tc>
      </w:tr>
      <w:tr w:rsidR="00024F56" w14:paraId="48E1C107" w14:textId="77777777">
        <w:trPr>
          <w:jc w:val="center"/>
        </w:trPr>
        <w:tc>
          <w:tcPr>
            <w:tcW w:w="913" w:type="dxa"/>
            <w:tcBorders>
              <w:tl2br w:val="nil"/>
              <w:tr2bl w:val="nil"/>
            </w:tcBorders>
            <w:vAlign w:val="center"/>
          </w:tcPr>
          <w:p w14:paraId="15181A53" w14:textId="77777777" w:rsidR="00024F56" w:rsidRDefault="0022519B">
            <w:pPr>
              <w:widowControl/>
              <w:spacing w:line="480" w:lineRule="auto"/>
              <w:jc w:val="center"/>
              <w:textAlignment w:val="center"/>
              <w:rPr>
                <w:rFonts w:ascii="Times New Roman" w:eastAsia="MingLiU" w:hAnsi="Times New Roman" w:cs="Times New Roman"/>
                <w:color w:val="000000"/>
                <w:kern w:val="0"/>
                <w:sz w:val="20"/>
                <w:szCs w:val="20"/>
              </w:rPr>
            </w:pPr>
            <w:r>
              <w:rPr>
                <w:rFonts w:ascii="Times New Roman" w:eastAsia="宋体" w:hAnsi="Times New Roman" w:cs="Times New Roman"/>
                <w:color w:val="000000"/>
                <w:kern w:val="0"/>
                <w:sz w:val="20"/>
                <w:szCs w:val="20"/>
                <w:lang w:bidi="ar"/>
              </w:rPr>
              <w:t>F6</w:t>
            </w:r>
          </w:p>
        </w:tc>
        <w:tc>
          <w:tcPr>
            <w:tcW w:w="3354" w:type="dxa"/>
            <w:tcBorders>
              <w:tl2br w:val="nil"/>
              <w:tr2bl w:val="nil"/>
            </w:tcBorders>
            <w:vAlign w:val="center"/>
          </w:tcPr>
          <w:p w14:paraId="58B69EC5" w14:textId="77777777" w:rsidR="00024F56" w:rsidRDefault="0022519B">
            <w:pPr>
              <w:widowControl/>
              <w:jc w:val="left"/>
              <w:textAlignment w:val="center"/>
              <w:rPr>
                <w:rFonts w:ascii="Times New Roman" w:eastAsia="MingLiU" w:hAnsi="Times New Roman" w:cs="Times New Roman"/>
                <w:color w:val="000000"/>
                <w:kern w:val="0"/>
                <w:sz w:val="20"/>
                <w:szCs w:val="20"/>
              </w:rPr>
            </w:pPr>
            <w:r>
              <w:rPr>
                <w:rFonts w:ascii="Times New Roman" w:eastAsia="宋体" w:hAnsi="Times New Roman" w:cs="Times New Roman"/>
                <w:color w:val="000000"/>
                <w:kern w:val="0"/>
                <w:sz w:val="22"/>
                <w:szCs w:val="22"/>
                <w:lang w:bidi="ar"/>
              </w:rPr>
              <w:t>CT_log.sigma.1.0.mm.3D_glcm_JointAverage</w:t>
            </w:r>
          </w:p>
        </w:tc>
        <w:tc>
          <w:tcPr>
            <w:tcW w:w="1910" w:type="dxa"/>
            <w:tcBorders>
              <w:tl2br w:val="nil"/>
              <w:tr2bl w:val="nil"/>
            </w:tcBorders>
            <w:vAlign w:val="center"/>
          </w:tcPr>
          <w:p w14:paraId="70F5C361" w14:textId="77777777" w:rsidR="00024F56" w:rsidRDefault="0022519B">
            <w:pPr>
              <w:widowControl/>
              <w:jc w:val="left"/>
              <w:textAlignment w:val="center"/>
              <w:rPr>
                <w:rFonts w:ascii="Times New Roman" w:eastAsia="宋体" w:hAnsi="Times New Roman" w:cs="Times New Roman"/>
                <w:color w:val="000000"/>
                <w:kern w:val="0"/>
                <w:sz w:val="20"/>
                <w:szCs w:val="20"/>
                <w:lang w:bidi="ar"/>
              </w:rPr>
            </w:pPr>
            <w:r>
              <w:rPr>
                <w:rFonts w:ascii="Times New Roman" w:eastAsia="宋体" w:hAnsi="Times New Roman" w:cs="Times New Roman"/>
                <w:color w:val="000000"/>
                <w:kern w:val="0"/>
                <w:sz w:val="22"/>
                <w:szCs w:val="22"/>
                <w:lang w:bidi="ar"/>
              </w:rPr>
              <w:t>[-0.540-0.481]</w:t>
            </w:r>
          </w:p>
        </w:tc>
        <w:tc>
          <w:tcPr>
            <w:tcW w:w="1790" w:type="dxa"/>
            <w:tcBorders>
              <w:tl2br w:val="nil"/>
              <w:tr2bl w:val="nil"/>
            </w:tcBorders>
            <w:vAlign w:val="center"/>
          </w:tcPr>
          <w:p w14:paraId="1F555BF2" w14:textId="77777777" w:rsidR="00024F56" w:rsidRDefault="0022519B">
            <w:pPr>
              <w:widowControl/>
              <w:jc w:val="left"/>
              <w:textAlignment w:val="center"/>
              <w:rPr>
                <w:rFonts w:ascii="Times New Roman" w:eastAsia="宋体" w:hAnsi="Times New Roman" w:cs="Times New Roman"/>
                <w:color w:val="000000"/>
                <w:kern w:val="0"/>
                <w:sz w:val="20"/>
                <w:szCs w:val="20"/>
                <w:lang w:bidi="ar"/>
              </w:rPr>
            </w:pPr>
            <w:r>
              <w:rPr>
                <w:rFonts w:ascii="Times New Roman" w:eastAsia="宋体" w:hAnsi="Times New Roman" w:cs="Times New Roman"/>
                <w:color w:val="000000"/>
                <w:kern w:val="0"/>
                <w:sz w:val="22"/>
                <w:szCs w:val="22"/>
                <w:lang w:bidi="ar"/>
              </w:rPr>
              <w:t>[-0.861-0.515]</w:t>
            </w:r>
          </w:p>
        </w:tc>
        <w:tc>
          <w:tcPr>
            <w:tcW w:w="1951" w:type="dxa"/>
            <w:tcBorders>
              <w:tl2br w:val="nil"/>
              <w:tr2bl w:val="nil"/>
            </w:tcBorders>
            <w:vAlign w:val="center"/>
          </w:tcPr>
          <w:p w14:paraId="28B5288F" w14:textId="77777777" w:rsidR="00024F56" w:rsidRDefault="0022519B">
            <w:pPr>
              <w:widowControl/>
              <w:jc w:val="left"/>
              <w:textAlignment w:val="center"/>
              <w:rPr>
                <w:rFonts w:ascii="Times New Roman" w:eastAsia="宋体" w:hAnsi="Times New Roman" w:cs="Times New Roman"/>
                <w:color w:val="000000"/>
                <w:kern w:val="0"/>
                <w:sz w:val="20"/>
                <w:szCs w:val="20"/>
                <w:lang w:bidi="ar"/>
              </w:rPr>
            </w:pPr>
            <w:r>
              <w:rPr>
                <w:rFonts w:ascii="Times New Roman" w:eastAsia="宋体" w:hAnsi="Times New Roman" w:cs="Times New Roman"/>
                <w:color w:val="000000"/>
                <w:kern w:val="0"/>
                <w:sz w:val="22"/>
                <w:szCs w:val="22"/>
                <w:lang w:bidi="ar"/>
              </w:rPr>
              <w:t>[-0.550-0.556]</w:t>
            </w:r>
          </w:p>
        </w:tc>
      </w:tr>
      <w:tr w:rsidR="00024F56" w14:paraId="77AE948A" w14:textId="77777777">
        <w:trPr>
          <w:jc w:val="center"/>
        </w:trPr>
        <w:tc>
          <w:tcPr>
            <w:tcW w:w="913" w:type="dxa"/>
            <w:tcBorders>
              <w:tl2br w:val="nil"/>
              <w:tr2bl w:val="nil"/>
            </w:tcBorders>
            <w:vAlign w:val="center"/>
          </w:tcPr>
          <w:p w14:paraId="17B70389" w14:textId="77777777" w:rsidR="00024F56" w:rsidRDefault="0022519B">
            <w:pPr>
              <w:widowControl/>
              <w:spacing w:line="480" w:lineRule="auto"/>
              <w:jc w:val="center"/>
              <w:textAlignment w:val="center"/>
              <w:rPr>
                <w:rFonts w:ascii="Times New Roman" w:eastAsia="MingLiU" w:hAnsi="Times New Roman" w:cs="Times New Roman"/>
                <w:color w:val="000000"/>
                <w:kern w:val="0"/>
                <w:sz w:val="20"/>
                <w:szCs w:val="20"/>
              </w:rPr>
            </w:pPr>
            <w:r>
              <w:rPr>
                <w:rFonts w:ascii="Times New Roman" w:eastAsia="宋体" w:hAnsi="Times New Roman" w:cs="Times New Roman"/>
                <w:color w:val="000000"/>
                <w:kern w:val="0"/>
                <w:sz w:val="20"/>
                <w:szCs w:val="20"/>
                <w:lang w:bidi="ar"/>
              </w:rPr>
              <w:t>F7</w:t>
            </w:r>
          </w:p>
        </w:tc>
        <w:tc>
          <w:tcPr>
            <w:tcW w:w="3354" w:type="dxa"/>
            <w:tcBorders>
              <w:tl2br w:val="nil"/>
              <w:tr2bl w:val="nil"/>
            </w:tcBorders>
            <w:vAlign w:val="center"/>
          </w:tcPr>
          <w:p w14:paraId="630F5803" w14:textId="77777777" w:rsidR="00024F56" w:rsidRDefault="0022519B">
            <w:pPr>
              <w:widowControl/>
              <w:jc w:val="left"/>
              <w:textAlignment w:val="center"/>
              <w:rPr>
                <w:rFonts w:ascii="Times New Roman" w:eastAsia="MingLiU" w:hAnsi="Times New Roman" w:cs="Times New Roman"/>
                <w:color w:val="000000"/>
                <w:kern w:val="0"/>
                <w:sz w:val="20"/>
                <w:szCs w:val="20"/>
              </w:rPr>
            </w:pPr>
            <w:r>
              <w:rPr>
                <w:rFonts w:ascii="Times New Roman" w:eastAsia="宋体" w:hAnsi="Times New Roman" w:cs="Times New Roman"/>
                <w:color w:val="000000"/>
                <w:kern w:val="0"/>
                <w:sz w:val="22"/>
                <w:szCs w:val="22"/>
                <w:lang w:bidi="ar"/>
              </w:rPr>
              <w:t>PET_lbp.3</w:t>
            </w:r>
            <w:proofErr w:type="gramStart"/>
            <w:r>
              <w:rPr>
                <w:rFonts w:ascii="Times New Roman" w:eastAsia="宋体" w:hAnsi="Times New Roman" w:cs="Times New Roman"/>
                <w:color w:val="000000"/>
                <w:kern w:val="0"/>
                <w:sz w:val="22"/>
                <w:szCs w:val="22"/>
                <w:lang w:bidi="ar"/>
              </w:rPr>
              <w:t>D.k</w:t>
            </w:r>
            <w:proofErr w:type="gramEnd"/>
            <w:r>
              <w:rPr>
                <w:rFonts w:ascii="Times New Roman" w:eastAsia="宋体" w:hAnsi="Times New Roman" w:cs="Times New Roman"/>
                <w:color w:val="000000"/>
                <w:kern w:val="0"/>
                <w:sz w:val="22"/>
                <w:szCs w:val="22"/>
                <w:lang w:bidi="ar"/>
              </w:rPr>
              <w:t>_glrlm_RunLengthNonUniformity</w:t>
            </w:r>
          </w:p>
        </w:tc>
        <w:tc>
          <w:tcPr>
            <w:tcW w:w="1910" w:type="dxa"/>
            <w:tcBorders>
              <w:tl2br w:val="nil"/>
              <w:tr2bl w:val="nil"/>
            </w:tcBorders>
            <w:vAlign w:val="center"/>
          </w:tcPr>
          <w:p w14:paraId="5EB06299" w14:textId="77777777" w:rsidR="00024F56" w:rsidRDefault="0022519B">
            <w:pPr>
              <w:widowControl/>
              <w:jc w:val="left"/>
              <w:textAlignment w:val="center"/>
              <w:rPr>
                <w:rFonts w:ascii="Times New Roman" w:eastAsia="宋体" w:hAnsi="Times New Roman" w:cs="Times New Roman"/>
                <w:color w:val="000000"/>
                <w:kern w:val="0"/>
                <w:sz w:val="20"/>
                <w:szCs w:val="20"/>
                <w:lang w:bidi="ar"/>
              </w:rPr>
            </w:pPr>
            <w:r>
              <w:rPr>
                <w:rFonts w:ascii="Times New Roman" w:eastAsia="宋体" w:hAnsi="Times New Roman" w:cs="Times New Roman"/>
                <w:color w:val="000000"/>
                <w:kern w:val="0"/>
                <w:sz w:val="22"/>
                <w:szCs w:val="22"/>
                <w:lang w:bidi="ar"/>
              </w:rPr>
              <w:t>[-0.521-0.101]</w:t>
            </w:r>
          </w:p>
        </w:tc>
        <w:tc>
          <w:tcPr>
            <w:tcW w:w="1790" w:type="dxa"/>
            <w:tcBorders>
              <w:tl2br w:val="nil"/>
              <w:tr2bl w:val="nil"/>
            </w:tcBorders>
            <w:vAlign w:val="center"/>
          </w:tcPr>
          <w:p w14:paraId="2FC37CEC" w14:textId="77777777" w:rsidR="00024F56" w:rsidRDefault="0022519B">
            <w:pPr>
              <w:widowControl/>
              <w:jc w:val="left"/>
              <w:textAlignment w:val="center"/>
              <w:rPr>
                <w:rFonts w:ascii="Times New Roman" w:eastAsia="宋体" w:hAnsi="Times New Roman" w:cs="Times New Roman"/>
                <w:color w:val="000000"/>
                <w:kern w:val="0"/>
                <w:sz w:val="20"/>
                <w:szCs w:val="20"/>
                <w:lang w:bidi="ar"/>
              </w:rPr>
            </w:pPr>
            <w:r>
              <w:rPr>
                <w:rFonts w:ascii="Times New Roman" w:eastAsia="宋体" w:hAnsi="Times New Roman" w:cs="Times New Roman"/>
                <w:color w:val="000000"/>
                <w:kern w:val="0"/>
                <w:sz w:val="22"/>
                <w:szCs w:val="22"/>
                <w:lang w:bidi="ar"/>
              </w:rPr>
              <w:t>[-0.522-0.157]</w:t>
            </w:r>
          </w:p>
        </w:tc>
        <w:tc>
          <w:tcPr>
            <w:tcW w:w="1951" w:type="dxa"/>
            <w:tcBorders>
              <w:tl2br w:val="nil"/>
              <w:tr2bl w:val="nil"/>
            </w:tcBorders>
            <w:vAlign w:val="center"/>
          </w:tcPr>
          <w:p w14:paraId="799C2E71" w14:textId="77777777" w:rsidR="00024F56" w:rsidRDefault="0022519B">
            <w:pPr>
              <w:widowControl/>
              <w:jc w:val="left"/>
              <w:textAlignment w:val="center"/>
              <w:rPr>
                <w:rFonts w:ascii="Times New Roman" w:eastAsia="宋体" w:hAnsi="Times New Roman" w:cs="Times New Roman"/>
                <w:color w:val="000000"/>
                <w:kern w:val="0"/>
                <w:sz w:val="20"/>
                <w:szCs w:val="20"/>
                <w:lang w:bidi="ar"/>
              </w:rPr>
            </w:pPr>
            <w:r>
              <w:rPr>
                <w:rFonts w:ascii="Times New Roman" w:eastAsia="宋体" w:hAnsi="Times New Roman" w:cs="Times New Roman"/>
                <w:color w:val="000000"/>
                <w:kern w:val="0"/>
                <w:sz w:val="22"/>
                <w:szCs w:val="22"/>
                <w:lang w:bidi="ar"/>
              </w:rPr>
              <w:t>[-0.448-0.113]</w:t>
            </w:r>
          </w:p>
        </w:tc>
      </w:tr>
      <w:tr w:rsidR="00024F56" w14:paraId="3BCA8077" w14:textId="77777777">
        <w:trPr>
          <w:jc w:val="center"/>
        </w:trPr>
        <w:tc>
          <w:tcPr>
            <w:tcW w:w="913" w:type="dxa"/>
            <w:tcBorders>
              <w:tl2br w:val="nil"/>
              <w:tr2bl w:val="nil"/>
            </w:tcBorders>
            <w:vAlign w:val="center"/>
          </w:tcPr>
          <w:p w14:paraId="7F857D1F" w14:textId="77777777" w:rsidR="00024F56" w:rsidRDefault="0022519B">
            <w:pPr>
              <w:widowControl/>
              <w:spacing w:line="480" w:lineRule="auto"/>
              <w:jc w:val="center"/>
              <w:textAlignment w:val="center"/>
              <w:rPr>
                <w:rFonts w:ascii="Times New Roman" w:eastAsia="MingLiU" w:hAnsi="Times New Roman" w:cs="Times New Roman"/>
                <w:color w:val="000000"/>
                <w:kern w:val="0"/>
                <w:sz w:val="20"/>
                <w:szCs w:val="20"/>
              </w:rPr>
            </w:pPr>
            <w:r>
              <w:rPr>
                <w:rFonts w:ascii="Times New Roman" w:eastAsia="宋体" w:hAnsi="Times New Roman" w:cs="Times New Roman"/>
                <w:color w:val="000000"/>
                <w:kern w:val="0"/>
                <w:sz w:val="20"/>
                <w:szCs w:val="20"/>
                <w:lang w:bidi="ar"/>
              </w:rPr>
              <w:t>F8</w:t>
            </w:r>
          </w:p>
        </w:tc>
        <w:tc>
          <w:tcPr>
            <w:tcW w:w="3354" w:type="dxa"/>
            <w:tcBorders>
              <w:tl2br w:val="nil"/>
              <w:tr2bl w:val="nil"/>
            </w:tcBorders>
            <w:vAlign w:val="center"/>
          </w:tcPr>
          <w:p w14:paraId="3F1E0C5E" w14:textId="77777777" w:rsidR="00024F56" w:rsidRDefault="0022519B">
            <w:pPr>
              <w:widowControl/>
              <w:jc w:val="left"/>
              <w:textAlignment w:val="center"/>
              <w:rPr>
                <w:rFonts w:ascii="Times New Roman" w:eastAsia="MingLiU" w:hAnsi="Times New Roman" w:cs="Times New Roman"/>
                <w:color w:val="000000"/>
                <w:kern w:val="0"/>
                <w:sz w:val="20"/>
                <w:szCs w:val="20"/>
              </w:rPr>
            </w:pPr>
            <w:r>
              <w:rPr>
                <w:rFonts w:ascii="Times New Roman" w:eastAsia="宋体" w:hAnsi="Times New Roman" w:cs="Times New Roman"/>
                <w:color w:val="000000"/>
                <w:kern w:val="0"/>
                <w:sz w:val="22"/>
                <w:szCs w:val="22"/>
                <w:lang w:bidi="ar"/>
              </w:rPr>
              <w:t>PET_square_glcm_Idn</w:t>
            </w:r>
          </w:p>
        </w:tc>
        <w:tc>
          <w:tcPr>
            <w:tcW w:w="1910" w:type="dxa"/>
            <w:tcBorders>
              <w:tl2br w:val="nil"/>
              <w:tr2bl w:val="nil"/>
            </w:tcBorders>
            <w:vAlign w:val="center"/>
          </w:tcPr>
          <w:p w14:paraId="7ECD4098" w14:textId="77777777" w:rsidR="00024F56" w:rsidRDefault="0022519B">
            <w:pPr>
              <w:widowControl/>
              <w:jc w:val="left"/>
              <w:textAlignment w:val="center"/>
              <w:rPr>
                <w:rFonts w:ascii="Times New Roman" w:eastAsia="宋体" w:hAnsi="Times New Roman" w:cs="Times New Roman"/>
                <w:color w:val="000000"/>
                <w:kern w:val="0"/>
                <w:sz w:val="20"/>
                <w:szCs w:val="20"/>
                <w:lang w:bidi="ar"/>
              </w:rPr>
            </w:pPr>
            <w:r>
              <w:rPr>
                <w:rFonts w:ascii="Times New Roman" w:eastAsia="宋体" w:hAnsi="Times New Roman" w:cs="Times New Roman"/>
                <w:color w:val="000000"/>
                <w:kern w:val="0"/>
                <w:sz w:val="22"/>
                <w:szCs w:val="22"/>
                <w:lang w:bidi="ar"/>
              </w:rPr>
              <w:t>[-0.686-0.708]</w:t>
            </w:r>
          </w:p>
        </w:tc>
        <w:tc>
          <w:tcPr>
            <w:tcW w:w="1790" w:type="dxa"/>
            <w:tcBorders>
              <w:tl2br w:val="nil"/>
              <w:tr2bl w:val="nil"/>
            </w:tcBorders>
            <w:vAlign w:val="center"/>
          </w:tcPr>
          <w:p w14:paraId="23340E3E" w14:textId="77777777" w:rsidR="00024F56" w:rsidRDefault="0022519B">
            <w:pPr>
              <w:widowControl/>
              <w:jc w:val="left"/>
              <w:textAlignment w:val="center"/>
              <w:rPr>
                <w:rFonts w:ascii="Times New Roman" w:eastAsia="宋体" w:hAnsi="Times New Roman" w:cs="Times New Roman"/>
                <w:color w:val="000000"/>
                <w:kern w:val="0"/>
                <w:sz w:val="20"/>
                <w:szCs w:val="20"/>
                <w:lang w:bidi="ar"/>
              </w:rPr>
            </w:pPr>
            <w:r>
              <w:rPr>
                <w:rFonts w:ascii="Times New Roman" w:eastAsia="宋体" w:hAnsi="Times New Roman" w:cs="Times New Roman"/>
                <w:color w:val="000000"/>
                <w:kern w:val="0"/>
                <w:sz w:val="22"/>
                <w:szCs w:val="22"/>
                <w:lang w:bidi="ar"/>
              </w:rPr>
              <w:t>[-0.679-0.760]</w:t>
            </w:r>
          </w:p>
        </w:tc>
        <w:tc>
          <w:tcPr>
            <w:tcW w:w="1951" w:type="dxa"/>
            <w:tcBorders>
              <w:tl2br w:val="nil"/>
              <w:tr2bl w:val="nil"/>
            </w:tcBorders>
            <w:vAlign w:val="center"/>
          </w:tcPr>
          <w:p w14:paraId="1F13204A" w14:textId="77777777" w:rsidR="00024F56" w:rsidRDefault="0022519B">
            <w:pPr>
              <w:widowControl/>
              <w:jc w:val="left"/>
              <w:textAlignment w:val="center"/>
              <w:rPr>
                <w:rFonts w:ascii="Times New Roman" w:eastAsia="宋体" w:hAnsi="Times New Roman" w:cs="Times New Roman"/>
                <w:color w:val="000000"/>
                <w:kern w:val="0"/>
                <w:sz w:val="20"/>
                <w:szCs w:val="20"/>
                <w:lang w:bidi="ar"/>
              </w:rPr>
            </w:pPr>
            <w:r>
              <w:rPr>
                <w:rFonts w:ascii="Times New Roman" w:eastAsia="宋体" w:hAnsi="Times New Roman" w:cs="Times New Roman"/>
                <w:color w:val="000000"/>
                <w:kern w:val="0"/>
                <w:sz w:val="22"/>
                <w:szCs w:val="22"/>
                <w:lang w:bidi="ar"/>
              </w:rPr>
              <w:t>[-0.547-0.677]</w:t>
            </w:r>
          </w:p>
        </w:tc>
      </w:tr>
      <w:bookmarkEnd w:id="11"/>
      <w:bookmarkEnd w:id="12"/>
    </w:tbl>
    <w:p w14:paraId="62AF16F1" w14:textId="77777777" w:rsidR="00024F56" w:rsidRDefault="00024F56">
      <w:pPr>
        <w:spacing w:line="480" w:lineRule="auto"/>
        <w:rPr>
          <w:rFonts w:ascii="Times New Roman" w:eastAsia="等线" w:hAnsi="Times New Roman" w:cs="Times New Roman"/>
          <w:sz w:val="20"/>
          <w:szCs w:val="20"/>
        </w:rPr>
      </w:pPr>
    </w:p>
    <w:p w14:paraId="721000DA" w14:textId="77777777" w:rsidR="00024F56" w:rsidRDefault="0022519B">
      <w:pPr>
        <w:keepNext/>
        <w:keepLines/>
        <w:spacing w:line="480" w:lineRule="auto"/>
        <w:jc w:val="center"/>
        <w:outlineLvl w:val="1"/>
        <w:rPr>
          <w:rFonts w:ascii="Times New Roman" w:eastAsia="黑体" w:hAnsi="Times New Roman" w:cs="Times New Roman"/>
          <w:b/>
          <w:sz w:val="20"/>
          <w:szCs w:val="20"/>
        </w:rPr>
      </w:pPr>
      <w:r>
        <w:rPr>
          <w:rFonts w:ascii="Times New Roman" w:eastAsia="黑体" w:hAnsi="Times New Roman" w:cs="Times New Roman"/>
          <w:b/>
          <w:sz w:val="20"/>
          <w:szCs w:val="20"/>
        </w:rPr>
        <w:t xml:space="preserve">Table </w:t>
      </w:r>
      <w:r>
        <w:rPr>
          <w:rFonts w:ascii="Times New Roman" w:eastAsia="黑体" w:hAnsi="Times New Roman" w:cs="Times New Roman" w:hint="eastAsia"/>
          <w:b/>
          <w:sz w:val="20"/>
          <w:szCs w:val="20"/>
        </w:rPr>
        <w:t>S</w:t>
      </w:r>
      <w:r>
        <w:rPr>
          <w:rFonts w:ascii="Times New Roman" w:eastAsia="黑体" w:hAnsi="Times New Roman" w:cs="Times New Roman" w:hint="eastAsia"/>
          <w:b/>
          <w:sz w:val="20"/>
          <w:szCs w:val="20"/>
        </w:rPr>
        <w:t>6</w:t>
      </w:r>
      <w:r>
        <w:rPr>
          <w:rFonts w:ascii="Times New Roman" w:eastAsia="黑体" w:hAnsi="Times New Roman" w:cs="Times New Roman"/>
          <w:b/>
          <w:sz w:val="20"/>
          <w:szCs w:val="20"/>
        </w:rPr>
        <w:t xml:space="preserve">. </w:t>
      </w:r>
      <w:r>
        <w:rPr>
          <w:rFonts w:ascii="Times New Roman" w:eastAsia="黑体" w:hAnsi="Times New Roman" w:cs="Times New Roman" w:hint="eastAsia"/>
          <w:b/>
          <w:sz w:val="20"/>
          <w:szCs w:val="20"/>
        </w:rPr>
        <w:t>The Hyperparameter tuning results of the optimal model based on gridsearchCV</w:t>
      </w:r>
    </w:p>
    <w:tbl>
      <w:tblPr>
        <w:tblStyle w:val="ad"/>
        <w:tblpPr w:leftFromText="180" w:rightFromText="180" w:vertAnchor="text" w:horzAnchor="page" w:tblpXSpec="center" w:tblpY="111"/>
        <w:tblOverlap w:val="never"/>
        <w:tblW w:w="9398" w:type="dxa"/>
        <w:jc w:val="center"/>
        <w:tblBorders>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31"/>
        <w:gridCol w:w="5325"/>
        <w:gridCol w:w="2142"/>
      </w:tblGrid>
      <w:tr w:rsidR="00024F56" w14:paraId="4E00E28E" w14:textId="77777777" w:rsidTr="00B41A99">
        <w:trPr>
          <w:trHeight w:val="239"/>
          <w:jc w:val="center"/>
        </w:trPr>
        <w:tc>
          <w:tcPr>
            <w:tcW w:w="1931" w:type="dxa"/>
            <w:tcBorders>
              <w:bottom w:val="single" w:sz="6" w:space="0" w:color="auto"/>
            </w:tcBorders>
            <w:vAlign w:val="center"/>
          </w:tcPr>
          <w:p w14:paraId="6AFD9B36" w14:textId="77777777" w:rsidR="00024F56" w:rsidRDefault="0022519B">
            <w:pPr>
              <w:spacing w:line="480" w:lineRule="auto"/>
              <w:jc w:val="center"/>
              <w:rPr>
                <w:rFonts w:ascii="Times New Roman" w:eastAsia="等线" w:hAnsi="Times New Roman" w:cs="Times New Roman"/>
                <w:b/>
                <w:bCs/>
                <w:sz w:val="20"/>
                <w:szCs w:val="20"/>
              </w:rPr>
            </w:pPr>
            <w:r>
              <w:rPr>
                <w:rFonts w:ascii="Times New Roman" w:eastAsia="等线" w:hAnsi="Times New Roman" w:cs="Times New Roman" w:hint="eastAsia"/>
                <w:b/>
                <w:bCs/>
                <w:sz w:val="20"/>
                <w:szCs w:val="20"/>
              </w:rPr>
              <w:t>Hyperparameters</w:t>
            </w:r>
          </w:p>
        </w:tc>
        <w:tc>
          <w:tcPr>
            <w:tcW w:w="5325" w:type="dxa"/>
            <w:tcBorders>
              <w:top w:val="single" w:sz="6" w:space="0" w:color="auto"/>
              <w:bottom w:val="single" w:sz="6" w:space="0" w:color="auto"/>
            </w:tcBorders>
            <w:vAlign w:val="center"/>
          </w:tcPr>
          <w:p w14:paraId="1E3855BD" w14:textId="77777777" w:rsidR="00024F56" w:rsidRDefault="0022519B">
            <w:pPr>
              <w:spacing w:line="480" w:lineRule="auto"/>
              <w:jc w:val="center"/>
              <w:rPr>
                <w:rFonts w:ascii="Times New Roman" w:eastAsia="等线" w:hAnsi="Times New Roman" w:cs="Times New Roman"/>
                <w:b/>
                <w:bCs/>
                <w:sz w:val="20"/>
                <w:szCs w:val="20"/>
              </w:rPr>
            </w:pPr>
            <w:r>
              <w:rPr>
                <w:rFonts w:ascii="Times New Roman" w:eastAsia="等线" w:hAnsi="Times New Roman" w:cs="Times New Roman" w:hint="eastAsia"/>
                <w:b/>
                <w:bCs/>
                <w:sz w:val="20"/>
                <w:szCs w:val="20"/>
              </w:rPr>
              <w:t>candidates</w:t>
            </w:r>
          </w:p>
        </w:tc>
        <w:tc>
          <w:tcPr>
            <w:tcW w:w="2142" w:type="dxa"/>
            <w:tcBorders>
              <w:top w:val="single" w:sz="6" w:space="0" w:color="auto"/>
              <w:bottom w:val="single" w:sz="6" w:space="0" w:color="auto"/>
            </w:tcBorders>
            <w:vAlign w:val="center"/>
          </w:tcPr>
          <w:p w14:paraId="723DF585" w14:textId="77777777" w:rsidR="00024F56" w:rsidRDefault="0022519B">
            <w:pPr>
              <w:spacing w:line="480" w:lineRule="auto"/>
              <w:jc w:val="center"/>
              <w:rPr>
                <w:rFonts w:ascii="Times New Roman" w:eastAsia="等线" w:hAnsi="Times New Roman" w:cs="Times New Roman"/>
                <w:b/>
                <w:bCs/>
                <w:sz w:val="20"/>
                <w:szCs w:val="20"/>
              </w:rPr>
            </w:pPr>
            <w:r>
              <w:rPr>
                <w:rFonts w:ascii="Times New Roman" w:eastAsia="等线" w:hAnsi="Times New Roman" w:cs="Times New Roman" w:hint="eastAsia"/>
                <w:b/>
                <w:bCs/>
                <w:sz w:val="20"/>
                <w:szCs w:val="20"/>
              </w:rPr>
              <w:t>tuning results</w:t>
            </w:r>
          </w:p>
        </w:tc>
      </w:tr>
      <w:tr w:rsidR="00024F56" w14:paraId="667D72D9" w14:textId="77777777" w:rsidTr="00B41A99">
        <w:trPr>
          <w:jc w:val="center"/>
        </w:trPr>
        <w:tc>
          <w:tcPr>
            <w:tcW w:w="1931" w:type="dxa"/>
            <w:tcBorders>
              <w:tl2br w:val="nil"/>
              <w:tr2bl w:val="nil"/>
            </w:tcBorders>
            <w:vAlign w:val="center"/>
          </w:tcPr>
          <w:p w14:paraId="13004984" w14:textId="77777777" w:rsidR="00024F56" w:rsidRDefault="0022519B">
            <w:pPr>
              <w:spacing w:line="480" w:lineRule="auto"/>
              <w:jc w:val="center"/>
              <w:rPr>
                <w:rFonts w:ascii="Times New Roman" w:eastAsia="等线" w:hAnsi="Times New Roman" w:cs="Times New Roman"/>
                <w:sz w:val="20"/>
                <w:szCs w:val="20"/>
              </w:rPr>
            </w:pPr>
            <w:r>
              <w:rPr>
                <w:rFonts w:ascii="Times New Roman" w:eastAsia="等线" w:hAnsi="Times New Roman" w:cs="Times New Roman" w:hint="eastAsia"/>
                <w:sz w:val="20"/>
                <w:szCs w:val="20"/>
              </w:rPr>
              <w:t>L</w:t>
            </w:r>
            <w:r>
              <w:rPr>
                <w:rFonts w:ascii="Times New Roman" w:eastAsia="等线" w:hAnsi="Times New Roman" w:cs="Times New Roman" w:hint="eastAsia"/>
                <w:sz w:val="20"/>
                <w:szCs w:val="20"/>
              </w:rPr>
              <w:t>earning</w:t>
            </w:r>
            <w:r>
              <w:rPr>
                <w:rFonts w:ascii="Times New Roman" w:eastAsia="等线" w:hAnsi="Times New Roman" w:cs="Times New Roman" w:hint="eastAsia"/>
                <w:sz w:val="20"/>
                <w:szCs w:val="20"/>
              </w:rPr>
              <w:t xml:space="preserve"> R</w:t>
            </w:r>
            <w:r>
              <w:rPr>
                <w:rFonts w:ascii="Times New Roman" w:eastAsia="等线" w:hAnsi="Times New Roman" w:cs="Times New Roman" w:hint="eastAsia"/>
                <w:sz w:val="20"/>
                <w:szCs w:val="20"/>
              </w:rPr>
              <w:t>ate</w:t>
            </w:r>
          </w:p>
        </w:tc>
        <w:tc>
          <w:tcPr>
            <w:tcW w:w="5325" w:type="dxa"/>
            <w:tcBorders>
              <w:tl2br w:val="nil"/>
              <w:tr2bl w:val="nil"/>
            </w:tcBorders>
            <w:vAlign w:val="center"/>
          </w:tcPr>
          <w:p w14:paraId="0D10FDF6" w14:textId="77777777" w:rsidR="00024F56" w:rsidRDefault="0022519B">
            <w:pPr>
              <w:spacing w:line="480" w:lineRule="auto"/>
              <w:jc w:val="center"/>
              <w:rPr>
                <w:rFonts w:ascii="Times New Roman" w:eastAsia="等线" w:hAnsi="Times New Roman" w:cs="Times New Roman"/>
                <w:sz w:val="20"/>
                <w:szCs w:val="20"/>
              </w:rPr>
            </w:pPr>
            <w:r>
              <w:rPr>
                <w:rFonts w:ascii="Times New Roman" w:eastAsia="等线" w:hAnsi="Times New Roman" w:cs="Times New Roman" w:hint="eastAsia"/>
                <w:sz w:val="20"/>
                <w:szCs w:val="20"/>
              </w:rPr>
              <w:t>[0.01, 0.03, 0.05, 0.1, 0.2,0.5]</w:t>
            </w:r>
          </w:p>
        </w:tc>
        <w:tc>
          <w:tcPr>
            <w:tcW w:w="2142" w:type="dxa"/>
            <w:tcBorders>
              <w:tl2br w:val="nil"/>
              <w:tr2bl w:val="nil"/>
            </w:tcBorders>
            <w:vAlign w:val="center"/>
          </w:tcPr>
          <w:p w14:paraId="5FEB71E6" w14:textId="77777777" w:rsidR="00024F56" w:rsidRDefault="0022519B">
            <w:pPr>
              <w:spacing w:line="480" w:lineRule="auto"/>
              <w:jc w:val="center"/>
              <w:rPr>
                <w:rFonts w:ascii="Times New Roman" w:eastAsia="等线" w:hAnsi="Times New Roman" w:cs="Times New Roman"/>
                <w:sz w:val="20"/>
                <w:szCs w:val="20"/>
              </w:rPr>
            </w:pPr>
            <w:r>
              <w:rPr>
                <w:rFonts w:ascii="Times New Roman" w:eastAsia="等线" w:hAnsi="Times New Roman" w:cs="Times New Roman" w:hint="eastAsia"/>
                <w:sz w:val="20"/>
                <w:szCs w:val="20"/>
              </w:rPr>
              <w:t>0.01</w:t>
            </w:r>
          </w:p>
        </w:tc>
      </w:tr>
      <w:tr w:rsidR="00024F56" w14:paraId="46546DA2" w14:textId="77777777" w:rsidTr="00B41A99">
        <w:trPr>
          <w:jc w:val="center"/>
        </w:trPr>
        <w:tc>
          <w:tcPr>
            <w:tcW w:w="1931" w:type="dxa"/>
            <w:tcBorders>
              <w:tl2br w:val="nil"/>
              <w:tr2bl w:val="nil"/>
            </w:tcBorders>
            <w:vAlign w:val="center"/>
          </w:tcPr>
          <w:p w14:paraId="75ABD70E" w14:textId="77777777" w:rsidR="00024F56" w:rsidRDefault="0022519B">
            <w:pPr>
              <w:spacing w:line="480" w:lineRule="auto"/>
              <w:jc w:val="center"/>
              <w:rPr>
                <w:rFonts w:ascii="Times New Roman" w:eastAsia="等线" w:hAnsi="Times New Roman" w:cs="Times New Roman"/>
                <w:sz w:val="20"/>
                <w:szCs w:val="20"/>
              </w:rPr>
            </w:pPr>
            <w:r>
              <w:rPr>
                <w:rFonts w:ascii="Times New Roman" w:eastAsia="等线" w:hAnsi="Times New Roman" w:cs="Times New Roman" w:hint="eastAsia"/>
                <w:sz w:val="20"/>
                <w:szCs w:val="20"/>
              </w:rPr>
              <w:t>n_estimators</w:t>
            </w:r>
          </w:p>
        </w:tc>
        <w:tc>
          <w:tcPr>
            <w:tcW w:w="5325" w:type="dxa"/>
            <w:tcBorders>
              <w:tl2br w:val="nil"/>
              <w:tr2bl w:val="nil"/>
            </w:tcBorders>
            <w:vAlign w:val="center"/>
          </w:tcPr>
          <w:p w14:paraId="5C662753" w14:textId="77777777" w:rsidR="00024F56" w:rsidRDefault="0022519B">
            <w:pPr>
              <w:spacing w:line="480" w:lineRule="auto"/>
              <w:jc w:val="center"/>
              <w:rPr>
                <w:rFonts w:ascii="Times New Roman" w:eastAsia="等线" w:hAnsi="Times New Roman" w:cs="Times New Roman"/>
                <w:sz w:val="20"/>
                <w:szCs w:val="20"/>
              </w:rPr>
            </w:pPr>
            <w:r>
              <w:rPr>
                <w:rFonts w:ascii="Times New Roman" w:eastAsia="等线" w:hAnsi="Times New Roman" w:cs="Times New Roman" w:hint="eastAsia"/>
                <w:sz w:val="20"/>
                <w:szCs w:val="20"/>
              </w:rPr>
              <w:t xml:space="preserve">[200,500, 800,1000, </w:t>
            </w:r>
            <w:r>
              <w:rPr>
                <w:rFonts w:ascii="Times New Roman" w:eastAsia="等线" w:hAnsi="Times New Roman" w:cs="Times New Roman" w:hint="eastAsia"/>
                <w:sz w:val="20"/>
                <w:szCs w:val="20"/>
              </w:rPr>
              <w:t>1500,2000,3000,5000]</w:t>
            </w:r>
          </w:p>
        </w:tc>
        <w:tc>
          <w:tcPr>
            <w:tcW w:w="2142" w:type="dxa"/>
            <w:tcBorders>
              <w:tl2br w:val="nil"/>
              <w:tr2bl w:val="nil"/>
            </w:tcBorders>
            <w:vAlign w:val="center"/>
          </w:tcPr>
          <w:p w14:paraId="55FF8314" w14:textId="77777777" w:rsidR="00024F56" w:rsidRDefault="0022519B">
            <w:pPr>
              <w:spacing w:line="480" w:lineRule="auto"/>
              <w:jc w:val="center"/>
              <w:rPr>
                <w:rFonts w:ascii="Times New Roman" w:eastAsia="等线" w:hAnsi="Times New Roman" w:cs="Times New Roman"/>
                <w:sz w:val="20"/>
                <w:szCs w:val="20"/>
              </w:rPr>
            </w:pPr>
            <w:r>
              <w:rPr>
                <w:rFonts w:ascii="Times New Roman" w:eastAsia="等线" w:hAnsi="Times New Roman" w:cs="Times New Roman" w:hint="eastAsia"/>
                <w:sz w:val="20"/>
                <w:szCs w:val="20"/>
              </w:rPr>
              <w:t>200</w:t>
            </w:r>
          </w:p>
        </w:tc>
      </w:tr>
      <w:tr w:rsidR="00024F56" w14:paraId="4282EE90" w14:textId="77777777" w:rsidTr="00B41A99">
        <w:trPr>
          <w:jc w:val="center"/>
        </w:trPr>
        <w:tc>
          <w:tcPr>
            <w:tcW w:w="1931" w:type="dxa"/>
            <w:tcBorders>
              <w:tl2br w:val="nil"/>
              <w:tr2bl w:val="nil"/>
            </w:tcBorders>
            <w:vAlign w:val="center"/>
          </w:tcPr>
          <w:p w14:paraId="2FFEB1C0" w14:textId="77777777" w:rsidR="00024F56" w:rsidRDefault="0022519B">
            <w:pPr>
              <w:spacing w:line="480" w:lineRule="auto"/>
              <w:jc w:val="center"/>
              <w:rPr>
                <w:rFonts w:ascii="Times New Roman" w:eastAsia="等线" w:hAnsi="Times New Roman" w:cs="Times New Roman"/>
                <w:sz w:val="20"/>
                <w:szCs w:val="20"/>
              </w:rPr>
            </w:pPr>
            <w:r>
              <w:rPr>
                <w:rFonts w:ascii="Times New Roman" w:eastAsia="等线" w:hAnsi="Times New Roman" w:cs="Times New Roman" w:hint="eastAsia"/>
                <w:sz w:val="20"/>
                <w:szCs w:val="20"/>
              </w:rPr>
              <w:t>max_depth</w:t>
            </w:r>
          </w:p>
        </w:tc>
        <w:tc>
          <w:tcPr>
            <w:tcW w:w="5325" w:type="dxa"/>
            <w:tcBorders>
              <w:tl2br w:val="nil"/>
              <w:tr2bl w:val="nil"/>
            </w:tcBorders>
            <w:vAlign w:val="center"/>
          </w:tcPr>
          <w:p w14:paraId="58F5DAAE" w14:textId="77777777" w:rsidR="00024F56" w:rsidRDefault="0022519B">
            <w:pPr>
              <w:spacing w:line="480" w:lineRule="auto"/>
              <w:jc w:val="center"/>
              <w:rPr>
                <w:rFonts w:ascii="Times New Roman" w:eastAsia="等线" w:hAnsi="Times New Roman" w:cs="Times New Roman"/>
                <w:sz w:val="20"/>
                <w:szCs w:val="20"/>
              </w:rPr>
            </w:pPr>
            <w:r>
              <w:rPr>
                <w:rFonts w:ascii="Times New Roman" w:eastAsia="等线" w:hAnsi="Times New Roman" w:cs="Times New Roman" w:hint="eastAsia"/>
                <w:sz w:val="20"/>
                <w:szCs w:val="20"/>
              </w:rPr>
              <w:t xml:space="preserve">[1,2,3,4, 5,6, </w:t>
            </w:r>
            <w:proofErr w:type="gramStart"/>
            <w:r>
              <w:rPr>
                <w:rFonts w:ascii="Times New Roman" w:eastAsia="等线" w:hAnsi="Times New Roman" w:cs="Times New Roman" w:hint="eastAsia"/>
                <w:sz w:val="20"/>
                <w:szCs w:val="20"/>
              </w:rPr>
              <w:t>8,None</w:t>
            </w:r>
            <w:proofErr w:type="gramEnd"/>
            <w:r>
              <w:rPr>
                <w:rFonts w:ascii="Times New Roman" w:eastAsia="等线" w:hAnsi="Times New Roman" w:cs="Times New Roman" w:hint="eastAsia"/>
                <w:sz w:val="20"/>
                <w:szCs w:val="20"/>
              </w:rPr>
              <w:t>]</w:t>
            </w:r>
          </w:p>
        </w:tc>
        <w:tc>
          <w:tcPr>
            <w:tcW w:w="2142" w:type="dxa"/>
            <w:tcBorders>
              <w:tl2br w:val="nil"/>
              <w:tr2bl w:val="nil"/>
            </w:tcBorders>
            <w:vAlign w:val="center"/>
          </w:tcPr>
          <w:p w14:paraId="6AD32D6F" w14:textId="77777777" w:rsidR="00024F56" w:rsidRDefault="0022519B">
            <w:pPr>
              <w:spacing w:line="480" w:lineRule="auto"/>
              <w:jc w:val="center"/>
              <w:rPr>
                <w:rFonts w:ascii="Times New Roman" w:eastAsia="等线" w:hAnsi="Times New Roman" w:cs="Times New Roman"/>
                <w:sz w:val="20"/>
                <w:szCs w:val="20"/>
              </w:rPr>
            </w:pPr>
            <w:r>
              <w:rPr>
                <w:rFonts w:ascii="Times New Roman" w:eastAsia="等线" w:hAnsi="Times New Roman" w:cs="Times New Roman" w:hint="eastAsia"/>
                <w:sz w:val="20"/>
                <w:szCs w:val="20"/>
              </w:rPr>
              <w:t>1</w:t>
            </w:r>
          </w:p>
        </w:tc>
      </w:tr>
    </w:tbl>
    <w:p w14:paraId="3406F23D" w14:textId="77777777" w:rsidR="00024F56" w:rsidRDefault="00024F56">
      <w:pPr>
        <w:spacing w:line="480" w:lineRule="auto"/>
        <w:rPr>
          <w:rFonts w:ascii="Times New Roman" w:eastAsia="等线" w:hAnsi="Times New Roman" w:cs="Times New Roman"/>
          <w:sz w:val="20"/>
          <w:szCs w:val="20"/>
        </w:rPr>
      </w:pPr>
    </w:p>
    <w:p w14:paraId="0987E588" w14:textId="77777777" w:rsidR="00024F56" w:rsidRDefault="00024F56">
      <w:pPr>
        <w:spacing w:line="480" w:lineRule="auto"/>
        <w:rPr>
          <w:rFonts w:ascii="Times New Roman" w:eastAsia="等线" w:hAnsi="Times New Roman" w:cs="Times New Roman"/>
          <w:sz w:val="20"/>
          <w:szCs w:val="20"/>
        </w:rPr>
      </w:pPr>
    </w:p>
    <w:p w14:paraId="3D7D3DF1" w14:textId="77777777" w:rsidR="00024F56" w:rsidRDefault="0022519B">
      <w:pPr>
        <w:spacing w:line="480" w:lineRule="auto"/>
        <w:rPr>
          <w:rFonts w:ascii="Times New Roman" w:eastAsia="等线" w:hAnsi="Times New Roman" w:cs="Times New Roman"/>
          <w:sz w:val="20"/>
          <w:szCs w:val="20"/>
        </w:rPr>
      </w:pPr>
      <w:r>
        <w:rPr>
          <w:rFonts w:ascii="Times New Roman" w:eastAsia="等线" w:hAnsi="Times New Roman" w:cs="Times New Roman"/>
          <w:sz w:val="20"/>
          <w:szCs w:val="20"/>
        </w:rPr>
        <w:br w:type="page"/>
      </w:r>
    </w:p>
    <w:p w14:paraId="08BE0E7C" w14:textId="77777777" w:rsidR="00024F56" w:rsidRDefault="0022519B">
      <w:pPr>
        <w:keepNext/>
        <w:keepLines/>
        <w:spacing w:line="480" w:lineRule="auto"/>
        <w:jc w:val="center"/>
        <w:outlineLvl w:val="1"/>
        <w:rPr>
          <w:rFonts w:ascii="Times New Roman" w:eastAsia="黑体" w:hAnsi="Times New Roman" w:cs="Times New Roman"/>
          <w:b/>
          <w:sz w:val="20"/>
          <w:szCs w:val="20"/>
        </w:rPr>
      </w:pPr>
      <w:r>
        <w:rPr>
          <w:rFonts w:ascii="Times New Roman" w:eastAsia="黑体" w:hAnsi="Times New Roman" w:cs="Times New Roman"/>
          <w:b/>
          <w:sz w:val="20"/>
          <w:szCs w:val="20"/>
        </w:rPr>
        <w:lastRenderedPageBreak/>
        <w:t xml:space="preserve">Table </w:t>
      </w:r>
      <w:r>
        <w:rPr>
          <w:rFonts w:ascii="Times New Roman" w:eastAsia="黑体" w:hAnsi="Times New Roman" w:cs="Times New Roman" w:hint="eastAsia"/>
          <w:b/>
          <w:sz w:val="20"/>
          <w:szCs w:val="20"/>
        </w:rPr>
        <w:t>S</w:t>
      </w:r>
      <w:r>
        <w:rPr>
          <w:rFonts w:ascii="Times New Roman" w:eastAsia="黑体" w:hAnsi="Times New Roman" w:cs="Times New Roman" w:hint="eastAsia"/>
          <w:b/>
          <w:sz w:val="20"/>
          <w:szCs w:val="20"/>
        </w:rPr>
        <w:t>7</w:t>
      </w:r>
      <w:r>
        <w:rPr>
          <w:rFonts w:ascii="Times New Roman" w:eastAsia="黑体" w:hAnsi="Times New Roman" w:cs="Times New Roman"/>
          <w:b/>
          <w:sz w:val="20"/>
          <w:szCs w:val="20"/>
        </w:rPr>
        <w:t>. The criteria and maximal radiomic quality score as well as the actural score of this work</w:t>
      </w:r>
    </w:p>
    <w:tbl>
      <w:tblPr>
        <w:tblW w:w="5000" w:type="pct"/>
        <w:tblLayout w:type="fixed"/>
        <w:tblLook w:val="04A0" w:firstRow="1" w:lastRow="0" w:firstColumn="1" w:lastColumn="0" w:noHBand="0" w:noVBand="1"/>
      </w:tblPr>
      <w:tblGrid>
        <w:gridCol w:w="4372"/>
        <w:gridCol w:w="3064"/>
        <w:gridCol w:w="1224"/>
        <w:gridCol w:w="1308"/>
      </w:tblGrid>
      <w:tr w:rsidR="00024F56" w14:paraId="4235BEBA" w14:textId="77777777">
        <w:trPr>
          <w:trHeight w:val="330"/>
        </w:trPr>
        <w:tc>
          <w:tcPr>
            <w:tcW w:w="2193" w:type="pct"/>
            <w:tcBorders>
              <w:top w:val="thinThickSmallGap" w:sz="24" w:space="0" w:color="auto"/>
              <w:bottom w:val="single" w:sz="4" w:space="0" w:color="auto"/>
            </w:tcBorders>
            <w:shd w:val="clear" w:color="auto" w:fill="auto"/>
            <w:vAlign w:val="center"/>
          </w:tcPr>
          <w:p w14:paraId="7E3E6CE8" w14:textId="77777777" w:rsidR="00024F56" w:rsidRDefault="0022519B">
            <w:pPr>
              <w:widowControl/>
              <w:jc w:val="center"/>
              <w:rPr>
                <w:rFonts w:ascii="Times New Roman" w:eastAsia="等线" w:hAnsi="Times New Roman" w:cs="Times New Roman"/>
                <w:b/>
                <w:bCs/>
                <w:color w:val="000000"/>
                <w:kern w:val="0"/>
                <w:sz w:val="20"/>
                <w:szCs w:val="20"/>
              </w:rPr>
            </w:pPr>
            <w:r>
              <w:rPr>
                <w:rFonts w:ascii="Times New Roman" w:eastAsia="等线" w:hAnsi="Times New Roman" w:cs="Times New Roman"/>
                <w:b/>
                <w:bCs/>
                <w:color w:val="000000"/>
                <w:kern w:val="0"/>
                <w:sz w:val="20"/>
                <w:szCs w:val="20"/>
              </w:rPr>
              <w:t>Criteria</w:t>
            </w:r>
          </w:p>
        </w:tc>
        <w:tc>
          <w:tcPr>
            <w:tcW w:w="1537" w:type="pct"/>
            <w:tcBorders>
              <w:top w:val="thinThickSmallGap" w:sz="24" w:space="0" w:color="auto"/>
              <w:bottom w:val="single" w:sz="4" w:space="0" w:color="auto"/>
            </w:tcBorders>
            <w:shd w:val="clear" w:color="auto" w:fill="auto"/>
            <w:vAlign w:val="center"/>
          </w:tcPr>
          <w:p w14:paraId="3BE4F386" w14:textId="77777777" w:rsidR="00024F56" w:rsidRDefault="0022519B">
            <w:pPr>
              <w:widowControl/>
              <w:jc w:val="center"/>
              <w:rPr>
                <w:rFonts w:ascii="Times New Roman" w:eastAsia="等线" w:hAnsi="Times New Roman" w:cs="Times New Roman"/>
                <w:b/>
                <w:bCs/>
                <w:color w:val="000000"/>
                <w:kern w:val="0"/>
                <w:sz w:val="20"/>
                <w:szCs w:val="20"/>
              </w:rPr>
            </w:pPr>
            <w:r>
              <w:rPr>
                <w:rFonts w:ascii="Times New Roman" w:eastAsia="等线" w:hAnsi="Times New Roman" w:cs="Times New Roman"/>
                <w:b/>
                <w:bCs/>
                <w:color w:val="000000"/>
                <w:kern w:val="0"/>
                <w:sz w:val="20"/>
                <w:szCs w:val="20"/>
              </w:rPr>
              <w:t>Points system</w:t>
            </w:r>
          </w:p>
        </w:tc>
        <w:tc>
          <w:tcPr>
            <w:tcW w:w="614" w:type="pct"/>
            <w:tcBorders>
              <w:top w:val="thinThickSmallGap" w:sz="24" w:space="0" w:color="auto"/>
              <w:bottom w:val="single" w:sz="4" w:space="0" w:color="auto"/>
            </w:tcBorders>
            <w:shd w:val="clear" w:color="auto" w:fill="auto"/>
            <w:vAlign w:val="center"/>
          </w:tcPr>
          <w:p w14:paraId="595F1D3E" w14:textId="77777777" w:rsidR="00024F56" w:rsidRDefault="0022519B">
            <w:pPr>
              <w:widowControl/>
              <w:jc w:val="center"/>
              <w:rPr>
                <w:rFonts w:ascii="Times New Roman" w:eastAsia="等线" w:hAnsi="Times New Roman" w:cs="Times New Roman"/>
                <w:b/>
                <w:bCs/>
                <w:color w:val="000000"/>
                <w:kern w:val="0"/>
                <w:sz w:val="20"/>
                <w:szCs w:val="20"/>
              </w:rPr>
            </w:pPr>
            <w:r>
              <w:rPr>
                <w:rFonts w:ascii="Times New Roman" w:eastAsia="等线" w:hAnsi="Times New Roman" w:cs="Times New Roman"/>
                <w:b/>
                <w:bCs/>
                <w:color w:val="000000"/>
                <w:kern w:val="0"/>
                <w:sz w:val="20"/>
                <w:szCs w:val="20"/>
              </w:rPr>
              <w:t>Maximal score</w:t>
            </w:r>
          </w:p>
        </w:tc>
        <w:tc>
          <w:tcPr>
            <w:tcW w:w="656" w:type="pct"/>
            <w:tcBorders>
              <w:top w:val="thinThickSmallGap" w:sz="24" w:space="0" w:color="auto"/>
              <w:bottom w:val="single" w:sz="4" w:space="0" w:color="auto"/>
            </w:tcBorders>
            <w:shd w:val="clear" w:color="auto" w:fill="auto"/>
            <w:noWrap/>
            <w:vAlign w:val="center"/>
          </w:tcPr>
          <w:p w14:paraId="30F1AAE4" w14:textId="77777777" w:rsidR="00024F56" w:rsidRDefault="0022519B">
            <w:pPr>
              <w:widowControl/>
              <w:jc w:val="center"/>
              <w:rPr>
                <w:rFonts w:ascii="Times New Roman" w:eastAsia="等线" w:hAnsi="Times New Roman" w:cs="Times New Roman"/>
                <w:b/>
                <w:bCs/>
                <w:color w:val="000000"/>
                <w:kern w:val="0"/>
                <w:sz w:val="20"/>
                <w:szCs w:val="20"/>
              </w:rPr>
            </w:pPr>
            <w:r>
              <w:rPr>
                <w:rFonts w:ascii="Times New Roman" w:eastAsia="等线" w:hAnsi="Times New Roman" w:cs="Times New Roman"/>
                <w:b/>
                <w:bCs/>
                <w:color w:val="000000"/>
                <w:kern w:val="0"/>
                <w:sz w:val="20"/>
                <w:szCs w:val="20"/>
              </w:rPr>
              <w:t xml:space="preserve">Actual score of this work </w:t>
            </w:r>
          </w:p>
        </w:tc>
      </w:tr>
      <w:tr w:rsidR="00024F56" w14:paraId="1FF280F9" w14:textId="77777777">
        <w:trPr>
          <w:trHeight w:val="1133"/>
        </w:trPr>
        <w:tc>
          <w:tcPr>
            <w:tcW w:w="2193" w:type="pct"/>
            <w:tcBorders>
              <w:top w:val="single" w:sz="4" w:space="0" w:color="auto"/>
            </w:tcBorders>
            <w:shd w:val="clear" w:color="auto" w:fill="D9D9D9"/>
            <w:vAlign w:val="center"/>
          </w:tcPr>
          <w:p w14:paraId="22E2AD81" w14:textId="77777777" w:rsidR="00024F56" w:rsidRDefault="0022519B">
            <w:pPr>
              <w:widowControl/>
              <w:rPr>
                <w:rFonts w:ascii="Times New Roman" w:eastAsia="等线" w:hAnsi="Times New Roman" w:cs="Times New Roman"/>
                <w:color w:val="000000"/>
                <w:kern w:val="0"/>
                <w:sz w:val="20"/>
                <w:szCs w:val="20"/>
              </w:rPr>
            </w:pPr>
            <w:r>
              <w:rPr>
                <w:rFonts w:ascii="Times New Roman" w:eastAsia="等线" w:hAnsi="Times New Roman" w:cs="Times New Roman"/>
                <w:color w:val="000000"/>
                <w:kern w:val="0"/>
                <w:sz w:val="20"/>
                <w:szCs w:val="20"/>
              </w:rPr>
              <w:t xml:space="preserve">Image protocol </w:t>
            </w:r>
            <w:r>
              <w:rPr>
                <w:rFonts w:ascii="Times New Roman" w:eastAsia="等线" w:hAnsi="Times New Roman" w:cs="Times New Roman"/>
                <w:color w:val="000000"/>
                <w:kern w:val="0"/>
                <w:sz w:val="20"/>
                <w:szCs w:val="20"/>
              </w:rPr>
              <w:t>quality - well-documented image protocols (for example, contrast, slice thickness, energy, etc.) and/or usage of public image protocols allow reproducibility/replicability</w:t>
            </w:r>
          </w:p>
        </w:tc>
        <w:tc>
          <w:tcPr>
            <w:tcW w:w="1537" w:type="pct"/>
            <w:tcBorders>
              <w:top w:val="single" w:sz="4" w:space="0" w:color="auto"/>
            </w:tcBorders>
            <w:shd w:val="clear" w:color="auto" w:fill="D9D9D9"/>
            <w:vAlign w:val="center"/>
          </w:tcPr>
          <w:p w14:paraId="6D26EFB9" w14:textId="77777777" w:rsidR="00024F56" w:rsidRDefault="0022519B">
            <w:pPr>
              <w:widowControl/>
              <w:rPr>
                <w:rFonts w:ascii="Times New Roman" w:eastAsia="等线" w:hAnsi="Times New Roman" w:cs="Times New Roman"/>
                <w:color w:val="000000"/>
                <w:kern w:val="0"/>
                <w:sz w:val="20"/>
                <w:szCs w:val="20"/>
              </w:rPr>
            </w:pPr>
            <w:r>
              <w:rPr>
                <w:rFonts w:ascii="Times New Roman" w:eastAsia="等线" w:hAnsi="Times New Roman" w:cs="Times New Roman"/>
                <w:color w:val="000000"/>
                <w:kern w:val="0"/>
                <w:sz w:val="20"/>
                <w:szCs w:val="20"/>
              </w:rPr>
              <w:t>+ 1 (if protocols are well-documented) + 1 (if public protocol is used)</w:t>
            </w:r>
          </w:p>
        </w:tc>
        <w:tc>
          <w:tcPr>
            <w:tcW w:w="614" w:type="pct"/>
            <w:tcBorders>
              <w:top w:val="single" w:sz="4" w:space="0" w:color="auto"/>
            </w:tcBorders>
            <w:shd w:val="clear" w:color="auto" w:fill="D9D9D9"/>
            <w:vAlign w:val="center"/>
          </w:tcPr>
          <w:p w14:paraId="09C77F73" w14:textId="77777777" w:rsidR="00024F56" w:rsidRDefault="0022519B">
            <w:pPr>
              <w:widowControl/>
              <w:jc w:val="center"/>
              <w:rPr>
                <w:rFonts w:ascii="Times New Roman" w:eastAsia="等线" w:hAnsi="Times New Roman" w:cs="Times New Roman"/>
                <w:color w:val="000000"/>
                <w:kern w:val="0"/>
                <w:sz w:val="20"/>
                <w:szCs w:val="20"/>
              </w:rPr>
            </w:pPr>
            <w:r>
              <w:rPr>
                <w:rFonts w:ascii="Times New Roman" w:eastAsia="等线" w:hAnsi="Times New Roman" w:cs="Times New Roman"/>
                <w:color w:val="000000"/>
                <w:kern w:val="0"/>
                <w:sz w:val="20"/>
                <w:szCs w:val="20"/>
              </w:rPr>
              <w:t>2</w:t>
            </w:r>
          </w:p>
        </w:tc>
        <w:tc>
          <w:tcPr>
            <w:tcW w:w="656" w:type="pct"/>
            <w:tcBorders>
              <w:top w:val="single" w:sz="4" w:space="0" w:color="auto"/>
            </w:tcBorders>
            <w:shd w:val="clear" w:color="auto" w:fill="D9D9D9"/>
            <w:noWrap/>
            <w:vAlign w:val="center"/>
          </w:tcPr>
          <w:p w14:paraId="45712057" w14:textId="77777777" w:rsidR="00024F56" w:rsidRDefault="0022519B">
            <w:pPr>
              <w:widowControl/>
              <w:jc w:val="center"/>
              <w:rPr>
                <w:rFonts w:ascii="Times New Roman" w:eastAsia="等线" w:hAnsi="Times New Roman" w:cs="Times New Roman"/>
                <w:color w:val="000000"/>
                <w:kern w:val="0"/>
                <w:sz w:val="20"/>
                <w:szCs w:val="20"/>
              </w:rPr>
            </w:pPr>
            <w:r>
              <w:rPr>
                <w:rFonts w:ascii="Times New Roman" w:eastAsia="等线" w:hAnsi="Times New Roman" w:cs="Times New Roman"/>
                <w:color w:val="000000"/>
                <w:kern w:val="0"/>
                <w:sz w:val="20"/>
                <w:szCs w:val="20"/>
              </w:rPr>
              <w:t>2</w:t>
            </w:r>
          </w:p>
        </w:tc>
      </w:tr>
      <w:tr w:rsidR="00024F56" w14:paraId="7DB4BDA1" w14:textId="77777777">
        <w:trPr>
          <w:trHeight w:val="1118"/>
        </w:trPr>
        <w:tc>
          <w:tcPr>
            <w:tcW w:w="2193" w:type="pct"/>
            <w:shd w:val="clear" w:color="auto" w:fill="auto"/>
            <w:vAlign w:val="center"/>
          </w:tcPr>
          <w:p w14:paraId="354AA25B" w14:textId="77777777" w:rsidR="00024F56" w:rsidRDefault="0022519B">
            <w:pPr>
              <w:widowControl/>
              <w:rPr>
                <w:rFonts w:ascii="Times New Roman" w:eastAsia="等线" w:hAnsi="Times New Roman" w:cs="Times New Roman"/>
                <w:color w:val="000000"/>
                <w:kern w:val="0"/>
                <w:sz w:val="20"/>
                <w:szCs w:val="20"/>
              </w:rPr>
            </w:pPr>
            <w:r>
              <w:rPr>
                <w:rFonts w:ascii="Times New Roman" w:eastAsia="等线" w:hAnsi="Times New Roman" w:cs="Times New Roman"/>
                <w:color w:val="000000"/>
                <w:kern w:val="0"/>
                <w:sz w:val="20"/>
                <w:szCs w:val="20"/>
              </w:rPr>
              <w:t>Multiple segmentations - possible actions are: segmentation by different physicians/algorithms /software, perturbing segmentations by (random) noise, segmentation at different breathing cycles. Analyse feature robustness to segmentation variabilities</w:t>
            </w:r>
          </w:p>
        </w:tc>
        <w:tc>
          <w:tcPr>
            <w:tcW w:w="1537" w:type="pct"/>
            <w:shd w:val="clear" w:color="auto" w:fill="auto"/>
            <w:noWrap/>
            <w:vAlign w:val="center"/>
          </w:tcPr>
          <w:p w14:paraId="0B4344FE" w14:textId="77777777" w:rsidR="00024F56" w:rsidRDefault="0022519B">
            <w:pPr>
              <w:widowControl/>
              <w:jc w:val="center"/>
              <w:rPr>
                <w:rFonts w:ascii="Times New Roman" w:eastAsia="等线" w:hAnsi="Times New Roman" w:cs="Times New Roman"/>
                <w:color w:val="000000"/>
                <w:kern w:val="0"/>
                <w:sz w:val="20"/>
                <w:szCs w:val="20"/>
              </w:rPr>
            </w:pPr>
            <w:r>
              <w:rPr>
                <w:rFonts w:ascii="Times New Roman" w:eastAsia="等线" w:hAnsi="Times New Roman" w:cs="Times New Roman"/>
                <w:color w:val="000000"/>
                <w:kern w:val="0"/>
                <w:sz w:val="20"/>
                <w:szCs w:val="20"/>
              </w:rPr>
              <w:t>1</w:t>
            </w:r>
          </w:p>
        </w:tc>
        <w:tc>
          <w:tcPr>
            <w:tcW w:w="614" w:type="pct"/>
            <w:shd w:val="clear" w:color="auto" w:fill="auto"/>
            <w:vAlign w:val="center"/>
          </w:tcPr>
          <w:p w14:paraId="2EBA8623" w14:textId="77777777" w:rsidR="00024F56" w:rsidRDefault="0022519B">
            <w:pPr>
              <w:widowControl/>
              <w:jc w:val="center"/>
              <w:rPr>
                <w:rFonts w:ascii="Times New Roman" w:eastAsia="等线" w:hAnsi="Times New Roman" w:cs="Times New Roman"/>
                <w:color w:val="000000"/>
                <w:kern w:val="0"/>
                <w:sz w:val="20"/>
                <w:szCs w:val="20"/>
              </w:rPr>
            </w:pPr>
            <w:r>
              <w:rPr>
                <w:rFonts w:ascii="Times New Roman" w:eastAsia="等线" w:hAnsi="Times New Roman" w:cs="Times New Roman"/>
                <w:color w:val="000000"/>
                <w:kern w:val="0"/>
                <w:sz w:val="20"/>
                <w:szCs w:val="20"/>
              </w:rPr>
              <w:t>1</w:t>
            </w:r>
          </w:p>
        </w:tc>
        <w:tc>
          <w:tcPr>
            <w:tcW w:w="656" w:type="pct"/>
            <w:shd w:val="clear" w:color="auto" w:fill="auto"/>
            <w:noWrap/>
            <w:vAlign w:val="center"/>
          </w:tcPr>
          <w:p w14:paraId="44B8B997" w14:textId="77777777" w:rsidR="00024F56" w:rsidRDefault="0022519B">
            <w:pPr>
              <w:widowControl/>
              <w:jc w:val="center"/>
              <w:rPr>
                <w:rFonts w:ascii="Times New Roman" w:eastAsia="等线" w:hAnsi="Times New Roman" w:cs="Times New Roman"/>
                <w:color w:val="000000"/>
                <w:kern w:val="0"/>
                <w:sz w:val="20"/>
                <w:szCs w:val="20"/>
              </w:rPr>
            </w:pPr>
            <w:r>
              <w:rPr>
                <w:rFonts w:ascii="Times New Roman" w:eastAsia="等线" w:hAnsi="Times New Roman" w:cs="Times New Roman"/>
                <w:color w:val="000000"/>
                <w:kern w:val="0"/>
                <w:sz w:val="20"/>
                <w:szCs w:val="20"/>
              </w:rPr>
              <w:t>1</w:t>
            </w:r>
          </w:p>
        </w:tc>
      </w:tr>
      <w:tr w:rsidR="00024F56" w14:paraId="25F1F165" w14:textId="77777777">
        <w:trPr>
          <w:trHeight w:val="990"/>
        </w:trPr>
        <w:tc>
          <w:tcPr>
            <w:tcW w:w="2193" w:type="pct"/>
            <w:shd w:val="clear" w:color="auto" w:fill="D9D9D9"/>
            <w:vAlign w:val="center"/>
          </w:tcPr>
          <w:p w14:paraId="19DBB949" w14:textId="77777777" w:rsidR="00024F56" w:rsidRDefault="0022519B">
            <w:pPr>
              <w:widowControl/>
              <w:rPr>
                <w:rFonts w:ascii="Times New Roman" w:eastAsia="等线" w:hAnsi="Times New Roman" w:cs="Times New Roman"/>
                <w:color w:val="000000"/>
                <w:kern w:val="0"/>
                <w:sz w:val="20"/>
                <w:szCs w:val="20"/>
              </w:rPr>
            </w:pPr>
            <w:r>
              <w:rPr>
                <w:rFonts w:ascii="Times New Roman" w:eastAsia="等线" w:hAnsi="Times New Roman" w:cs="Times New Roman"/>
                <w:color w:val="000000"/>
                <w:kern w:val="0"/>
                <w:sz w:val="20"/>
                <w:szCs w:val="20"/>
              </w:rPr>
              <w:t>Phantom study on all scanners - detect inter-scanner differences and vendor-dependent features. Analyse feature robustness to these sources of variability</w:t>
            </w:r>
          </w:p>
        </w:tc>
        <w:tc>
          <w:tcPr>
            <w:tcW w:w="1537" w:type="pct"/>
            <w:shd w:val="clear" w:color="auto" w:fill="D9D9D9"/>
            <w:noWrap/>
            <w:vAlign w:val="center"/>
          </w:tcPr>
          <w:p w14:paraId="1D5FD94C" w14:textId="77777777" w:rsidR="00024F56" w:rsidRDefault="0022519B">
            <w:pPr>
              <w:widowControl/>
              <w:jc w:val="center"/>
              <w:rPr>
                <w:rFonts w:ascii="Times New Roman" w:eastAsia="等线" w:hAnsi="Times New Roman" w:cs="Times New Roman"/>
                <w:color w:val="000000"/>
                <w:kern w:val="0"/>
                <w:sz w:val="20"/>
                <w:szCs w:val="20"/>
              </w:rPr>
            </w:pPr>
            <w:r>
              <w:rPr>
                <w:rFonts w:ascii="Times New Roman" w:eastAsia="等线" w:hAnsi="Times New Roman" w:cs="Times New Roman"/>
                <w:color w:val="000000"/>
                <w:kern w:val="0"/>
                <w:sz w:val="20"/>
                <w:szCs w:val="20"/>
              </w:rPr>
              <w:t>1</w:t>
            </w:r>
          </w:p>
        </w:tc>
        <w:tc>
          <w:tcPr>
            <w:tcW w:w="614" w:type="pct"/>
            <w:shd w:val="clear" w:color="auto" w:fill="D9D9D9"/>
            <w:vAlign w:val="center"/>
          </w:tcPr>
          <w:p w14:paraId="011FFFCC" w14:textId="77777777" w:rsidR="00024F56" w:rsidRDefault="0022519B">
            <w:pPr>
              <w:widowControl/>
              <w:jc w:val="center"/>
              <w:rPr>
                <w:rFonts w:ascii="Times New Roman" w:eastAsia="等线" w:hAnsi="Times New Roman" w:cs="Times New Roman"/>
                <w:color w:val="000000"/>
                <w:kern w:val="0"/>
                <w:sz w:val="20"/>
                <w:szCs w:val="20"/>
              </w:rPr>
            </w:pPr>
            <w:r>
              <w:rPr>
                <w:rFonts w:ascii="Times New Roman" w:eastAsia="等线" w:hAnsi="Times New Roman" w:cs="Times New Roman"/>
                <w:color w:val="000000"/>
                <w:kern w:val="0"/>
                <w:sz w:val="20"/>
                <w:szCs w:val="20"/>
              </w:rPr>
              <w:t>1</w:t>
            </w:r>
          </w:p>
        </w:tc>
        <w:tc>
          <w:tcPr>
            <w:tcW w:w="656" w:type="pct"/>
            <w:shd w:val="clear" w:color="auto" w:fill="D9D9D9"/>
            <w:noWrap/>
            <w:vAlign w:val="center"/>
          </w:tcPr>
          <w:p w14:paraId="43A4D7A7" w14:textId="77777777" w:rsidR="00024F56" w:rsidRDefault="0022519B">
            <w:pPr>
              <w:widowControl/>
              <w:jc w:val="center"/>
              <w:rPr>
                <w:rFonts w:ascii="Times New Roman" w:eastAsia="等线" w:hAnsi="Times New Roman" w:cs="Times New Roman"/>
                <w:color w:val="000000"/>
                <w:kern w:val="0"/>
                <w:sz w:val="20"/>
                <w:szCs w:val="20"/>
              </w:rPr>
            </w:pPr>
            <w:r>
              <w:rPr>
                <w:rFonts w:ascii="Times New Roman" w:eastAsia="等线" w:hAnsi="Times New Roman" w:cs="Times New Roman"/>
                <w:color w:val="000000"/>
                <w:kern w:val="0"/>
                <w:sz w:val="20"/>
                <w:szCs w:val="20"/>
              </w:rPr>
              <w:t>0</w:t>
            </w:r>
          </w:p>
        </w:tc>
      </w:tr>
      <w:tr w:rsidR="00024F56" w14:paraId="6FA4B371" w14:textId="77777777">
        <w:trPr>
          <w:trHeight w:val="1320"/>
        </w:trPr>
        <w:tc>
          <w:tcPr>
            <w:tcW w:w="2193" w:type="pct"/>
            <w:shd w:val="clear" w:color="auto" w:fill="auto"/>
            <w:vAlign w:val="center"/>
          </w:tcPr>
          <w:p w14:paraId="4DC678D2" w14:textId="77777777" w:rsidR="00024F56" w:rsidRDefault="0022519B">
            <w:pPr>
              <w:widowControl/>
              <w:rPr>
                <w:rFonts w:ascii="Times New Roman" w:eastAsia="等线" w:hAnsi="Times New Roman" w:cs="Times New Roman"/>
                <w:color w:val="000000"/>
                <w:kern w:val="0"/>
                <w:sz w:val="20"/>
                <w:szCs w:val="20"/>
              </w:rPr>
            </w:pPr>
            <w:r>
              <w:rPr>
                <w:rFonts w:ascii="Times New Roman" w:eastAsia="等线" w:hAnsi="Times New Roman" w:cs="Times New Roman"/>
                <w:color w:val="000000"/>
                <w:kern w:val="0"/>
                <w:sz w:val="20"/>
                <w:szCs w:val="20"/>
              </w:rPr>
              <w:t xml:space="preserve">Imaging at multiple time points - collect images of individuals at additional time </w:t>
            </w:r>
            <w:r>
              <w:rPr>
                <w:rFonts w:ascii="Times New Roman" w:eastAsia="等线" w:hAnsi="Times New Roman" w:cs="Times New Roman"/>
                <w:color w:val="000000"/>
                <w:kern w:val="0"/>
                <w:sz w:val="20"/>
                <w:szCs w:val="20"/>
              </w:rPr>
              <w:t>points. Analyse feature robustness to temporal variabilities (for example, organ movement, organ expansion /shrinkage)</w:t>
            </w:r>
          </w:p>
        </w:tc>
        <w:tc>
          <w:tcPr>
            <w:tcW w:w="1537" w:type="pct"/>
            <w:shd w:val="clear" w:color="auto" w:fill="auto"/>
            <w:noWrap/>
            <w:vAlign w:val="center"/>
          </w:tcPr>
          <w:p w14:paraId="5215F4EB" w14:textId="77777777" w:rsidR="00024F56" w:rsidRDefault="0022519B">
            <w:pPr>
              <w:widowControl/>
              <w:jc w:val="center"/>
              <w:rPr>
                <w:rFonts w:ascii="Times New Roman" w:eastAsia="等线" w:hAnsi="Times New Roman" w:cs="Times New Roman"/>
                <w:color w:val="000000"/>
                <w:kern w:val="0"/>
                <w:sz w:val="20"/>
                <w:szCs w:val="20"/>
              </w:rPr>
            </w:pPr>
            <w:r>
              <w:rPr>
                <w:rFonts w:ascii="Times New Roman" w:eastAsia="等线" w:hAnsi="Times New Roman" w:cs="Times New Roman"/>
                <w:color w:val="000000"/>
                <w:kern w:val="0"/>
                <w:sz w:val="20"/>
                <w:szCs w:val="20"/>
              </w:rPr>
              <w:t>1</w:t>
            </w:r>
          </w:p>
        </w:tc>
        <w:tc>
          <w:tcPr>
            <w:tcW w:w="614" w:type="pct"/>
            <w:shd w:val="clear" w:color="auto" w:fill="auto"/>
            <w:vAlign w:val="center"/>
          </w:tcPr>
          <w:p w14:paraId="2F61B30A" w14:textId="77777777" w:rsidR="00024F56" w:rsidRDefault="0022519B">
            <w:pPr>
              <w:widowControl/>
              <w:jc w:val="center"/>
              <w:rPr>
                <w:rFonts w:ascii="Times New Roman" w:eastAsia="等线" w:hAnsi="Times New Roman" w:cs="Times New Roman"/>
                <w:color w:val="000000"/>
                <w:kern w:val="0"/>
                <w:sz w:val="20"/>
                <w:szCs w:val="20"/>
              </w:rPr>
            </w:pPr>
            <w:r>
              <w:rPr>
                <w:rFonts w:ascii="Times New Roman" w:eastAsia="等线" w:hAnsi="Times New Roman" w:cs="Times New Roman"/>
                <w:color w:val="000000"/>
                <w:kern w:val="0"/>
                <w:sz w:val="20"/>
                <w:szCs w:val="20"/>
              </w:rPr>
              <w:t>1</w:t>
            </w:r>
          </w:p>
        </w:tc>
        <w:tc>
          <w:tcPr>
            <w:tcW w:w="656" w:type="pct"/>
            <w:shd w:val="clear" w:color="auto" w:fill="auto"/>
            <w:noWrap/>
            <w:vAlign w:val="center"/>
          </w:tcPr>
          <w:p w14:paraId="521E4E0A" w14:textId="77777777" w:rsidR="00024F56" w:rsidRDefault="0022519B">
            <w:pPr>
              <w:widowControl/>
              <w:jc w:val="center"/>
              <w:rPr>
                <w:rFonts w:ascii="Times New Roman" w:eastAsia="等线" w:hAnsi="Times New Roman" w:cs="Times New Roman"/>
                <w:color w:val="000000"/>
                <w:kern w:val="0"/>
                <w:sz w:val="20"/>
                <w:szCs w:val="20"/>
              </w:rPr>
            </w:pPr>
            <w:r>
              <w:rPr>
                <w:rFonts w:ascii="Times New Roman" w:eastAsia="等线" w:hAnsi="Times New Roman" w:cs="Times New Roman"/>
                <w:color w:val="000000"/>
                <w:kern w:val="0"/>
                <w:sz w:val="20"/>
                <w:szCs w:val="20"/>
              </w:rPr>
              <w:t>0</w:t>
            </w:r>
          </w:p>
        </w:tc>
      </w:tr>
      <w:tr w:rsidR="00024F56" w14:paraId="27656E45" w14:textId="77777777">
        <w:trPr>
          <w:trHeight w:val="1287"/>
        </w:trPr>
        <w:tc>
          <w:tcPr>
            <w:tcW w:w="2193" w:type="pct"/>
            <w:shd w:val="clear" w:color="auto" w:fill="D9D9D9"/>
            <w:vAlign w:val="center"/>
          </w:tcPr>
          <w:p w14:paraId="1C84DFC7" w14:textId="77777777" w:rsidR="00024F56" w:rsidRDefault="0022519B">
            <w:pPr>
              <w:widowControl/>
              <w:rPr>
                <w:rFonts w:ascii="Times New Roman" w:eastAsia="等线" w:hAnsi="Times New Roman" w:cs="Times New Roman"/>
                <w:color w:val="000000"/>
                <w:kern w:val="0"/>
                <w:sz w:val="20"/>
                <w:szCs w:val="20"/>
              </w:rPr>
            </w:pPr>
            <w:r>
              <w:rPr>
                <w:rFonts w:ascii="Times New Roman" w:eastAsia="等线" w:hAnsi="Times New Roman" w:cs="Times New Roman"/>
                <w:color w:val="000000"/>
                <w:kern w:val="0"/>
                <w:sz w:val="20"/>
                <w:szCs w:val="20"/>
              </w:rPr>
              <w:t xml:space="preserve">Feature reduction or adjustment for multiple testing - decreases the risk of overfitting. Overfitting is inevitable if the </w:t>
            </w:r>
            <w:r>
              <w:rPr>
                <w:rFonts w:ascii="Times New Roman" w:eastAsia="等线" w:hAnsi="Times New Roman" w:cs="Times New Roman"/>
                <w:color w:val="000000"/>
                <w:kern w:val="0"/>
                <w:sz w:val="20"/>
                <w:szCs w:val="20"/>
              </w:rPr>
              <w:t>number of features exceeds the number of samples. Consider feature robustness when selecting features</w:t>
            </w:r>
          </w:p>
        </w:tc>
        <w:tc>
          <w:tcPr>
            <w:tcW w:w="1537" w:type="pct"/>
            <w:shd w:val="clear" w:color="auto" w:fill="D9D9D9"/>
            <w:vAlign w:val="center"/>
          </w:tcPr>
          <w:p w14:paraId="30899429" w14:textId="77777777" w:rsidR="00024F56" w:rsidRDefault="0022519B">
            <w:pPr>
              <w:widowControl/>
              <w:rPr>
                <w:rFonts w:ascii="Times New Roman" w:eastAsia="等线" w:hAnsi="Times New Roman" w:cs="Times New Roman"/>
                <w:color w:val="000000"/>
                <w:kern w:val="0"/>
                <w:sz w:val="20"/>
                <w:szCs w:val="20"/>
              </w:rPr>
            </w:pPr>
            <w:r>
              <w:rPr>
                <w:rFonts w:ascii="Times New Roman" w:eastAsia="等线" w:hAnsi="Times New Roman" w:cs="Times New Roman"/>
                <w:color w:val="000000"/>
                <w:kern w:val="0"/>
                <w:sz w:val="20"/>
                <w:szCs w:val="20"/>
              </w:rPr>
              <w:t>−</w:t>
            </w:r>
            <w:r>
              <w:rPr>
                <w:rFonts w:ascii="Times New Roman" w:eastAsia="等线" w:hAnsi="Times New Roman" w:cs="Times New Roman"/>
                <w:color w:val="000000"/>
                <w:kern w:val="0"/>
                <w:sz w:val="20"/>
                <w:szCs w:val="20"/>
              </w:rPr>
              <w:t xml:space="preserve"> 3 (if neither measure is implemented) + 3 (if either measure is implemented)</w:t>
            </w:r>
          </w:p>
        </w:tc>
        <w:tc>
          <w:tcPr>
            <w:tcW w:w="614" w:type="pct"/>
            <w:shd w:val="clear" w:color="auto" w:fill="D9D9D9"/>
            <w:vAlign w:val="center"/>
          </w:tcPr>
          <w:p w14:paraId="2905AB95" w14:textId="77777777" w:rsidR="00024F56" w:rsidRDefault="0022519B">
            <w:pPr>
              <w:widowControl/>
              <w:jc w:val="center"/>
              <w:rPr>
                <w:rFonts w:ascii="Times New Roman" w:eastAsia="等线" w:hAnsi="Times New Roman" w:cs="Times New Roman"/>
                <w:color w:val="000000"/>
                <w:kern w:val="0"/>
                <w:sz w:val="20"/>
                <w:szCs w:val="20"/>
              </w:rPr>
            </w:pPr>
            <w:r>
              <w:rPr>
                <w:rFonts w:ascii="Times New Roman" w:eastAsia="等线" w:hAnsi="Times New Roman" w:cs="Times New Roman"/>
                <w:color w:val="000000"/>
                <w:kern w:val="0"/>
                <w:sz w:val="20"/>
                <w:szCs w:val="20"/>
              </w:rPr>
              <w:t>3</w:t>
            </w:r>
          </w:p>
        </w:tc>
        <w:tc>
          <w:tcPr>
            <w:tcW w:w="656" w:type="pct"/>
            <w:shd w:val="clear" w:color="auto" w:fill="D9D9D9"/>
            <w:noWrap/>
            <w:vAlign w:val="center"/>
          </w:tcPr>
          <w:p w14:paraId="59943FEE" w14:textId="77777777" w:rsidR="00024F56" w:rsidRDefault="0022519B">
            <w:pPr>
              <w:widowControl/>
              <w:jc w:val="center"/>
              <w:rPr>
                <w:rFonts w:ascii="Times New Roman" w:eastAsia="等线" w:hAnsi="Times New Roman" w:cs="Times New Roman"/>
                <w:color w:val="000000"/>
                <w:kern w:val="0"/>
                <w:sz w:val="20"/>
                <w:szCs w:val="20"/>
              </w:rPr>
            </w:pPr>
            <w:r>
              <w:rPr>
                <w:rFonts w:ascii="Times New Roman" w:eastAsia="等线" w:hAnsi="Times New Roman" w:cs="Times New Roman"/>
                <w:color w:val="000000"/>
                <w:kern w:val="0"/>
                <w:sz w:val="20"/>
                <w:szCs w:val="20"/>
              </w:rPr>
              <w:t>3</w:t>
            </w:r>
          </w:p>
        </w:tc>
      </w:tr>
      <w:tr w:rsidR="00024F56" w14:paraId="3B22455F" w14:textId="77777777">
        <w:trPr>
          <w:trHeight w:val="1170"/>
        </w:trPr>
        <w:tc>
          <w:tcPr>
            <w:tcW w:w="2193" w:type="pct"/>
            <w:shd w:val="clear" w:color="auto" w:fill="auto"/>
            <w:vAlign w:val="center"/>
          </w:tcPr>
          <w:p w14:paraId="79441A9D" w14:textId="77777777" w:rsidR="00024F56" w:rsidRDefault="0022519B">
            <w:pPr>
              <w:widowControl/>
              <w:rPr>
                <w:rFonts w:ascii="Times New Roman" w:eastAsia="等线" w:hAnsi="Times New Roman" w:cs="Times New Roman"/>
                <w:color w:val="000000"/>
                <w:kern w:val="0"/>
                <w:sz w:val="20"/>
                <w:szCs w:val="20"/>
              </w:rPr>
            </w:pPr>
            <w:r>
              <w:rPr>
                <w:rFonts w:ascii="Times New Roman" w:eastAsia="等线" w:hAnsi="Times New Roman" w:cs="Times New Roman"/>
                <w:color w:val="000000"/>
                <w:kern w:val="0"/>
                <w:sz w:val="20"/>
                <w:szCs w:val="20"/>
              </w:rPr>
              <w:t xml:space="preserve">Multivariable analysis with non radiomics features (for example, EGFR </w:t>
            </w:r>
            <w:r>
              <w:rPr>
                <w:rFonts w:ascii="Times New Roman" w:eastAsia="等线" w:hAnsi="Times New Roman" w:cs="Times New Roman"/>
                <w:color w:val="000000"/>
                <w:kern w:val="0"/>
                <w:sz w:val="20"/>
                <w:szCs w:val="20"/>
              </w:rPr>
              <w:t>mutation) - is expected to provide a more holistic model. Permits correlating /inferencing between radiomics and non radiomics features</w:t>
            </w:r>
          </w:p>
        </w:tc>
        <w:tc>
          <w:tcPr>
            <w:tcW w:w="1537" w:type="pct"/>
            <w:shd w:val="clear" w:color="auto" w:fill="auto"/>
            <w:noWrap/>
            <w:vAlign w:val="center"/>
          </w:tcPr>
          <w:p w14:paraId="44BDF92A" w14:textId="77777777" w:rsidR="00024F56" w:rsidRDefault="0022519B">
            <w:pPr>
              <w:widowControl/>
              <w:jc w:val="center"/>
              <w:rPr>
                <w:rFonts w:ascii="Times New Roman" w:eastAsia="等线" w:hAnsi="Times New Roman" w:cs="Times New Roman"/>
                <w:color w:val="000000"/>
                <w:kern w:val="0"/>
                <w:sz w:val="20"/>
                <w:szCs w:val="20"/>
              </w:rPr>
            </w:pPr>
            <w:r>
              <w:rPr>
                <w:rFonts w:ascii="Times New Roman" w:eastAsia="等线" w:hAnsi="Times New Roman" w:cs="Times New Roman"/>
                <w:color w:val="000000"/>
                <w:kern w:val="0"/>
                <w:sz w:val="20"/>
                <w:szCs w:val="20"/>
              </w:rPr>
              <w:t>1</w:t>
            </w:r>
          </w:p>
        </w:tc>
        <w:tc>
          <w:tcPr>
            <w:tcW w:w="614" w:type="pct"/>
            <w:shd w:val="clear" w:color="auto" w:fill="auto"/>
            <w:vAlign w:val="center"/>
          </w:tcPr>
          <w:p w14:paraId="470C8B1C" w14:textId="77777777" w:rsidR="00024F56" w:rsidRDefault="0022519B">
            <w:pPr>
              <w:widowControl/>
              <w:jc w:val="center"/>
              <w:rPr>
                <w:rFonts w:ascii="Times New Roman" w:eastAsia="等线" w:hAnsi="Times New Roman" w:cs="Times New Roman"/>
                <w:color w:val="000000"/>
                <w:kern w:val="0"/>
                <w:sz w:val="20"/>
                <w:szCs w:val="20"/>
              </w:rPr>
            </w:pPr>
            <w:r>
              <w:rPr>
                <w:rFonts w:ascii="Times New Roman" w:eastAsia="等线" w:hAnsi="Times New Roman" w:cs="Times New Roman"/>
                <w:color w:val="000000"/>
                <w:kern w:val="0"/>
                <w:sz w:val="20"/>
                <w:szCs w:val="20"/>
              </w:rPr>
              <w:t>1</w:t>
            </w:r>
          </w:p>
        </w:tc>
        <w:tc>
          <w:tcPr>
            <w:tcW w:w="656" w:type="pct"/>
            <w:shd w:val="clear" w:color="auto" w:fill="auto"/>
            <w:noWrap/>
            <w:vAlign w:val="center"/>
          </w:tcPr>
          <w:p w14:paraId="47419C9E" w14:textId="77777777" w:rsidR="00024F56" w:rsidRDefault="0022519B">
            <w:pPr>
              <w:widowControl/>
              <w:jc w:val="center"/>
              <w:rPr>
                <w:rFonts w:ascii="Times New Roman" w:eastAsia="等线" w:hAnsi="Times New Roman" w:cs="Times New Roman"/>
                <w:color w:val="000000"/>
                <w:kern w:val="0"/>
                <w:sz w:val="20"/>
                <w:szCs w:val="20"/>
              </w:rPr>
            </w:pPr>
            <w:r>
              <w:rPr>
                <w:rFonts w:ascii="Times New Roman" w:eastAsia="等线" w:hAnsi="Times New Roman" w:cs="Times New Roman"/>
                <w:color w:val="000000"/>
                <w:kern w:val="0"/>
                <w:sz w:val="20"/>
                <w:szCs w:val="20"/>
              </w:rPr>
              <w:t>1</w:t>
            </w:r>
          </w:p>
        </w:tc>
      </w:tr>
      <w:tr w:rsidR="00024F56" w14:paraId="7AC76FE8" w14:textId="77777777">
        <w:trPr>
          <w:trHeight w:val="1260"/>
        </w:trPr>
        <w:tc>
          <w:tcPr>
            <w:tcW w:w="2193" w:type="pct"/>
            <w:shd w:val="clear" w:color="auto" w:fill="D9D9D9"/>
            <w:vAlign w:val="center"/>
          </w:tcPr>
          <w:p w14:paraId="2CCC1D89" w14:textId="77777777" w:rsidR="00024F56" w:rsidRDefault="0022519B">
            <w:pPr>
              <w:widowControl/>
              <w:rPr>
                <w:rFonts w:ascii="Times New Roman" w:eastAsia="等线" w:hAnsi="Times New Roman" w:cs="Times New Roman"/>
                <w:color w:val="000000"/>
                <w:kern w:val="0"/>
                <w:sz w:val="20"/>
                <w:szCs w:val="20"/>
              </w:rPr>
            </w:pPr>
            <w:r>
              <w:rPr>
                <w:rFonts w:ascii="Times New Roman" w:eastAsia="等线" w:hAnsi="Times New Roman" w:cs="Times New Roman"/>
                <w:color w:val="000000"/>
                <w:kern w:val="0"/>
                <w:sz w:val="20"/>
                <w:szCs w:val="20"/>
              </w:rPr>
              <w:t xml:space="preserve">Detect and discuss biological correlates - demonstration of phenotypic differences (possibly associated with </w:t>
            </w:r>
            <w:r>
              <w:rPr>
                <w:rFonts w:ascii="Times New Roman" w:eastAsia="等线" w:hAnsi="Times New Roman" w:cs="Times New Roman"/>
                <w:color w:val="000000"/>
                <w:kern w:val="0"/>
                <w:sz w:val="20"/>
                <w:szCs w:val="20"/>
              </w:rPr>
              <w:t>underlying gene–protein expression patterns) deepens understanding of radiomics and biology</w:t>
            </w:r>
          </w:p>
        </w:tc>
        <w:tc>
          <w:tcPr>
            <w:tcW w:w="1537" w:type="pct"/>
            <w:shd w:val="clear" w:color="auto" w:fill="D9D9D9"/>
            <w:noWrap/>
            <w:vAlign w:val="center"/>
          </w:tcPr>
          <w:p w14:paraId="2D95EA4F" w14:textId="77777777" w:rsidR="00024F56" w:rsidRDefault="0022519B">
            <w:pPr>
              <w:widowControl/>
              <w:jc w:val="center"/>
              <w:rPr>
                <w:rFonts w:ascii="Times New Roman" w:eastAsia="等线" w:hAnsi="Times New Roman" w:cs="Times New Roman"/>
                <w:color w:val="000000"/>
                <w:kern w:val="0"/>
                <w:sz w:val="20"/>
                <w:szCs w:val="20"/>
              </w:rPr>
            </w:pPr>
            <w:r>
              <w:rPr>
                <w:rFonts w:ascii="Times New Roman" w:eastAsia="等线" w:hAnsi="Times New Roman" w:cs="Times New Roman"/>
                <w:color w:val="000000"/>
                <w:kern w:val="0"/>
                <w:sz w:val="20"/>
                <w:szCs w:val="20"/>
              </w:rPr>
              <w:t>1</w:t>
            </w:r>
          </w:p>
        </w:tc>
        <w:tc>
          <w:tcPr>
            <w:tcW w:w="614" w:type="pct"/>
            <w:shd w:val="clear" w:color="auto" w:fill="D9D9D9"/>
            <w:vAlign w:val="center"/>
          </w:tcPr>
          <w:p w14:paraId="6B4AB4DC" w14:textId="77777777" w:rsidR="00024F56" w:rsidRDefault="0022519B">
            <w:pPr>
              <w:widowControl/>
              <w:jc w:val="center"/>
              <w:rPr>
                <w:rFonts w:ascii="Times New Roman" w:eastAsia="等线" w:hAnsi="Times New Roman" w:cs="Times New Roman"/>
                <w:color w:val="000000"/>
                <w:kern w:val="0"/>
                <w:sz w:val="20"/>
                <w:szCs w:val="20"/>
              </w:rPr>
            </w:pPr>
            <w:r>
              <w:rPr>
                <w:rFonts w:ascii="Times New Roman" w:eastAsia="等线" w:hAnsi="Times New Roman" w:cs="Times New Roman"/>
                <w:color w:val="000000"/>
                <w:kern w:val="0"/>
                <w:sz w:val="20"/>
                <w:szCs w:val="20"/>
              </w:rPr>
              <w:t>1</w:t>
            </w:r>
          </w:p>
        </w:tc>
        <w:tc>
          <w:tcPr>
            <w:tcW w:w="656" w:type="pct"/>
            <w:shd w:val="clear" w:color="auto" w:fill="D9D9D9"/>
            <w:noWrap/>
            <w:vAlign w:val="center"/>
          </w:tcPr>
          <w:p w14:paraId="2C0945CC" w14:textId="77777777" w:rsidR="00024F56" w:rsidRDefault="0022519B">
            <w:pPr>
              <w:widowControl/>
              <w:jc w:val="center"/>
              <w:rPr>
                <w:rFonts w:ascii="Times New Roman" w:eastAsia="等线" w:hAnsi="Times New Roman" w:cs="Times New Roman"/>
                <w:color w:val="000000"/>
                <w:kern w:val="0"/>
                <w:sz w:val="20"/>
                <w:szCs w:val="20"/>
              </w:rPr>
            </w:pPr>
            <w:r>
              <w:rPr>
                <w:rFonts w:ascii="Times New Roman" w:eastAsia="等线" w:hAnsi="Times New Roman" w:cs="Times New Roman"/>
                <w:color w:val="000000"/>
                <w:kern w:val="0"/>
                <w:sz w:val="20"/>
                <w:szCs w:val="20"/>
              </w:rPr>
              <w:t>1</w:t>
            </w:r>
          </w:p>
        </w:tc>
      </w:tr>
      <w:tr w:rsidR="00024F56" w14:paraId="72759C3F" w14:textId="77777777">
        <w:trPr>
          <w:trHeight w:val="1215"/>
        </w:trPr>
        <w:tc>
          <w:tcPr>
            <w:tcW w:w="2193" w:type="pct"/>
            <w:shd w:val="clear" w:color="auto" w:fill="auto"/>
            <w:vAlign w:val="center"/>
          </w:tcPr>
          <w:p w14:paraId="501D1E74" w14:textId="77777777" w:rsidR="00024F56" w:rsidRDefault="0022519B">
            <w:pPr>
              <w:widowControl/>
              <w:rPr>
                <w:rFonts w:ascii="Times New Roman" w:eastAsia="等线" w:hAnsi="Times New Roman" w:cs="Times New Roman"/>
                <w:color w:val="000000"/>
                <w:kern w:val="0"/>
                <w:sz w:val="20"/>
                <w:szCs w:val="20"/>
              </w:rPr>
            </w:pPr>
            <w:r>
              <w:rPr>
                <w:rFonts w:ascii="Times New Roman" w:eastAsia="等线" w:hAnsi="Times New Roman" w:cs="Times New Roman"/>
                <w:color w:val="000000"/>
                <w:kern w:val="0"/>
                <w:sz w:val="20"/>
                <w:szCs w:val="20"/>
              </w:rPr>
              <w:t xml:space="preserve">Cut-off analyses - determine risk groups by either the median, a previously published cut-off or report a continuous risk variable. Reduces the risk of </w:t>
            </w:r>
            <w:r>
              <w:rPr>
                <w:rFonts w:ascii="Times New Roman" w:eastAsia="等线" w:hAnsi="Times New Roman" w:cs="Times New Roman"/>
                <w:color w:val="000000"/>
                <w:kern w:val="0"/>
                <w:sz w:val="20"/>
                <w:szCs w:val="20"/>
              </w:rPr>
              <w:t>reporting overly optimistic results</w:t>
            </w:r>
          </w:p>
        </w:tc>
        <w:tc>
          <w:tcPr>
            <w:tcW w:w="1537" w:type="pct"/>
            <w:shd w:val="clear" w:color="auto" w:fill="auto"/>
            <w:noWrap/>
            <w:vAlign w:val="center"/>
          </w:tcPr>
          <w:p w14:paraId="082615B2" w14:textId="77777777" w:rsidR="00024F56" w:rsidRDefault="0022519B">
            <w:pPr>
              <w:widowControl/>
              <w:jc w:val="center"/>
              <w:rPr>
                <w:rFonts w:ascii="Times New Roman" w:eastAsia="等线" w:hAnsi="Times New Roman" w:cs="Times New Roman"/>
                <w:color w:val="000000"/>
                <w:kern w:val="0"/>
                <w:sz w:val="20"/>
                <w:szCs w:val="20"/>
              </w:rPr>
            </w:pPr>
            <w:r>
              <w:rPr>
                <w:rFonts w:ascii="Times New Roman" w:eastAsia="等线" w:hAnsi="Times New Roman" w:cs="Times New Roman"/>
                <w:color w:val="000000"/>
                <w:kern w:val="0"/>
                <w:sz w:val="20"/>
                <w:szCs w:val="20"/>
              </w:rPr>
              <w:t>1</w:t>
            </w:r>
          </w:p>
        </w:tc>
        <w:tc>
          <w:tcPr>
            <w:tcW w:w="614" w:type="pct"/>
            <w:shd w:val="clear" w:color="auto" w:fill="auto"/>
            <w:vAlign w:val="center"/>
          </w:tcPr>
          <w:p w14:paraId="381B0111" w14:textId="77777777" w:rsidR="00024F56" w:rsidRDefault="0022519B">
            <w:pPr>
              <w:widowControl/>
              <w:jc w:val="center"/>
              <w:rPr>
                <w:rFonts w:ascii="Times New Roman" w:eastAsia="等线" w:hAnsi="Times New Roman" w:cs="Times New Roman"/>
                <w:color w:val="000000"/>
                <w:kern w:val="0"/>
                <w:sz w:val="20"/>
                <w:szCs w:val="20"/>
              </w:rPr>
            </w:pPr>
            <w:r>
              <w:rPr>
                <w:rFonts w:ascii="Times New Roman" w:eastAsia="等线" w:hAnsi="Times New Roman" w:cs="Times New Roman"/>
                <w:color w:val="000000"/>
                <w:kern w:val="0"/>
                <w:sz w:val="20"/>
                <w:szCs w:val="20"/>
              </w:rPr>
              <w:t>1</w:t>
            </w:r>
          </w:p>
        </w:tc>
        <w:tc>
          <w:tcPr>
            <w:tcW w:w="656" w:type="pct"/>
            <w:shd w:val="clear" w:color="auto" w:fill="auto"/>
            <w:noWrap/>
            <w:vAlign w:val="center"/>
          </w:tcPr>
          <w:p w14:paraId="7F04B3E0" w14:textId="77777777" w:rsidR="00024F56" w:rsidRDefault="0022519B">
            <w:pPr>
              <w:widowControl/>
              <w:jc w:val="center"/>
              <w:rPr>
                <w:rFonts w:ascii="Times New Roman" w:eastAsia="等线" w:hAnsi="Times New Roman" w:cs="Times New Roman"/>
                <w:color w:val="000000"/>
                <w:kern w:val="0"/>
                <w:sz w:val="20"/>
                <w:szCs w:val="20"/>
              </w:rPr>
            </w:pPr>
            <w:r>
              <w:rPr>
                <w:rFonts w:ascii="Times New Roman" w:eastAsia="等线" w:hAnsi="Times New Roman" w:cs="Times New Roman"/>
                <w:color w:val="000000"/>
                <w:kern w:val="0"/>
                <w:sz w:val="20"/>
                <w:szCs w:val="20"/>
              </w:rPr>
              <w:t>1</w:t>
            </w:r>
          </w:p>
        </w:tc>
      </w:tr>
      <w:tr w:rsidR="00024F56" w14:paraId="57BE04A3" w14:textId="77777777">
        <w:trPr>
          <w:trHeight w:val="1494"/>
        </w:trPr>
        <w:tc>
          <w:tcPr>
            <w:tcW w:w="2193" w:type="pct"/>
            <w:shd w:val="clear" w:color="auto" w:fill="D9D9D9"/>
            <w:vAlign w:val="center"/>
          </w:tcPr>
          <w:p w14:paraId="24F8111A" w14:textId="77777777" w:rsidR="00024F56" w:rsidRDefault="0022519B">
            <w:pPr>
              <w:widowControl/>
              <w:rPr>
                <w:rFonts w:ascii="Times New Roman" w:eastAsia="等线" w:hAnsi="Times New Roman" w:cs="Times New Roman"/>
                <w:color w:val="000000"/>
                <w:kern w:val="0"/>
                <w:sz w:val="20"/>
                <w:szCs w:val="20"/>
              </w:rPr>
            </w:pPr>
            <w:r>
              <w:rPr>
                <w:rFonts w:ascii="Times New Roman" w:eastAsia="等线" w:hAnsi="Times New Roman" w:cs="Times New Roman"/>
                <w:color w:val="000000"/>
                <w:kern w:val="0"/>
                <w:sz w:val="20"/>
                <w:szCs w:val="20"/>
              </w:rPr>
              <w:t xml:space="preserve">Discrimination statistics - report discrimination statistics (for example, C-statistic, ROC curve, AUC) and their statistical significance (for example, p-values, confidence intervals). One can also apply </w:t>
            </w:r>
            <w:r>
              <w:rPr>
                <w:rFonts w:ascii="Times New Roman" w:eastAsia="等线" w:hAnsi="Times New Roman" w:cs="Times New Roman"/>
                <w:color w:val="000000"/>
                <w:kern w:val="0"/>
                <w:sz w:val="20"/>
                <w:szCs w:val="20"/>
              </w:rPr>
              <w:t>resampling method (for example, bootstrapping, cross-validation)</w:t>
            </w:r>
          </w:p>
        </w:tc>
        <w:tc>
          <w:tcPr>
            <w:tcW w:w="1537" w:type="pct"/>
            <w:shd w:val="clear" w:color="auto" w:fill="D9D9D9"/>
            <w:vAlign w:val="center"/>
          </w:tcPr>
          <w:p w14:paraId="5BB4E1CB" w14:textId="77777777" w:rsidR="00024F56" w:rsidRDefault="0022519B">
            <w:pPr>
              <w:widowControl/>
              <w:rPr>
                <w:rFonts w:ascii="Times New Roman" w:eastAsia="等线" w:hAnsi="Times New Roman" w:cs="Times New Roman"/>
                <w:color w:val="000000"/>
                <w:kern w:val="0"/>
                <w:sz w:val="20"/>
                <w:szCs w:val="20"/>
              </w:rPr>
            </w:pPr>
            <w:r>
              <w:rPr>
                <w:rFonts w:ascii="Times New Roman" w:eastAsia="等线" w:hAnsi="Times New Roman" w:cs="Times New Roman"/>
                <w:color w:val="000000"/>
                <w:kern w:val="0"/>
                <w:sz w:val="20"/>
                <w:szCs w:val="20"/>
              </w:rPr>
              <w:t>+ 1 (if a discrimination statistic and its statistical significance are reported) + 1 (if a resampling method technique is also applied)</w:t>
            </w:r>
          </w:p>
        </w:tc>
        <w:tc>
          <w:tcPr>
            <w:tcW w:w="614" w:type="pct"/>
            <w:shd w:val="clear" w:color="auto" w:fill="D9D9D9"/>
            <w:vAlign w:val="center"/>
          </w:tcPr>
          <w:p w14:paraId="4547104C" w14:textId="77777777" w:rsidR="00024F56" w:rsidRDefault="0022519B">
            <w:pPr>
              <w:widowControl/>
              <w:jc w:val="center"/>
              <w:rPr>
                <w:rFonts w:ascii="Times New Roman" w:eastAsia="等线" w:hAnsi="Times New Roman" w:cs="Times New Roman"/>
                <w:color w:val="000000"/>
                <w:kern w:val="0"/>
                <w:sz w:val="20"/>
                <w:szCs w:val="20"/>
              </w:rPr>
            </w:pPr>
            <w:r>
              <w:rPr>
                <w:rFonts w:ascii="Times New Roman" w:eastAsia="等线" w:hAnsi="Times New Roman" w:cs="Times New Roman"/>
                <w:color w:val="000000"/>
                <w:kern w:val="0"/>
                <w:sz w:val="20"/>
                <w:szCs w:val="20"/>
              </w:rPr>
              <w:t>2</w:t>
            </w:r>
          </w:p>
        </w:tc>
        <w:tc>
          <w:tcPr>
            <w:tcW w:w="656" w:type="pct"/>
            <w:shd w:val="clear" w:color="auto" w:fill="D9D9D9"/>
            <w:noWrap/>
            <w:vAlign w:val="center"/>
          </w:tcPr>
          <w:p w14:paraId="52490E7F" w14:textId="77777777" w:rsidR="00024F56" w:rsidRDefault="0022519B">
            <w:pPr>
              <w:widowControl/>
              <w:jc w:val="center"/>
              <w:rPr>
                <w:rFonts w:ascii="Times New Roman" w:eastAsia="等线" w:hAnsi="Times New Roman" w:cs="Times New Roman"/>
                <w:color w:val="000000"/>
                <w:kern w:val="0"/>
                <w:sz w:val="20"/>
                <w:szCs w:val="20"/>
              </w:rPr>
            </w:pPr>
            <w:r>
              <w:rPr>
                <w:rFonts w:ascii="Times New Roman" w:eastAsia="等线" w:hAnsi="Times New Roman" w:cs="Times New Roman"/>
                <w:color w:val="000000"/>
                <w:kern w:val="0"/>
                <w:sz w:val="20"/>
                <w:szCs w:val="20"/>
              </w:rPr>
              <w:t>2</w:t>
            </w:r>
          </w:p>
        </w:tc>
      </w:tr>
      <w:tr w:rsidR="00024F56" w14:paraId="6BC44AA3" w14:textId="77777777">
        <w:trPr>
          <w:trHeight w:val="1431"/>
        </w:trPr>
        <w:tc>
          <w:tcPr>
            <w:tcW w:w="2193" w:type="pct"/>
            <w:shd w:val="clear" w:color="auto" w:fill="auto"/>
            <w:vAlign w:val="center"/>
          </w:tcPr>
          <w:p w14:paraId="2FC4CDA3" w14:textId="77777777" w:rsidR="00024F56" w:rsidRDefault="0022519B">
            <w:pPr>
              <w:widowControl/>
              <w:rPr>
                <w:rFonts w:ascii="Times New Roman" w:eastAsia="等线" w:hAnsi="Times New Roman" w:cs="Times New Roman"/>
                <w:color w:val="000000"/>
                <w:kern w:val="0"/>
                <w:sz w:val="20"/>
                <w:szCs w:val="20"/>
              </w:rPr>
            </w:pPr>
            <w:r>
              <w:rPr>
                <w:rFonts w:ascii="Times New Roman" w:eastAsia="等线" w:hAnsi="Times New Roman" w:cs="Times New Roman"/>
                <w:color w:val="000000"/>
                <w:kern w:val="0"/>
                <w:sz w:val="20"/>
                <w:szCs w:val="20"/>
              </w:rPr>
              <w:t>Calibration statistics - report calibration stati</w:t>
            </w:r>
            <w:r>
              <w:rPr>
                <w:rFonts w:ascii="Times New Roman" w:eastAsia="等线" w:hAnsi="Times New Roman" w:cs="Times New Roman"/>
                <w:color w:val="000000"/>
                <w:kern w:val="0"/>
                <w:sz w:val="20"/>
                <w:szCs w:val="20"/>
              </w:rPr>
              <w:t>stics (for example, Calibration-in-the-large/slope, calibration plots) and their statistical significance (for example,</w:t>
            </w:r>
            <w:r>
              <w:rPr>
                <w:rFonts w:ascii="Times New Roman" w:eastAsia="等线" w:hAnsi="Times New Roman" w:cs="Times New Roman" w:hint="eastAsia"/>
                <w:color w:val="000000"/>
                <w:kern w:val="0"/>
                <w:sz w:val="20"/>
                <w:szCs w:val="20"/>
              </w:rPr>
              <w:t xml:space="preserve"> </w:t>
            </w:r>
            <w:r>
              <w:rPr>
                <w:rFonts w:ascii="Times New Roman" w:eastAsia="等线" w:hAnsi="Times New Roman" w:cs="Times New Roman"/>
                <w:color w:val="000000"/>
                <w:kern w:val="0"/>
                <w:sz w:val="20"/>
                <w:szCs w:val="20"/>
              </w:rPr>
              <w:t>P-values, confidence intervals). One can also apply resampling method (for example, bootstrapping, cross-validation)</w:t>
            </w:r>
          </w:p>
        </w:tc>
        <w:tc>
          <w:tcPr>
            <w:tcW w:w="1537" w:type="pct"/>
            <w:shd w:val="clear" w:color="auto" w:fill="auto"/>
            <w:vAlign w:val="center"/>
          </w:tcPr>
          <w:p w14:paraId="2C11B9B0" w14:textId="77777777" w:rsidR="00024F56" w:rsidRDefault="0022519B">
            <w:pPr>
              <w:widowControl/>
              <w:rPr>
                <w:rFonts w:ascii="Times New Roman" w:eastAsia="等线" w:hAnsi="Times New Roman" w:cs="Times New Roman"/>
                <w:color w:val="000000"/>
                <w:kern w:val="0"/>
                <w:sz w:val="20"/>
                <w:szCs w:val="20"/>
              </w:rPr>
            </w:pPr>
            <w:r>
              <w:rPr>
                <w:rFonts w:ascii="Times New Roman" w:eastAsia="等线" w:hAnsi="Times New Roman" w:cs="Times New Roman"/>
                <w:color w:val="000000"/>
                <w:kern w:val="0"/>
                <w:sz w:val="20"/>
                <w:szCs w:val="20"/>
              </w:rPr>
              <w:t>+ 1 (if a calibrati</w:t>
            </w:r>
            <w:r>
              <w:rPr>
                <w:rFonts w:ascii="Times New Roman" w:eastAsia="等线" w:hAnsi="Times New Roman" w:cs="Times New Roman"/>
                <w:color w:val="000000"/>
                <w:kern w:val="0"/>
                <w:sz w:val="20"/>
                <w:szCs w:val="20"/>
              </w:rPr>
              <w:t>on statistic and its statistical significance are reported) + 1 (if a resampling method technique is also applied)</w:t>
            </w:r>
          </w:p>
        </w:tc>
        <w:tc>
          <w:tcPr>
            <w:tcW w:w="614" w:type="pct"/>
            <w:shd w:val="clear" w:color="auto" w:fill="auto"/>
            <w:vAlign w:val="center"/>
          </w:tcPr>
          <w:p w14:paraId="3F0D55C0" w14:textId="77777777" w:rsidR="00024F56" w:rsidRDefault="0022519B">
            <w:pPr>
              <w:widowControl/>
              <w:jc w:val="center"/>
              <w:rPr>
                <w:rFonts w:ascii="Times New Roman" w:eastAsia="等线" w:hAnsi="Times New Roman" w:cs="Times New Roman"/>
                <w:color w:val="000000"/>
                <w:kern w:val="0"/>
                <w:sz w:val="20"/>
                <w:szCs w:val="20"/>
              </w:rPr>
            </w:pPr>
            <w:r>
              <w:rPr>
                <w:rFonts w:ascii="Times New Roman" w:eastAsia="等线" w:hAnsi="Times New Roman" w:cs="Times New Roman"/>
                <w:color w:val="000000"/>
                <w:kern w:val="0"/>
                <w:sz w:val="20"/>
                <w:szCs w:val="20"/>
              </w:rPr>
              <w:t>2</w:t>
            </w:r>
          </w:p>
        </w:tc>
        <w:tc>
          <w:tcPr>
            <w:tcW w:w="656" w:type="pct"/>
            <w:shd w:val="clear" w:color="auto" w:fill="auto"/>
            <w:noWrap/>
            <w:vAlign w:val="center"/>
          </w:tcPr>
          <w:p w14:paraId="7D9F8528" w14:textId="77777777" w:rsidR="00024F56" w:rsidRDefault="0022519B">
            <w:pPr>
              <w:widowControl/>
              <w:jc w:val="center"/>
              <w:rPr>
                <w:rFonts w:ascii="Times New Roman" w:eastAsia="等线" w:hAnsi="Times New Roman" w:cs="Times New Roman"/>
                <w:color w:val="000000"/>
                <w:kern w:val="0"/>
                <w:sz w:val="20"/>
                <w:szCs w:val="20"/>
              </w:rPr>
            </w:pPr>
            <w:r>
              <w:rPr>
                <w:rFonts w:ascii="Times New Roman" w:eastAsia="等线" w:hAnsi="Times New Roman" w:cs="Times New Roman"/>
                <w:color w:val="000000"/>
                <w:kern w:val="0"/>
                <w:sz w:val="20"/>
                <w:szCs w:val="20"/>
              </w:rPr>
              <w:t>2</w:t>
            </w:r>
          </w:p>
        </w:tc>
      </w:tr>
      <w:tr w:rsidR="00024F56" w14:paraId="093337FD" w14:textId="77777777">
        <w:trPr>
          <w:trHeight w:val="981"/>
        </w:trPr>
        <w:tc>
          <w:tcPr>
            <w:tcW w:w="2193" w:type="pct"/>
            <w:shd w:val="clear" w:color="auto" w:fill="D9D9D9"/>
            <w:vAlign w:val="center"/>
          </w:tcPr>
          <w:p w14:paraId="647039D6" w14:textId="77777777" w:rsidR="00024F56" w:rsidRDefault="0022519B">
            <w:pPr>
              <w:widowControl/>
              <w:rPr>
                <w:rFonts w:ascii="Times New Roman" w:eastAsia="等线" w:hAnsi="Times New Roman" w:cs="Times New Roman"/>
                <w:color w:val="000000"/>
                <w:kern w:val="0"/>
                <w:sz w:val="20"/>
                <w:szCs w:val="20"/>
              </w:rPr>
            </w:pPr>
            <w:r>
              <w:rPr>
                <w:rFonts w:ascii="Times New Roman" w:eastAsia="等线" w:hAnsi="Times New Roman" w:cs="Times New Roman"/>
                <w:color w:val="000000"/>
                <w:kern w:val="0"/>
                <w:sz w:val="20"/>
                <w:szCs w:val="20"/>
              </w:rPr>
              <w:lastRenderedPageBreak/>
              <w:t xml:space="preserve">Prospective study registered in a trial database - provides the highest level of evidence supporting the clinical validity and </w:t>
            </w:r>
            <w:r>
              <w:rPr>
                <w:rFonts w:ascii="Times New Roman" w:eastAsia="等线" w:hAnsi="Times New Roman" w:cs="Times New Roman"/>
                <w:color w:val="000000"/>
                <w:kern w:val="0"/>
                <w:sz w:val="20"/>
                <w:szCs w:val="20"/>
              </w:rPr>
              <w:t>usefulness of the radiomics biomarker</w:t>
            </w:r>
          </w:p>
        </w:tc>
        <w:tc>
          <w:tcPr>
            <w:tcW w:w="1537" w:type="pct"/>
            <w:shd w:val="clear" w:color="auto" w:fill="D9D9D9"/>
            <w:vAlign w:val="center"/>
          </w:tcPr>
          <w:p w14:paraId="4067B2DD" w14:textId="77777777" w:rsidR="00024F56" w:rsidRDefault="0022519B">
            <w:pPr>
              <w:widowControl/>
              <w:rPr>
                <w:rFonts w:ascii="Times New Roman" w:eastAsia="等线" w:hAnsi="Times New Roman" w:cs="Times New Roman"/>
                <w:color w:val="000000"/>
                <w:kern w:val="0"/>
                <w:sz w:val="20"/>
                <w:szCs w:val="20"/>
              </w:rPr>
            </w:pPr>
            <w:r>
              <w:rPr>
                <w:rFonts w:ascii="Times New Roman" w:eastAsia="等线" w:hAnsi="Times New Roman" w:cs="Times New Roman"/>
                <w:color w:val="000000"/>
                <w:kern w:val="0"/>
                <w:sz w:val="20"/>
                <w:szCs w:val="20"/>
              </w:rPr>
              <w:t>+ 7 (for prospective validation of a radiomics signature in an appropriate trial)</w:t>
            </w:r>
          </w:p>
        </w:tc>
        <w:tc>
          <w:tcPr>
            <w:tcW w:w="614" w:type="pct"/>
            <w:shd w:val="clear" w:color="auto" w:fill="D9D9D9"/>
            <w:vAlign w:val="center"/>
          </w:tcPr>
          <w:p w14:paraId="6545A63E" w14:textId="77777777" w:rsidR="00024F56" w:rsidRDefault="0022519B">
            <w:pPr>
              <w:widowControl/>
              <w:jc w:val="center"/>
              <w:rPr>
                <w:rFonts w:ascii="Times New Roman" w:eastAsia="等线" w:hAnsi="Times New Roman" w:cs="Times New Roman"/>
                <w:color w:val="000000"/>
                <w:kern w:val="0"/>
                <w:sz w:val="20"/>
                <w:szCs w:val="20"/>
              </w:rPr>
            </w:pPr>
            <w:r>
              <w:rPr>
                <w:rFonts w:ascii="Times New Roman" w:eastAsia="等线" w:hAnsi="Times New Roman" w:cs="Times New Roman"/>
                <w:color w:val="000000"/>
                <w:kern w:val="0"/>
                <w:sz w:val="20"/>
                <w:szCs w:val="20"/>
              </w:rPr>
              <w:t>7</w:t>
            </w:r>
          </w:p>
        </w:tc>
        <w:tc>
          <w:tcPr>
            <w:tcW w:w="656" w:type="pct"/>
            <w:shd w:val="clear" w:color="auto" w:fill="D9D9D9"/>
            <w:noWrap/>
            <w:vAlign w:val="center"/>
          </w:tcPr>
          <w:p w14:paraId="3C07902F" w14:textId="77777777" w:rsidR="00024F56" w:rsidRDefault="0022519B">
            <w:pPr>
              <w:widowControl/>
              <w:jc w:val="center"/>
              <w:rPr>
                <w:rFonts w:ascii="Times New Roman" w:eastAsia="等线" w:hAnsi="Times New Roman" w:cs="Times New Roman"/>
                <w:color w:val="000000"/>
                <w:kern w:val="0"/>
                <w:sz w:val="20"/>
                <w:szCs w:val="20"/>
              </w:rPr>
            </w:pPr>
            <w:r>
              <w:rPr>
                <w:rFonts w:ascii="Times New Roman" w:eastAsia="等线" w:hAnsi="Times New Roman" w:cs="Times New Roman"/>
                <w:color w:val="000000"/>
                <w:kern w:val="0"/>
                <w:sz w:val="20"/>
                <w:szCs w:val="20"/>
              </w:rPr>
              <w:t>0</w:t>
            </w:r>
          </w:p>
        </w:tc>
      </w:tr>
      <w:tr w:rsidR="00024F56" w14:paraId="760C80CC" w14:textId="77777777">
        <w:trPr>
          <w:trHeight w:val="2880"/>
        </w:trPr>
        <w:tc>
          <w:tcPr>
            <w:tcW w:w="2193" w:type="pct"/>
            <w:shd w:val="clear" w:color="auto" w:fill="auto"/>
            <w:vAlign w:val="center"/>
          </w:tcPr>
          <w:p w14:paraId="0CF7A161" w14:textId="77777777" w:rsidR="00024F56" w:rsidRDefault="0022519B">
            <w:pPr>
              <w:widowControl/>
              <w:rPr>
                <w:rFonts w:ascii="Times New Roman" w:eastAsia="等线" w:hAnsi="Times New Roman" w:cs="Times New Roman"/>
                <w:color w:val="000000"/>
                <w:kern w:val="0"/>
                <w:sz w:val="20"/>
                <w:szCs w:val="20"/>
              </w:rPr>
            </w:pPr>
            <w:r>
              <w:rPr>
                <w:rFonts w:ascii="Times New Roman" w:eastAsia="等线" w:hAnsi="Times New Roman" w:cs="Times New Roman"/>
                <w:color w:val="000000"/>
                <w:kern w:val="0"/>
                <w:sz w:val="20"/>
                <w:szCs w:val="20"/>
              </w:rPr>
              <w:t xml:space="preserve">Validation - the validation is performed without retraining and without adaptation of the cut-off value, provides crucial </w:t>
            </w:r>
            <w:r>
              <w:rPr>
                <w:rFonts w:ascii="Times New Roman" w:eastAsia="等线" w:hAnsi="Times New Roman" w:cs="Times New Roman"/>
                <w:color w:val="000000"/>
                <w:kern w:val="0"/>
                <w:sz w:val="20"/>
                <w:szCs w:val="20"/>
              </w:rPr>
              <w:t>information with regard to credible clinical performance</w:t>
            </w:r>
          </w:p>
        </w:tc>
        <w:tc>
          <w:tcPr>
            <w:tcW w:w="1537" w:type="pct"/>
            <w:shd w:val="clear" w:color="auto" w:fill="auto"/>
            <w:vAlign w:val="center"/>
          </w:tcPr>
          <w:p w14:paraId="12F6D01F" w14:textId="77777777" w:rsidR="00024F56" w:rsidRDefault="0022519B">
            <w:pPr>
              <w:widowControl/>
              <w:rPr>
                <w:rFonts w:ascii="Times New Roman" w:eastAsia="等线" w:hAnsi="Times New Roman" w:cs="Times New Roman"/>
                <w:color w:val="000000"/>
                <w:kern w:val="0"/>
                <w:sz w:val="20"/>
                <w:szCs w:val="20"/>
              </w:rPr>
            </w:pPr>
            <w:r>
              <w:rPr>
                <w:rFonts w:ascii="Times New Roman" w:eastAsia="等线" w:hAnsi="Times New Roman" w:cs="Times New Roman"/>
                <w:color w:val="000000"/>
                <w:kern w:val="0"/>
                <w:sz w:val="20"/>
                <w:szCs w:val="20"/>
              </w:rPr>
              <w:t xml:space="preserve">- 5 </w:t>
            </w:r>
            <w:proofErr w:type="gramStart"/>
            <w:r>
              <w:rPr>
                <w:rFonts w:ascii="Times New Roman" w:eastAsia="等线" w:hAnsi="Times New Roman" w:cs="Times New Roman"/>
                <w:color w:val="000000"/>
                <w:kern w:val="0"/>
                <w:sz w:val="20"/>
                <w:szCs w:val="20"/>
              </w:rPr>
              <w:t xml:space="preserve">   (</w:t>
            </w:r>
            <w:proofErr w:type="gramEnd"/>
            <w:r>
              <w:rPr>
                <w:rFonts w:ascii="Times New Roman" w:eastAsia="等线" w:hAnsi="Times New Roman" w:cs="Times New Roman"/>
                <w:color w:val="000000"/>
                <w:kern w:val="0"/>
                <w:sz w:val="20"/>
                <w:szCs w:val="20"/>
              </w:rPr>
              <w:t xml:space="preserve">if validation is missing)  + 2 (if validation is based on a dataset from the same institute) + 3 (if validation is based on a dataset from another institute)  + 4  (if validation is </w:t>
            </w:r>
            <w:r>
              <w:rPr>
                <w:rFonts w:ascii="Times New Roman" w:eastAsia="等线" w:hAnsi="Times New Roman" w:cs="Times New Roman"/>
                <w:color w:val="000000"/>
                <w:kern w:val="0"/>
                <w:sz w:val="20"/>
                <w:szCs w:val="20"/>
              </w:rPr>
              <w:t>based on two datasets from two distinct institutes) + 4 (if the study validates a previously published signature) + 5 (if validation is based on three or more datasets from distinct institutes)</w:t>
            </w:r>
          </w:p>
        </w:tc>
        <w:tc>
          <w:tcPr>
            <w:tcW w:w="614" w:type="pct"/>
            <w:shd w:val="clear" w:color="auto" w:fill="auto"/>
            <w:vAlign w:val="center"/>
          </w:tcPr>
          <w:p w14:paraId="219AEC7C" w14:textId="77777777" w:rsidR="00024F56" w:rsidRDefault="0022519B">
            <w:pPr>
              <w:widowControl/>
              <w:jc w:val="center"/>
              <w:rPr>
                <w:rFonts w:ascii="Times New Roman" w:eastAsia="等线" w:hAnsi="Times New Roman" w:cs="Times New Roman"/>
                <w:color w:val="000000"/>
                <w:kern w:val="0"/>
                <w:sz w:val="20"/>
                <w:szCs w:val="20"/>
              </w:rPr>
            </w:pPr>
            <w:r>
              <w:rPr>
                <w:rFonts w:ascii="Times New Roman" w:eastAsia="等线" w:hAnsi="Times New Roman" w:cs="Times New Roman"/>
                <w:color w:val="000000"/>
                <w:kern w:val="0"/>
                <w:sz w:val="20"/>
                <w:szCs w:val="20"/>
              </w:rPr>
              <w:t>5</w:t>
            </w:r>
          </w:p>
        </w:tc>
        <w:tc>
          <w:tcPr>
            <w:tcW w:w="656" w:type="pct"/>
            <w:shd w:val="clear" w:color="auto" w:fill="auto"/>
            <w:noWrap/>
            <w:vAlign w:val="center"/>
          </w:tcPr>
          <w:p w14:paraId="4F6F25DD" w14:textId="77777777" w:rsidR="00024F56" w:rsidRDefault="0022519B">
            <w:pPr>
              <w:widowControl/>
              <w:jc w:val="center"/>
              <w:rPr>
                <w:rFonts w:ascii="Times New Roman" w:eastAsia="等线" w:hAnsi="Times New Roman" w:cs="Times New Roman"/>
                <w:color w:val="000000"/>
                <w:kern w:val="0"/>
                <w:sz w:val="20"/>
                <w:szCs w:val="20"/>
              </w:rPr>
            </w:pPr>
            <w:r>
              <w:rPr>
                <w:rFonts w:ascii="Times New Roman" w:eastAsia="等线" w:hAnsi="Times New Roman" w:cs="Times New Roman" w:hint="eastAsia"/>
                <w:color w:val="000000"/>
                <w:kern w:val="0"/>
                <w:sz w:val="20"/>
                <w:szCs w:val="20"/>
              </w:rPr>
              <w:t>3</w:t>
            </w:r>
          </w:p>
        </w:tc>
      </w:tr>
      <w:tr w:rsidR="00024F56" w14:paraId="3C9FFE79" w14:textId="77777777">
        <w:trPr>
          <w:trHeight w:val="1515"/>
        </w:trPr>
        <w:tc>
          <w:tcPr>
            <w:tcW w:w="2193" w:type="pct"/>
            <w:shd w:val="clear" w:color="auto" w:fill="D9D9D9"/>
            <w:vAlign w:val="center"/>
          </w:tcPr>
          <w:p w14:paraId="58B6196E" w14:textId="77777777" w:rsidR="00024F56" w:rsidRDefault="0022519B">
            <w:pPr>
              <w:widowControl/>
              <w:rPr>
                <w:rFonts w:ascii="Times New Roman" w:eastAsia="等线" w:hAnsi="Times New Roman" w:cs="Times New Roman"/>
                <w:color w:val="000000"/>
                <w:kern w:val="0"/>
                <w:sz w:val="20"/>
                <w:szCs w:val="20"/>
              </w:rPr>
            </w:pPr>
            <w:r>
              <w:rPr>
                <w:rFonts w:ascii="Times New Roman" w:eastAsia="等线" w:hAnsi="Times New Roman" w:cs="Times New Roman"/>
                <w:color w:val="000000"/>
                <w:kern w:val="0"/>
                <w:sz w:val="20"/>
                <w:szCs w:val="20"/>
              </w:rPr>
              <w:t>Comparison to 'gold standard' - assess the extent to whic</w:t>
            </w:r>
            <w:r>
              <w:rPr>
                <w:rFonts w:ascii="Times New Roman" w:eastAsia="等线" w:hAnsi="Times New Roman" w:cs="Times New Roman"/>
                <w:color w:val="000000"/>
                <w:kern w:val="0"/>
                <w:sz w:val="20"/>
                <w:szCs w:val="20"/>
              </w:rPr>
              <w:t>h the model agrees with/is superior to the current 'gold standard' method (for example, TNM-staging for survival prediction). This comparison shows the added value of radiomics</w:t>
            </w:r>
          </w:p>
        </w:tc>
        <w:tc>
          <w:tcPr>
            <w:tcW w:w="1537" w:type="pct"/>
            <w:shd w:val="clear" w:color="auto" w:fill="D9D9D9"/>
            <w:noWrap/>
            <w:vAlign w:val="center"/>
          </w:tcPr>
          <w:p w14:paraId="5CFA6C99" w14:textId="77777777" w:rsidR="00024F56" w:rsidRDefault="0022519B">
            <w:pPr>
              <w:widowControl/>
              <w:jc w:val="center"/>
              <w:rPr>
                <w:rFonts w:ascii="Times New Roman" w:eastAsia="等线" w:hAnsi="Times New Roman" w:cs="Times New Roman"/>
                <w:color w:val="000000"/>
                <w:kern w:val="0"/>
                <w:sz w:val="20"/>
                <w:szCs w:val="20"/>
              </w:rPr>
            </w:pPr>
            <w:r>
              <w:rPr>
                <w:rFonts w:ascii="Times New Roman" w:eastAsia="等线" w:hAnsi="Times New Roman" w:cs="Times New Roman"/>
                <w:color w:val="000000"/>
                <w:kern w:val="0"/>
                <w:sz w:val="20"/>
                <w:szCs w:val="20"/>
              </w:rPr>
              <w:t>2</w:t>
            </w:r>
          </w:p>
        </w:tc>
        <w:tc>
          <w:tcPr>
            <w:tcW w:w="614" w:type="pct"/>
            <w:shd w:val="clear" w:color="auto" w:fill="D9D9D9"/>
            <w:vAlign w:val="center"/>
          </w:tcPr>
          <w:p w14:paraId="0E25090B" w14:textId="77777777" w:rsidR="00024F56" w:rsidRDefault="0022519B">
            <w:pPr>
              <w:widowControl/>
              <w:jc w:val="center"/>
              <w:rPr>
                <w:rFonts w:ascii="Times New Roman" w:eastAsia="等线" w:hAnsi="Times New Roman" w:cs="Times New Roman"/>
                <w:color w:val="000000"/>
                <w:kern w:val="0"/>
                <w:sz w:val="20"/>
                <w:szCs w:val="20"/>
              </w:rPr>
            </w:pPr>
            <w:r>
              <w:rPr>
                <w:rFonts w:ascii="Times New Roman" w:eastAsia="等线" w:hAnsi="Times New Roman" w:cs="Times New Roman"/>
                <w:color w:val="000000"/>
                <w:kern w:val="0"/>
                <w:sz w:val="20"/>
                <w:szCs w:val="20"/>
              </w:rPr>
              <w:t>2</w:t>
            </w:r>
          </w:p>
        </w:tc>
        <w:tc>
          <w:tcPr>
            <w:tcW w:w="656" w:type="pct"/>
            <w:shd w:val="clear" w:color="auto" w:fill="D9D9D9"/>
            <w:noWrap/>
            <w:vAlign w:val="center"/>
          </w:tcPr>
          <w:p w14:paraId="3DD8AE35" w14:textId="77777777" w:rsidR="00024F56" w:rsidRDefault="0022519B">
            <w:pPr>
              <w:widowControl/>
              <w:jc w:val="center"/>
              <w:rPr>
                <w:rFonts w:ascii="Times New Roman" w:eastAsia="等线" w:hAnsi="Times New Roman" w:cs="Times New Roman"/>
                <w:color w:val="000000"/>
                <w:kern w:val="0"/>
                <w:sz w:val="20"/>
                <w:szCs w:val="20"/>
              </w:rPr>
            </w:pPr>
            <w:r>
              <w:rPr>
                <w:rFonts w:ascii="Times New Roman" w:eastAsia="等线" w:hAnsi="Times New Roman" w:cs="Times New Roman"/>
                <w:color w:val="000000"/>
                <w:kern w:val="0"/>
                <w:sz w:val="20"/>
                <w:szCs w:val="20"/>
              </w:rPr>
              <w:t>2</w:t>
            </w:r>
          </w:p>
        </w:tc>
      </w:tr>
      <w:tr w:rsidR="00024F56" w14:paraId="6E9F727F" w14:textId="77777777">
        <w:trPr>
          <w:trHeight w:val="915"/>
        </w:trPr>
        <w:tc>
          <w:tcPr>
            <w:tcW w:w="2193" w:type="pct"/>
            <w:shd w:val="clear" w:color="auto" w:fill="auto"/>
            <w:vAlign w:val="center"/>
          </w:tcPr>
          <w:p w14:paraId="60F22BEA" w14:textId="77777777" w:rsidR="00024F56" w:rsidRDefault="0022519B">
            <w:pPr>
              <w:widowControl/>
              <w:rPr>
                <w:rFonts w:ascii="Times New Roman" w:eastAsia="等线" w:hAnsi="Times New Roman" w:cs="Times New Roman"/>
                <w:color w:val="000000"/>
                <w:kern w:val="0"/>
                <w:sz w:val="20"/>
                <w:szCs w:val="20"/>
              </w:rPr>
            </w:pPr>
            <w:r>
              <w:rPr>
                <w:rFonts w:ascii="Times New Roman" w:eastAsia="等线" w:hAnsi="Times New Roman" w:cs="Times New Roman"/>
                <w:color w:val="000000"/>
                <w:kern w:val="0"/>
                <w:sz w:val="20"/>
                <w:szCs w:val="20"/>
              </w:rPr>
              <w:t xml:space="preserve">Potential clinical utility - report on the current and </w:t>
            </w:r>
            <w:r>
              <w:rPr>
                <w:rFonts w:ascii="Times New Roman" w:eastAsia="等线" w:hAnsi="Times New Roman" w:cs="Times New Roman"/>
                <w:color w:val="000000"/>
                <w:kern w:val="0"/>
                <w:sz w:val="20"/>
                <w:szCs w:val="20"/>
              </w:rPr>
              <w:t>potential application of the model in a clinical setting (for example, decision curve analysis)</w:t>
            </w:r>
          </w:p>
        </w:tc>
        <w:tc>
          <w:tcPr>
            <w:tcW w:w="1537" w:type="pct"/>
            <w:shd w:val="clear" w:color="auto" w:fill="auto"/>
            <w:noWrap/>
            <w:vAlign w:val="center"/>
          </w:tcPr>
          <w:p w14:paraId="458BA68B" w14:textId="77777777" w:rsidR="00024F56" w:rsidRDefault="0022519B">
            <w:pPr>
              <w:widowControl/>
              <w:jc w:val="center"/>
              <w:rPr>
                <w:rFonts w:ascii="Times New Roman" w:eastAsia="等线" w:hAnsi="Times New Roman" w:cs="Times New Roman"/>
                <w:color w:val="000000"/>
                <w:kern w:val="0"/>
                <w:sz w:val="20"/>
                <w:szCs w:val="20"/>
              </w:rPr>
            </w:pPr>
            <w:r>
              <w:rPr>
                <w:rFonts w:ascii="Times New Roman" w:eastAsia="等线" w:hAnsi="Times New Roman" w:cs="Times New Roman"/>
                <w:color w:val="000000"/>
                <w:kern w:val="0"/>
                <w:sz w:val="20"/>
                <w:szCs w:val="20"/>
              </w:rPr>
              <w:t>2</w:t>
            </w:r>
          </w:p>
        </w:tc>
        <w:tc>
          <w:tcPr>
            <w:tcW w:w="614" w:type="pct"/>
            <w:shd w:val="clear" w:color="auto" w:fill="auto"/>
            <w:vAlign w:val="center"/>
          </w:tcPr>
          <w:p w14:paraId="198109FA" w14:textId="77777777" w:rsidR="00024F56" w:rsidRDefault="0022519B">
            <w:pPr>
              <w:widowControl/>
              <w:jc w:val="center"/>
              <w:rPr>
                <w:rFonts w:ascii="Times New Roman" w:eastAsia="等线" w:hAnsi="Times New Roman" w:cs="Times New Roman"/>
                <w:color w:val="000000"/>
                <w:kern w:val="0"/>
                <w:sz w:val="20"/>
                <w:szCs w:val="20"/>
              </w:rPr>
            </w:pPr>
            <w:r>
              <w:rPr>
                <w:rFonts w:ascii="Times New Roman" w:eastAsia="等线" w:hAnsi="Times New Roman" w:cs="Times New Roman"/>
                <w:color w:val="000000"/>
                <w:kern w:val="0"/>
                <w:sz w:val="20"/>
                <w:szCs w:val="20"/>
              </w:rPr>
              <w:t>2</w:t>
            </w:r>
          </w:p>
        </w:tc>
        <w:tc>
          <w:tcPr>
            <w:tcW w:w="656" w:type="pct"/>
            <w:shd w:val="clear" w:color="auto" w:fill="auto"/>
            <w:noWrap/>
            <w:vAlign w:val="center"/>
          </w:tcPr>
          <w:p w14:paraId="06686961" w14:textId="77777777" w:rsidR="00024F56" w:rsidRDefault="0022519B">
            <w:pPr>
              <w:widowControl/>
              <w:jc w:val="center"/>
              <w:rPr>
                <w:rFonts w:ascii="Times New Roman" w:eastAsia="等线" w:hAnsi="Times New Roman" w:cs="Times New Roman"/>
                <w:color w:val="000000"/>
                <w:kern w:val="0"/>
                <w:sz w:val="20"/>
                <w:szCs w:val="20"/>
              </w:rPr>
            </w:pPr>
            <w:r>
              <w:rPr>
                <w:rFonts w:ascii="Times New Roman" w:eastAsia="等线" w:hAnsi="Times New Roman" w:cs="Times New Roman" w:hint="eastAsia"/>
                <w:color w:val="000000"/>
                <w:kern w:val="0"/>
                <w:sz w:val="20"/>
                <w:szCs w:val="20"/>
              </w:rPr>
              <w:t>0</w:t>
            </w:r>
          </w:p>
        </w:tc>
      </w:tr>
      <w:tr w:rsidR="00024F56" w14:paraId="026764C4" w14:textId="77777777">
        <w:trPr>
          <w:trHeight w:val="915"/>
        </w:trPr>
        <w:tc>
          <w:tcPr>
            <w:tcW w:w="2193" w:type="pct"/>
            <w:shd w:val="clear" w:color="auto" w:fill="auto"/>
            <w:vAlign w:val="center"/>
          </w:tcPr>
          <w:p w14:paraId="75F85E2E" w14:textId="77777777" w:rsidR="00024F56" w:rsidRDefault="0022519B">
            <w:pPr>
              <w:widowControl/>
              <w:rPr>
                <w:rFonts w:ascii="Times New Roman" w:eastAsia="等线" w:hAnsi="Times New Roman" w:cs="Times New Roman"/>
                <w:color w:val="000000"/>
                <w:kern w:val="0"/>
                <w:sz w:val="20"/>
                <w:szCs w:val="20"/>
              </w:rPr>
            </w:pPr>
            <w:r>
              <w:rPr>
                <w:rFonts w:ascii="Times New Roman" w:eastAsia="等线" w:hAnsi="Times New Roman" w:cs="Times New Roman"/>
                <w:color w:val="000000"/>
                <w:kern w:val="0"/>
                <w:sz w:val="20"/>
                <w:szCs w:val="20"/>
              </w:rPr>
              <w:t>Cost-effectiveness analysis - report on the cost-effectiveness of the clinical application (for example, QALYs generated)</w:t>
            </w:r>
          </w:p>
        </w:tc>
        <w:tc>
          <w:tcPr>
            <w:tcW w:w="1537" w:type="pct"/>
            <w:shd w:val="clear" w:color="auto" w:fill="auto"/>
            <w:noWrap/>
            <w:vAlign w:val="center"/>
          </w:tcPr>
          <w:p w14:paraId="54420837" w14:textId="77777777" w:rsidR="00024F56" w:rsidRDefault="0022519B">
            <w:pPr>
              <w:widowControl/>
              <w:jc w:val="center"/>
              <w:rPr>
                <w:rFonts w:ascii="Times New Roman" w:eastAsia="等线" w:hAnsi="Times New Roman" w:cs="Times New Roman"/>
                <w:color w:val="000000"/>
                <w:kern w:val="0"/>
                <w:sz w:val="20"/>
                <w:szCs w:val="20"/>
              </w:rPr>
            </w:pPr>
            <w:r>
              <w:rPr>
                <w:rFonts w:ascii="Times New Roman" w:eastAsia="等线" w:hAnsi="Times New Roman" w:cs="Times New Roman"/>
                <w:color w:val="000000"/>
                <w:kern w:val="0"/>
                <w:sz w:val="20"/>
                <w:szCs w:val="20"/>
              </w:rPr>
              <w:t>1</w:t>
            </w:r>
          </w:p>
        </w:tc>
        <w:tc>
          <w:tcPr>
            <w:tcW w:w="614" w:type="pct"/>
            <w:shd w:val="clear" w:color="auto" w:fill="auto"/>
            <w:vAlign w:val="center"/>
          </w:tcPr>
          <w:p w14:paraId="0442096A" w14:textId="77777777" w:rsidR="00024F56" w:rsidRDefault="0022519B">
            <w:pPr>
              <w:widowControl/>
              <w:jc w:val="center"/>
              <w:rPr>
                <w:rFonts w:ascii="Times New Roman" w:eastAsia="等线" w:hAnsi="Times New Roman" w:cs="Times New Roman"/>
                <w:color w:val="000000"/>
                <w:kern w:val="0"/>
                <w:sz w:val="20"/>
                <w:szCs w:val="20"/>
              </w:rPr>
            </w:pPr>
            <w:r>
              <w:rPr>
                <w:rFonts w:ascii="Times New Roman" w:eastAsia="等线" w:hAnsi="Times New Roman" w:cs="Times New Roman"/>
                <w:color w:val="000000"/>
                <w:kern w:val="0"/>
                <w:sz w:val="20"/>
                <w:szCs w:val="20"/>
              </w:rPr>
              <w:t>1</w:t>
            </w:r>
          </w:p>
        </w:tc>
        <w:tc>
          <w:tcPr>
            <w:tcW w:w="656" w:type="pct"/>
            <w:shd w:val="clear" w:color="auto" w:fill="auto"/>
            <w:noWrap/>
            <w:vAlign w:val="center"/>
          </w:tcPr>
          <w:p w14:paraId="746FDC68" w14:textId="77777777" w:rsidR="00024F56" w:rsidRDefault="0022519B">
            <w:pPr>
              <w:widowControl/>
              <w:jc w:val="center"/>
              <w:rPr>
                <w:rFonts w:ascii="Times New Roman" w:eastAsia="等线" w:hAnsi="Times New Roman" w:cs="Times New Roman"/>
                <w:color w:val="000000"/>
                <w:kern w:val="0"/>
                <w:sz w:val="20"/>
                <w:szCs w:val="20"/>
              </w:rPr>
            </w:pPr>
            <w:r>
              <w:rPr>
                <w:rFonts w:ascii="Times New Roman" w:eastAsia="等线" w:hAnsi="Times New Roman" w:cs="Times New Roman"/>
                <w:color w:val="000000"/>
                <w:kern w:val="0"/>
                <w:sz w:val="20"/>
                <w:szCs w:val="20"/>
              </w:rPr>
              <w:t>0</w:t>
            </w:r>
          </w:p>
        </w:tc>
      </w:tr>
      <w:tr w:rsidR="00024F56" w14:paraId="69344197" w14:textId="77777777">
        <w:trPr>
          <w:trHeight w:val="2160"/>
        </w:trPr>
        <w:tc>
          <w:tcPr>
            <w:tcW w:w="2193" w:type="pct"/>
            <w:shd w:val="clear" w:color="auto" w:fill="D9D9D9"/>
            <w:vAlign w:val="center"/>
          </w:tcPr>
          <w:p w14:paraId="539164BB" w14:textId="77777777" w:rsidR="00024F56" w:rsidRDefault="0022519B">
            <w:pPr>
              <w:widowControl/>
              <w:rPr>
                <w:rFonts w:ascii="Times New Roman" w:eastAsia="等线" w:hAnsi="Times New Roman" w:cs="Times New Roman"/>
                <w:color w:val="000000"/>
                <w:kern w:val="0"/>
                <w:sz w:val="20"/>
                <w:szCs w:val="20"/>
              </w:rPr>
            </w:pPr>
            <w:r>
              <w:rPr>
                <w:rFonts w:ascii="Times New Roman" w:eastAsia="等线" w:hAnsi="Times New Roman" w:cs="Times New Roman"/>
                <w:color w:val="000000"/>
                <w:kern w:val="0"/>
                <w:sz w:val="20"/>
                <w:szCs w:val="20"/>
              </w:rPr>
              <w:t xml:space="preserve">Open science and </w:t>
            </w:r>
            <w:r>
              <w:rPr>
                <w:rFonts w:ascii="Times New Roman" w:eastAsia="等线" w:hAnsi="Times New Roman" w:cs="Times New Roman"/>
                <w:color w:val="000000"/>
                <w:kern w:val="0"/>
                <w:sz w:val="20"/>
                <w:szCs w:val="20"/>
              </w:rPr>
              <w:t>data - make code and data publicly available. Open science facilitates knowledge transfer and reproducibility of the study</w:t>
            </w:r>
          </w:p>
        </w:tc>
        <w:tc>
          <w:tcPr>
            <w:tcW w:w="1537" w:type="pct"/>
            <w:shd w:val="clear" w:color="auto" w:fill="D9D9D9"/>
            <w:vAlign w:val="center"/>
          </w:tcPr>
          <w:p w14:paraId="0BD23640" w14:textId="77777777" w:rsidR="00024F56" w:rsidRDefault="0022519B">
            <w:pPr>
              <w:widowControl/>
              <w:rPr>
                <w:rFonts w:ascii="Times New Roman" w:eastAsia="等线" w:hAnsi="Times New Roman" w:cs="Times New Roman"/>
                <w:color w:val="000000"/>
                <w:kern w:val="0"/>
                <w:sz w:val="20"/>
                <w:szCs w:val="20"/>
              </w:rPr>
            </w:pPr>
            <w:r>
              <w:rPr>
                <w:rFonts w:ascii="Times New Roman" w:eastAsia="等线" w:hAnsi="Times New Roman" w:cs="Times New Roman"/>
                <w:color w:val="000000"/>
                <w:kern w:val="0"/>
                <w:sz w:val="20"/>
                <w:szCs w:val="20"/>
              </w:rPr>
              <w:t xml:space="preserve">+ 1 (if scans are open source) +1 (if region of interest segmentations are open </w:t>
            </w:r>
            <w:proofErr w:type="gramStart"/>
            <w:r>
              <w:rPr>
                <w:rFonts w:ascii="Times New Roman" w:eastAsia="等线" w:hAnsi="Times New Roman" w:cs="Times New Roman"/>
                <w:color w:val="000000"/>
                <w:kern w:val="0"/>
                <w:sz w:val="20"/>
                <w:szCs w:val="20"/>
              </w:rPr>
              <w:t>source)  +</w:t>
            </w:r>
            <w:proofErr w:type="gramEnd"/>
            <w:r>
              <w:rPr>
                <w:rFonts w:ascii="Times New Roman" w:eastAsia="等线" w:hAnsi="Times New Roman" w:cs="Times New Roman"/>
                <w:color w:val="000000"/>
                <w:kern w:val="0"/>
                <w:sz w:val="20"/>
                <w:szCs w:val="20"/>
              </w:rPr>
              <w:t xml:space="preserve"> 1 (if code is open source) + 1 (if radiomi</w:t>
            </w:r>
            <w:r>
              <w:rPr>
                <w:rFonts w:ascii="Times New Roman" w:eastAsia="等线" w:hAnsi="Times New Roman" w:cs="Times New Roman"/>
                <w:color w:val="000000"/>
                <w:kern w:val="0"/>
                <w:sz w:val="20"/>
                <w:szCs w:val="20"/>
              </w:rPr>
              <w:t>cs features are calculated on a set of representative ROIs and the calculated features and representative ROIs are open source)</w:t>
            </w:r>
          </w:p>
        </w:tc>
        <w:tc>
          <w:tcPr>
            <w:tcW w:w="614" w:type="pct"/>
            <w:shd w:val="clear" w:color="auto" w:fill="D9D9D9"/>
            <w:vAlign w:val="center"/>
          </w:tcPr>
          <w:p w14:paraId="1A77F757" w14:textId="77777777" w:rsidR="00024F56" w:rsidRDefault="0022519B">
            <w:pPr>
              <w:widowControl/>
              <w:jc w:val="center"/>
              <w:rPr>
                <w:rFonts w:ascii="Times New Roman" w:eastAsia="等线" w:hAnsi="Times New Roman" w:cs="Times New Roman"/>
                <w:color w:val="000000"/>
                <w:kern w:val="0"/>
                <w:sz w:val="20"/>
                <w:szCs w:val="20"/>
              </w:rPr>
            </w:pPr>
            <w:r>
              <w:rPr>
                <w:rFonts w:ascii="Times New Roman" w:eastAsia="等线" w:hAnsi="Times New Roman" w:cs="Times New Roman"/>
                <w:color w:val="000000"/>
                <w:kern w:val="0"/>
                <w:sz w:val="20"/>
                <w:szCs w:val="20"/>
              </w:rPr>
              <w:t>4</w:t>
            </w:r>
          </w:p>
        </w:tc>
        <w:tc>
          <w:tcPr>
            <w:tcW w:w="656" w:type="pct"/>
            <w:shd w:val="clear" w:color="auto" w:fill="D9D9D9"/>
            <w:noWrap/>
            <w:vAlign w:val="center"/>
          </w:tcPr>
          <w:p w14:paraId="07588007" w14:textId="77777777" w:rsidR="00024F56" w:rsidRDefault="0022519B">
            <w:pPr>
              <w:widowControl/>
              <w:jc w:val="center"/>
              <w:rPr>
                <w:rFonts w:ascii="Times New Roman" w:eastAsia="等线" w:hAnsi="Times New Roman" w:cs="Times New Roman"/>
                <w:color w:val="000000"/>
                <w:kern w:val="0"/>
                <w:sz w:val="20"/>
                <w:szCs w:val="20"/>
              </w:rPr>
            </w:pPr>
            <w:r>
              <w:rPr>
                <w:rFonts w:ascii="Times New Roman" w:eastAsia="等线" w:hAnsi="Times New Roman" w:cs="Times New Roman"/>
                <w:color w:val="000000"/>
                <w:kern w:val="0"/>
                <w:sz w:val="20"/>
                <w:szCs w:val="20"/>
              </w:rPr>
              <w:t>2</w:t>
            </w:r>
          </w:p>
        </w:tc>
      </w:tr>
      <w:tr w:rsidR="00024F56" w14:paraId="5A8B429D" w14:textId="77777777">
        <w:trPr>
          <w:trHeight w:val="621"/>
        </w:trPr>
        <w:tc>
          <w:tcPr>
            <w:tcW w:w="2193" w:type="pct"/>
            <w:tcBorders>
              <w:bottom w:val="thickThinSmallGap" w:sz="24" w:space="0" w:color="auto"/>
            </w:tcBorders>
            <w:shd w:val="clear" w:color="auto" w:fill="auto"/>
            <w:vAlign w:val="center"/>
          </w:tcPr>
          <w:p w14:paraId="14C52EC6" w14:textId="77777777" w:rsidR="00024F56" w:rsidRDefault="0022519B">
            <w:pPr>
              <w:widowControl/>
              <w:rPr>
                <w:rFonts w:ascii="Times New Roman" w:eastAsia="等线" w:hAnsi="Times New Roman" w:cs="Times New Roman"/>
                <w:color w:val="000000"/>
                <w:kern w:val="0"/>
                <w:sz w:val="20"/>
                <w:szCs w:val="20"/>
              </w:rPr>
            </w:pPr>
            <w:r>
              <w:rPr>
                <w:rFonts w:ascii="Times New Roman" w:eastAsia="等线" w:hAnsi="Times New Roman" w:cs="Times New Roman"/>
                <w:color w:val="000000"/>
                <w:kern w:val="0"/>
                <w:sz w:val="20"/>
                <w:szCs w:val="20"/>
              </w:rPr>
              <w:t>Total score</w:t>
            </w:r>
          </w:p>
        </w:tc>
        <w:tc>
          <w:tcPr>
            <w:tcW w:w="1537" w:type="pct"/>
            <w:tcBorders>
              <w:bottom w:val="thickThinSmallGap" w:sz="24" w:space="0" w:color="auto"/>
            </w:tcBorders>
            <w:shd w:val="clear" w:color="auto" w:fill="auto"/>
            <w:vAlign w:val="center"/>
          </w:tcPr>
          <w:p w14:paraId="6BA03180" w14:textId="77777777" w:rsidR="00024F56" w:rsidRDefault="00024F56">
            <w:pPr>
              <w:widowControl/>
              <w:rPr>
                <w:rFonts w:ascii="Times New Roman" w:eastAsia="等线" w:hAnsi="Times New Roman" w:cs="Times New Roman"/>
                <w:color w:val="000000"/>
                <w:kern w:val="0"/>
                <w:sz w:val="20"/>
                <w:szCs w:val="20"/>
              </w:rPr>
            </w:pPr>
          </w:p>
        </w:tc>
        <w:tc>
          <w:tcPr>
            <w:tcW w:w="614" w:type="pct"/>
            <w:tcBorders>
              <w:bottom w:val="thickThinSmallGap" w:sz="24" w:space="0" w:color="auto"/>
            </w:tcBorders>
            <w:shd w:val="clear" w:color="auto" w:fill="auto"/>
            <w:vAlign w:val="center"/>
          </w:tcPr>
          <w:p w14:paraId="7B97F7F4" w14:textId="77777777" w:rsidR="00024F56" w:rsidRDefault="0022519B">
            <w:pPr>
              <w:widowControl/>
              <w:jc w:val="center"/>
              <w:rPr>
                <w:rFonts w:ascii="Times New Roman" w:eastAsia="等线" w:hAnsi="Times New Roman" w:cs="Times New Roman"/>
                <w:color w:val="000000"/>
                <w:kern w:val="0"/>
                <w:sz w:val="20"/>
                <w:szCs w:val="20"/>
              </w:rPr>
            </w:pPr>
            <w:r>
              <w:rPr>
                <w:rFonts w:ascii="Times New Roman" w:eastAsia="等线" w:hAnsi="Times New Roman" w:cs="Times New Roman"/>
                <w:color w:val="000000"/>
                <w:kern w:val="0"/>
                <w:sz w:val="20"/>
                <w:szCs w:val="20"/>
              </w:rPr>
              <w:t>36</w:t>
            </w:r>
          </w:p>
        </w:tc>
        <w:tc>
          <w:tcPr>
            <w:tcW w:w="656" w:type="pct"/>
            <w:tcBorders>
              <w:bottom w:val="thickThinSmallGap" w:sz="24" w:space="0" w:color="auto"/>
            </w:tcBorders>
            <w:shd w:val="clear" w:color="auto" w:fill="auto"/>
            <w:noWrap/>
            <w:vAlign w:val="center"/>
          </w:tcPr>
          <w:p w14:paraId="1010409B" w14:textId="77777777" w:rsidR="00024F56" w:rsidRDefault="0022519B">
            <w:pPr>
              <w:widowControl/>
              <w:jc w:val="center"/>
              <w:rPr>
                <w:rFonts w:ascii="Times New Roman" w:eastAsia="等线" w:hAnsi="Times New Roman" w:cs="Times New Roman"/>
                <w:color w:val="000000"/>
                <w:kern w:val="0"/>
                <w:sz w:val="20"/>
                <w:szCs w:val="20"/>
              </w:rPr>
            </w:pPr>
            <w:r>
              <w:rPr>
                <w:rFonts w:ascii="Times New Roman" w:eastAsia="等线" w:hAnsi="Times New Roman" w:cs="Times New Roman" w:hint="eastAsia"/>
                <w:color w:val="000000"/>
                <w:kern w:val="0"/>
                <w:sz w:val="20"/>
                <w:szCs w:val="20"/>
              </w:rPr>
              <w:t>20</w:t>
            </w:r>
          </w:p>
        </w:tc>
      </w:tr>
    </w:tbl>
    <w:p w14:paraId="2B8765BE" w14:textId="77777777" w:rsidR="00024F56" w:rsidRDefault="00024F56">
      <w:pPr>
        <w:autoSpaceDE w:val="0"/>
        <w:autoSpaceDN w:val="0"/>
        <w:spacing w:afterLines="50" w:after="120" w:line="480" w:lineRule="auto"/>
        <w:jc w:val="left"/>
        <w:rPr>
          <w:rFonts w:ascii="Times New Roman" w:eastAsia="宋体" w:hAnsi="Times New Roman" w:cs="Times New Roman"/>
          <w:b/>
          <w:i/>
          <w:iCs/>
          <w:sz w:val="20"/>
          <w:szCs w:val="20"/>
          <w:lang w:eastAsia="en-US"/>
        </w:rPr>
      </w:pPr>
    </w:p>
    <w:p w14:paraId="0456E24C" w14:textId="77777777" w:rsidR="00024F56" w:rsidRDefault="00024F56">
      <w:pPr>
        <w:spacing w:line="480" w:lineRule="auto"/>
        <w:rPr>
          <w:rFonts w:ascii="Times New Roman" w:eastAsia="等线" w:hAnsi="Times New Roman" w:cs="Times New Roman"/>
          <w:sz w:val="20"/>
          <w:szCs w:val="20"/>
          <w:lang w:eastAsia="en-US"/>
        </w:rPr>
      </w:pPr>
    </w:p>
    <w:p w14:paraId="143440E6" w14:textId="77777777" w:rsidR="00024F56" w:rsidRDefault="00024F56">
      <w:pPr>
        <w:spacing w:line="480" w:lineRule="auto"/>
        <w:rPr>
          <w:rFonts w:ascii="Times New Roman" w:eastAsia="等线" w:hAnsi="Times New Roman" w:cs="Times New Roman"/>
          <w:sz w:val="20"/>
          <w:szCs w:val="20"/>
          <w:lang w:eastAsia="en-US"/>
        </w:rPr>
      </w:pPr>
    </w:p>
    <w:p w14:paraId="33AA6F61" w14:textId="77777777" w:rsidR="00024F56" w:rsidRDefault="00024F56">
      <w:pPr>
        <w:spacing w:line="480" w:lineRule="auto"/>
        <w:rPr>
          <w:rFonts w:ascii="Times New Roman" w:eastAsia="等线" w:hAnsi="Times New Roman" w:cs="Times New Roman"/>
          <w:sz w:val="20"/>
          <w:szCs w:val="20"/>
          <w:lang w:eastAsia="en-US"/>
        </w:rPr>
      </w:pPr>
    </w:p>
    <w:p w14:paraId="2C7F9C14" w14:textId="77777777" w:rsidR="00024F56" w:rsidRDefault="00024F56">
      <w:pPr>
        <w:spacing w:line="480" w:lineRule="auto"/>
        <w:rPr>
          <w:rFonts w:ascii="Times New Roman" w:eastAsia="等线" w:hAnsi="Times New Roman" w:cs="Times New Roman"/>
          <w:sz w:val="20"/>
          <w:szCs w:val="20"/>
          <w:lang w:eastAsia="en-US"/>
        </w:rPr>
      </w:pPr>
    </w:p>
    <w:p w14:paraId="36937BD0" w14:textId="77777777" w:rsidR="00024F56" w:rsidRDefault="00024F56">
      <w:pPr>
        <w:spacing w:line="480" w:lineRule="auto"/>
        <w:rPr>
          <w:rFonts w:ascii="Times New Roman" w:eastAsia="等线" w:hAnsi="Times New Roman" w:cs="Times New Roman"/>
          <w:sz w:val="20"/>
          <w:szCs w:val="20"/>
          <w:lang w:eastAsia="en-US"/>
        </w:rPr>
      </w:pPr>
    </w:p>
    <w:p w14:paraId="5301BE84" w14:textId="77777777" w:rsidR="00024F56" w:rsidRDefault="00024F56">
      <w:pPr>
        <w:spacing w:line="480" w:lineRule="auto"/>
        <w:rPr>
          <w:rFonts w:ascii="Times New Roman" w:eastAsia="等线" w:hAnsi="Times New Roman" w:cs="Times New Roman"/>
          <w:sz w:val="20"/>
          <w:szCs w:val="20"/>
          <w:lang w:eastAsia="en-US"/>
        </w:rPr>
      </w:pPr>
    </w:p>
    <w:p w14:paraId="04F6B3A2" w14:textId="77777777" w:rsidR="00024F56" w:rsidRDefault="00024F56">
      <w:pPr>
        <w:spacing w:line="480" w:lineRule="auto"/>
        <w:rPr>
          <w:rFonts w:ascii="Times New Roman" w:eastAsia="等线" w:hAnsi="Times New Roman" w:cs="Times New Roman"/>
          <w:sz w:val="20"/>
          <w:szCs w:val="20"/>
          <w:lang w:eastAsia="en-US"/>
        </w:rPr>
      </w:pPr>
    </w:p>
    <w:p w14:paraId="075613FD" w14:textId="77777777" w:rsidR="00024F56" w:rsidRDefault="0022519B">
      <w:pPr>
        <w:keepNext/>
        <w:keepLines/>
        <w:spacing w:before="120" w:after="120" w:line="480" w:lineRule="auto"/>
        <w:jc w:val="center"/>
        <w:outlineLvl w:val="1"/>
        <w:rPr>
          <w:rFonts w:ascii="Times New Roman" w:eastAsia="黑体" w:hAnsi="Times New Roman" w:cs="Times New Roman"/>
          <w:b/>
          <w:sz w:val="20"/>
          <w:szCs w:val="20"/>
        </w:rPr>
      </w:pPr>
      <w:r>
        <w:rPr>
          <w:rFonts w:ascii="Times New Roman" w:eastAsia="黑体" w:hAnsi="Times New Roman" w:cs="Times New Roman"/>
          <w:b/>
          <w:sz w:val="20"/>
          <w:szCs w:val="20"/>
        </w:rPr>
        <w:lastRenderedPageBreak/>
        <w:t xml:space="preserve">Table </w:t>
      </w:r>
      <w:r>
        <w:rPr>
          <w:rFonts w:ascii="Times New Roman" w:eastAsia="黑体" w:hAnsi="Times New Roman" w:cs="Times New Roman" w:hint="eastAsia"/>
          <w:b/>
          <w:sz w:val="20"/>
          <w:szCs w:val="20"/>
        </w:rPr>
        <w:t>S</w:t>
      </w:r>
      <w:r>
        <w:rPr>
          <w:rFonts w:ascii="Times New Roman" w:eastAsia="黑体" w:hAnsi="Times New Roman" w:cs="Times New Roman" w:hint="eastAsia"/>
          <w:b/>
          <w:sz w:val="20"/>
          <w:szCs w:val="20"/>
        </w:rPr>
        <w:t>8</w:t>
      </w:r>
      <w:r>
        <w:rPr>
          <w:rFonts w:ascii="Times New Roman" w:eastAsia="黑体" w:hAnsi="Times New Roman" w:cs="Times New Roman"/>
          <w:b/>
          <w:sz w:val="20"/>
          <w:szCs w:val="20"/>
        </w:rPr>
        <w:t xml:space="preserve">. </w:t>
      </w:r>
      <w:bookmarkStart w:id="15" w:name="OLE_LINK6"/>
      <w:r>
        <w:rPr>
          <w:rFonts w:ascii="Times New Roman" w:eastAsia="黑体" w:hAnsi="Times New Roman" w:cs="Times New Roman"/>
          <w:b/>
          <w:sz w:val="20"/>
          <w:szCs w:val="20"/>
        </w:rPr>
        <w:t>TRIPOD Checklist</w:t>
      </w:r>
      <w:bookmarkEnd w:id="15"/>
      <w:r>
        <w:rPr>
          <w:rFonts w:ascii="Times New Roman" w:eastAsia="黑体" w:hAnsi="Times New Roman" w:cs="Times New Roman"/>
          <w:b/>
          <w:sz w:val="20"/>
          <w:szCs w:val="20"/>
        </w:rPr>
        <w:t>: Prediction Model Development and Validation</w:t>
      </w:r>
    </w:p>
    <w:tbl>
      <w:tblPr>
        <w:tblStyle w:val="TableGrid1"/>
        <w:tblW w:w="5000" w:type="pct"/>
        <w:tblLook w:val="04A0" w:firstRow="1" w:lastRow="0" w:firstColumn="1" w:lastColumn="0" w:noHBand="0" w:noVBand="1"/>
      </w:tblPr>
      <w:tblGrid>
        <w:gridCol w:w="1731"/>
        <w:gridCol w:w="666"/>
        <w:gridCol w:w="783"/>
        <w:gridCol w:w="6156"/>
        <w:gridCol w:w="632"/>
      </w:tblGrid>
      <w:tr w:rsidR="00024F56" w14:paraId="0A66B9CE" w14:textId="77777777">
        <w:trPr>
          <w:tblHeader/>
        </w:trPr>
        <w:tc>
          <w:tcPr>
            <w:tcW w:w="868" w:type="pct"/>
            <w:tcBorders>
              <w:top w:val="single" w:sz="4" w:space="0" w:color="auto"/>
              <w:left w:val="single" w:sz="4" w:space="0" w:color="auto"/>
              <w:bottom w:val="single" w:sz="4" w:space="0" w:color="auto"/>
              <w:right w:val="nil"/>
            </w:tcBorders>
            <w:shd w:val="clear" w:color="auto" w:fill="F7CAAC"/>
          </w:tcPr>
          <w:p w14:paraId="0C4984FD" w14:textId="77777777" w:rsidR="00024F56" w:rsidRDefault="0022519B">
            <w:pPr>
              <w:jc w:val="left"/>
              <w:rPr>
                <w:rFonts w:ascii="Times New Roman" w:eastAsia="Times New Roman" w:hAnsi="Times New Roman" w:cs="Times New Roman"/>
                <w:b/>
                <w:sz w:val="20"/>
                <w:szCs w:val="20"/>
                <w:lang w:val="en-GB" w:eastAsia="en-GB"/>
              </w:rPr>
            </w:pPr>
            <w:r>
              <w:rPr>
                <w:rFonts w:ascii="Times New Roman" w:eastAsia="Times New Roman" w:hAnsi="Times New Roman" w:cs="Times New Roman"/>
                <w:b/>
                <w:sz w:val="20"/>
                <w:szCs w:val="20"/>
                <w:lang w:val="en-GB" w:eastAsia="en-GB"/>
              </w:rPr>
              <w:t>Section/Topic</w:t>
            </w:r>
          </w:p>
        </w:tc>
        <w:tc>
          <w:tcPr>
            <w:tcW w:w="334" w:type="pct"/>
            <w:tcBorders>
              <w:top w:val="single" w:sz="4" w:space="0" w:color="auto"/>
              <w:left w:val="nil"/>
              <w:bottom w:val="single" w:sz="4" w:space="0" w:color="auto"/>
              <w:right w:val="nil"/>
            </w:tcBorders>
            <w:shd w:val="clear" w:color="auto" w:fill="F7CAAC"/>
          </w:tcPr>
          <w:p w14:paraId="7B7F9A99" w14:textId="77777777" w:rsidR="00024F56" w:rsidRDefault="0022519B">
            <w:pPr>
              <w:jc w:val="left"/>
              <w:rPr>
                <w:rFonts w:ascii="Times New Roman" w:eastAsia="Times New Roman" w:hAnsi="Times New Roman" w:cs="Times New Roman"/>
                <w:b/>
                <w:sz w:val="20"/>
                <w:szCs w:val="20"/>
                <w:lang w:val="en-GB" w:eastAsia="en-GB"/>
              </w:rPr>
            </w:pPr>
            <w:r>
              <w:rPr>
                <w:rFonts w:ascii="Times New Roman" w:eastAsia="Times New Roman" w:hAnsi="Times New Roman" w:cs="Times New Roman"/>
                <w:b/>
                <w:sz w:val="20"/>
                <w:szCs w:val="20"/>
                <w:lang w:val="en-GB" w:eastAsia="en-GB"/>
              </w:rPr>
              <w:t>Item</w:t>
            </w:r>
          </w:p>
        </w:tc>
        <w:tc>
          <w:tcPr>
            <w:tcW w:w="393" w:type="pct"/>
            <w:tcBorders>
              <w:top w:val="single" w:sz="4" w:space="0" w:color="auto"/>
              <w:left w:val="nil"/>
              <w:bottom w:val="single" w:sz="4" w:space="0" w:color="auto"/>
              <w:right w:val="nil"/>
            </w:tcBorders>
            <w:shd w:val="clear" w:color="auto" w:fill="F7CAAC"/>
            <w:vAlign w:val="center"/>
          </w:tcPr>
          <w:p w14:paraId="695AE4BA" w14:textId="77777777" w:rsidR="00024F56" w:rsidRDefault="00024F56">
            <w:pPr>
              <w:jc w:val="center"/>
              <w:rPr>
                <w:rFonts w:ascii="Times New Roman" w:eastAsia="Times New Roman" w:hAnsi="Times New Roman" w:cs="Times New Roman"/>
                <w:b/>
                <w:sz w:val="20"/>
                <w:szCs w:val="20"/>
                <w:lang w:val="en-GB" w:eastAsia="en-GB"/>
              </w:rPr>
            </w:pPr>
          </w:p>
        </w:tc>
        <w:tc>
          <w:tcPr>
            <w:tcW w:w="3088" w:type="pct"/>
            <w:tcBorders>
              <w:top w:val="single" w:sz="4" w:space="0" w:color="auto"/>
              <w:left w:val="nil"/>
              <w:bottom w:val="single" w:sz="4" w:space="0" w:color="auto"/>
              <w:right w:val="nil"/>
            </w:tcBorders>
            <w:shd w:val="clear" w:color="auto" w:fill="F7CAAC"/>
          </w:tcPr>
          <w:p w14:paraId="5F05AB3B" w14:textId="77777777" w:rsidR="00024F56" w:rsidRDefault="0022519B">
            <w:pPr>
              <w:jc w:val="left"/>
              <w:rPr>
                <w:rFonts w:ascii="Times New Roman" w:eastAsia="Times New Roman" w:hAnsi="Times New Roman" w:cs="Times New Roman"/>
                <w:b/>
                <w:sz w:val="20"/>
                <w:szCs w:val="20"/>
                <w:lang w:val="en-GB" w:eastAsia="en-GB"/>
              </w:rPr>
            </w:pPr>
            <w:r>
              <w:rPr>
                <w:rFonts w:ascii="Times New Roman" w:eastAsia="Times New Roman" w:hAnsi="Times New Roman" w:cs="Times New Roman"/>
                <w:b/>
                <w:sz w:val="20"/>
                <w:szCs w:val="20"/>
                <w:lang w:val="en-GB" w:eastAsia="en-GB"/>
              </w:rPr>
              <w:t>Checklist Item</w:t>
            </w:r>
          </w:p>
        </w:tc>
        <w:tc>
          <w:tcPr>
            <w:tcW w:w="314" w:type="pct"/>
            <w:tcBorders>
              <w:top w:val="single" w:sz="4" w:space="0" w:color="auto"/>
              <w:left w:val="nil"/>
              <w:bottom w:val="single" w:sz="4" w:space="0" w:color="auto"/>
              <w:right w:val="single" w:sz="4" w:space="0" w:color="auto"/>
            </w:tcBorders>
            <w:shd w:val="clear" w:color="auto" w:fill="F7CAAC"/>
          </w:tcPr>
          <w:p w14:paraId="7786D357" w14:textId="77777777" w:rsidR="00024F56" w:rsidRDefault="0022519B">
            <w:pPr>
              <w:jc w:val="center"/>
              <w:rPr>
                <w:rFonts w:ascii="Times New Roman" w:eastAsia="Times New Roman" w:hAnsi="Times New Roman" w:cs="Times New Roman"/>
                <w:b/>
                <w:sz w:val="20"/>
                <w:szCs w:val="20"/>
                <w:lang w:val="en-GB" w:eastAsia="en-GB"/>
              </w:rPr>
            </w:pPr>
            <w:r>
              <w:rPr>
                <w:rFonts w:ascii="Times New Roman" w:eastAsia="Times New Roman" w:hAnsi="Times New Roman" w:cs="Times New Roman"/>
                <w:b/>
                <w:sz w:val="20"/>
                <w:szCs w:val="20"/>
                <w:lang w:val="en-GB" w:eastAsia="en-GB"/>
              </w:rPr>
              <w:t>Page</w:t>
            </w:r>
          </w:p>
        </w:tc>
      </w:tr>
      <w:tr w:rsidR="00024F56" w14:paraId="7773B526" w14:textId="77777777">
        <w:trPr>
          <w:tblHeader/>
        </w:trPr>
        <w:tc>
          <w:tcPr>
            <w:tcW w:w="5000" w:type="pct"/>
            <w:gridSpan w:val="5"/>
            <w:tcBorders>
              <w:top w:val="single" w:sz="4" w:space="0" w:color="auto"/>
            </w:tcBorders>
            <w:shd w:val="clear" w:color="auto" w:fill="F7CAAC"/>
          </w:tcPr>
          <w:p w14:paraId="21F2B76E" w14:textId="77777777" w:rsidR="00024F56" w:rsidRDefault="0022519B">
            <w:pPr>
              <w:jc w:val="left"/>
              <w:rPr>
                <w:rFonts w:ascii="Times New Roman" w:eastAsia="Times New Roman" w:hAnsi="Times New Roman" w:cs="Times New Roman"/>
                <w:b/>
                <w:sz w:val="20"/>
                <w:szCs w:val="20"/>
                <w:lang w:val="en-GB" w:eastAsia="en-GB"/>
              </w:rPr>
            </w:pPr>
            <w:r>
              <w:rPr>
                <w:rFonts w:ascii="Times New Roman" w:eastAsia="Times New Roman" w:hAnsi="Times New Roman" w:cs="Times New Roman"/>
                <w:b/>
                <w:sz w:val="20"/>
                <w:szCs w:val="20"/>
                <w:lang w:val="en-GB" w:eastAsia="en-GB"/>
              </w:rPr>
              <w:t>Title and abstract</w:t>
            </w:r>
          </w:p>
        </w:tc>
      </w:tr>
      <w:tr w:rsidR="00024F56" w14:paraId="6401DAA3" w14:textId="77777777">
        <w:trPr>
          <w:tblHeader/>
        </w:trPr>
        <w:tc>
          <w:tcPr>
            <w:tcW w:w="868" w:type="pct"/>
            <w:shd w:val="clear" w:color="auto" w:fill="auto"/>
            <w:vAlign w:val="center"/>
          </w:tcPr>
          <w:p w14:paraId="2CF969DE" w14:textId="77777777" w:rsidR="00024F56" w:rsidRDefault="0022519B">
            <w:pPr>
              <w:rPr>
                <w:rFonts w:ascii="Times New Roman" w:eastAsia="Times New Roman" w:hAnsi="Times New Roman" w:cs="Times New Roman"/>
                <w:b/>
                <w:sz w:val="20"/>
                <w:szCs w:val="20"/>
                <w:lang w:val="en-GB" w:eastAsia="en-GB"/>
              </w:rPr>
            </w:pPr>
            <w:r>
              <w:rPr>
                <w:rFonts w:ascii="Times New Roman" w:eastAsia="Times New Roman" w:hAnsi="Times New Roman" w:cs="Times New Roman"/>
                <w:sz w:val="20"/>
                <w:szCs w:val="20"/>
                <w:lang w:val="en-GB" w:eastAsia="en-GB"/>
              </w:rPr>
              <w:t>Title</w:t>
            </w:r>
          </w:p>
        </w:tc>
        <w:tc>
          <w:tcPr>
            <w:tcW w:w="334" w:type="pct"/>
            <w:shd w:val="clear" w:color="auto" w:fill="auto"/>
            <w:vAlign w:val="center"/>
          </w:tcPr>
          <w:p w14:paraId="775F353F" w14:textId="77777777" w:rsidR="00024F56" w:rsidRDefault="0022519B">
            <w:pPr>
              <w:jc w:val="center"/>
              <w:rPr>
                <w:rFonts w:ascii="Times New Roman" w:eastAsia="Times New Roman" w:hAnsi="Times New Roman" w:cs="Times New Roman"/>
                <w:sz w:val="20"/>
                <w:szCs w:val="20"/>
                <w:lang w:val="en-GB" w:eastAsia="en-GB"/>
              </w:rPr>
            </w:pPr>
            <w:r>
              <w:rPr>
                <w:rFonts w:ascii="Times New Roman" w:eastAsia="Times New Roman" w:hAnsi="Times New Roman" w:cs="Times New Roman"/>
                <w:sz w:val="20"/>
                <w:szCs w:val="20"/>
                <w:lang w:val="en-GB" w:eastAsia="en-GB"/>
              </w:rPr>
              <w:t>1</w:t>
            </w:r>
          </w:p>
        </w:tc>
        <w:tc>
          <w:tcPr>
            <w:tcW w:w="393" w:type="pct"/>
            <w:shd w:val="clear" w:color="auto" w:fill="auto"/>
            <w:vAlign w:val="center"/>
          </w:tcPr>
          <w:p w14:paraId="1A8ABCA8" w14:textId="77777777" w:rsidR="00024F56" w:rsidRDefault="0022519B">
            <w:pPr>
              <w:jc w:val="center"/>
              <w:rPr>
                <w:rFonts w:ascii="Times New Roman" w:eastAsia="Times New Roman" w:hAnsi="Times New Roman" w:cs="Times New Roman"/>
                <w:sz w:val="20"/>
                <w:szCs w:val="20"/>
                <w:lang w:val="en-GB" w:eastAsia="en-GB"/>
              </w:rPr>
            </w:pPr>
            <w:r>
              <w:rPr>
                <w:rFonts w:ascii="Times New Roman" w:eastAsia="Times New Roman" w:hAnsi="Times New Roman" w:cs="Times New Roman"/>
                <w:sz w:val="20"/>
                <w:szCs w:val="20"/>
                <w:lang w:val="en-GB" w:eastAsia="en-GB"/>
              </w:rPr>
              <w:t>D; V</w:t>
            </w:r>
          </w:p>
        </w:tc>
        <w:tc>
          <w:tcPr>
            <w:tcW w:w="3088" w:type="pct"/>
            <w:shd w:val="clear" w:color="auto" w:fill="auto"/>
            <w:vAlign w:val="center"/>
          </w:tcPr>
          <w:p w14:paraId="57743BCB" w14:textId="77777777" w:rsidR="00024F56" w:rsidRDefault="0022519B">
            <w:pPr>
              <w:jc w:val="left"/>
              <w:rPr>
                <w:rFonts w:ascii="Times New Roman" w:eastAsia="Times New Roman" w:hAnsi="Times New Roman" w:cs="Times New Roman"/>
                <w:sz w:val="20"/>
                <w:szCs w:val="20"/>
                <w:lang w:val="en-GB" w:eastAsia="en-GB"/>
              </w:rPr>
            </w:pPr>
            <w:r>
              <w:rPr>
                <w:rFonts w:ascii="Times New Roman" w:eastAsia="Times New Roman" w:hAnsi="Times New Roman" w:cs="Times New Roman"/>
                <w:sz w:val="20"/>
                <w:szCs w:val="20"/>
                <w:lang w:val="en-GB" w:eastAsia="en-GB"/>
              </w:rPr>
              <w:t>Identify the study as developing and/or validating a multivariable prediction model, the target population, and the outcome to be predicted.</w:t>
            </w:r>
          </w:p>
        </w:tc>
        <w:tc>
          <w:tcPr>
            <w:tcW w:w="314" w:type="pct"/>
            <w:shd w:val="clear" w:color="auto" w:fill="auto"/>
            <w:vAlign w:val="center"/>
          </w:tcPr>
          <w:p w14:paraId="2126AE85" w14:textId="77777777" w:rsidR="00024F56" w:rsidRDefault="0022519B">
            <w:pPr>
              <w:jc w:val="center"/>
              <w:rPr>
                <w:rFonts w:ascii="Times New Roman" w:eastAsia="Times New Roman" w:hAnsi="Times New Roman" w:cs="Times New Roman"/>
                <w:sz w:val="20"/>
                <w:szCs w:val="20"/>
                <w:lang w:val="en-GB" w:eastAsia="en-GB"/>
              </w:rPr>
            </w:pPr>
            <w:r>
              <w:rPr>
                <w:rFonts w:ascii="Times New Roman" w:eastAsia="宋体" w:hAnsi="Times New Roman" w:cs="Times New Roman"/>
                <w:sz w:val="20"/>
                <w:szCs w:val="20"/>
                <w:lang w:val="en-GB" w:eastAsia="en-GB"/>
              </w:rPr>
              <w:t>Yes</w:t>
            </w:r>
          </w:p>
        </w:tc>
      </w:tr>
      <w:tr w:rsidR="00024F56" w14:paraId="14E190F1" w14:textId="77777777">
        <w:trPr>
          <w:tblHeader/>
        </w:trPr>
        <w:tc>
          <w:tcPr>
            <w:tcW w:w="868" w:type="pct"/>
            <w:shd w:val="clear" w:color="auto" w:fill="auto"/>
            <w:vAlign w:val="center"/>
          </w:tcPr>
          <w:p w14:paraId="362D9381" w14:textId="77777777" w:rsidR="00024F56" w:rsidRDefault="0022519B">
            <w:pPr>
              <w:rPr>
                <w:rFonts w:ascii="Times New Roman" w:eastAsia="Times New Roman" w:hAnsi="Times New Roman" w:cs="Times New Roman"/>
                <w:b/>
                <w:sz w:val="20"/>
                <w:szCs w:val="20"/>
                <w:lang w:val="en-GB" w:eastAsia="en-GB"/>
              </w:rPr>
            </w:pPr>
            <w:r>
              <w:rPr>
                <w:rFonts w:ascii="Times New Roman" w:eastAsia="Times New Roman" w:hAnsi="Times New Roman" w:cs="Times New Roman"/>
                <w:sz w:val="20"/>
                <w:szCs w:val="20"/>
                <w:lang w:val="en-GB" w:eastAsia="en-GB"/>
              </w:rPr>
              <w:t>Abstract</w:t>
            </w:r>
          </w:p>
        </w:tc>
        <w:tc>
          <w:tcPr>
            <w:tcW w:w="334" w:type="pct"/>
            <w:shd w:val="clear" w:color="auto" w:fill="auto"/>
            <w:vAlign w:val="center"/>
          </w:tcPr>
          <w:p w14:paraId="0D80921C" w14:textId="77777777" w:rsidR="00024F56" w:rsidRDefault="0022519B">
            <w:pPr>
              <w:jc w:val="center"/>
              <w:rPr>
                <w:rFonts w:ascii="Times New Roman" w:eastAsia="Times New Roman" w:hAnsi="Times New Roman" w:cs="Times New Roman"/>
                <w:sz w:val="20"/>
                <w:szCs w:val="20"/>
                <w:lang w:val="en-GB" w:eastAsia="en-GB"/>
              </w:rPr>
            </w:pPr>
            <w:r>
              <w:rPr>
                <w:rFonts w:ascii="Times New Roman" w:eastAsia="Times New Roman" w:hAnsi="Times New Roman" w:cs="Times New Roman"/>
                <w:sz w:val="20"/>
                <w:szCs w:val="20"/>
                <w:lang w:val="en-GB" w:eastAsia="en-GB"/>
              </w:rPr>
              <w:t>2</w:t>
            </w:r>
          </w:p>
        </w:tc>
        <w:tc>
          <w:tcPr>
            <w:tcW w:w="393" w:type="pct"/>
            <w:shd w:val="clear" w:color="auto" w:fill="auto"/>
            <w:vAlign w:val="center"/>
          </w:tcPr>
          <w:p w14:paraId="1871F246" w14:textId="77777777" w:rsidR="00024F56" w:rsidRDefault="0022519B">
            <w:pPr>
              <w:jc w:val="center"/>
              <w:rPr>
                <w:rFonts w:ascii="Times New Roman" w:eastAsia="Times New Roman" w:hAnsi="Times New Roman" w:cs="Times New Roman"/>
                <w:strike/>
                <w:sz w:val="20"/>
                <w:szCs w:val="20"/>
                <w:lang w:val="en-GB" w:eastAsia="en-GB"/>
              </w:rPr>
            </w:pPr>
            <w:r>
              <w:rPr>
                <w:rFonts w:ascii="Times New Roman" w:eastAsia="Times New Roman" w:hAnsi="Times New Roman" w:cs="Times New Roman"/>
                <w:sz w:val="20"/>
                <w:szCs w:val="20"/>
                <w:lang w:val="en-GB" w:eastAsia="en-GB"/>
              </w:rPr>
              <w:t>D; V</w:t>
            </w:r>
          </w:p>
        </w:tc>
        <w:tc>
          <w:tcPr>
            <w:tcW w:w="3088" w:type="pct"/>
            <w:shd w:val="clear" w:color="auto" w:fill="auto"/>
            <w:vAlign w:val="center"/>
          </w:tcPr>
          <w:p w14:paraId="66682073" w14:textId="77777777" w:rsidR="00024F56" w:rsidRDefault="0022519B">
            <w:pPr>
              <w:jc w:val="left"/>
              <w:rPr>
                <w:rFonts w:ascii="Times New Roman" w:eastAsia="Times New Roman" w:hAnsi="Times New Roman" w:cs="Times New Roman"/>
                <w:sz w:val="20"/>
                <w:szCs w:val="20"/>
                <w:lang w:val="en-GB" w:eastAsia="en-GB"/>
              </w:rPr>
            </w:pPr>
            <w:r>
              <w:rPr>
                <w:rFonts w:ascii="Times New Roman" w:eastAsia="Times New Roman" w:hAnsi="Times New Roman" w:cs="Times New Roman"/>
                <w:sz w:val="20"/>
                <w:szCs w:val="20"/>
                <w:lang w:val="en-GB" w:eastAsia="en-GB"/>
              </w:rPr>
              <w:t xml:space="preserve">Provide a </w:t>
            </w:r>
            <w:r>
              <w:rPr>
                <w:rFonts w:ascii="Times New Roman" w:eastAsia="Times New Roman" w:hAnsi="Times New Roman" w:cs="Times New Roman"/>
                <w:sz w:val="20"/>
                <w:szCs w:val="20"/>
                <w:lang w:val="en-GB" w:eastAsia="en-GB"/>
              </w:rPr>
              <w:t>summary of objectives, study design, setting, participants, sample size, predictors, outcome, statistical analysis, results, and conclusions.</w:t>
            </w:r>
          </w:p>
        </w:tc>
        <w:tc>
          <w:tcPr>
            <w:tcW w:w="314" w:type="pct"/>
            <w:shd w:val="clear" w:color="auto" w:fill="auto"/>
            <w:vAlign w:val="center"/>
          </w:tcPr>
          <w:p w14:paraId="43B1BE62" w14:textId="77777777" w:rsidR="00024F56" w:rsidRDefault="0022519B">
            <w:pPr>
              <w:jc w:val="center"/>
              <w:rPr>
                <w:rFonts w:ascii="Times New Roman" w:eastAsia="宋体" w:hAnsi="Times New Roman" w:cs="Times New Roman"/>
                <w:sz w:val="20"/>
                <w:szCs w:val="20"/>
                <w:lang w:val="en-GB" w:eastAsia="en-GB"/>
              </w:rPr>
            </w:pPr>
            <w:r>
              <w:rPr>
                <w:rFonts w:ascii="Times New Roman" w:eastAsia="宋体" w:hAnsi="Times New Roman" w:cs="Times New Roman"/>
                <w:sz w:val="20"/>
                <w:szCs w:val="20"/>
                <w:lang w:val="en-GB" w:eastAsia="en-GB"/>
              </w:rPr>
              <w:t>Yes</w:t>
            </w:r>
          </w:p>
        </w:tc>
      </w:tr>
      <w:tr w:rsidR="00024F56" w14:paraId="19A3DF6A" w14:textId="77777777">
        <w:trPr>
          <w:tblHeader/>
        </w:trPr>
        <w:tc>
          <w:tcPr>
            <w:tcW w:w="5000" w:type="pct"/>
            <w:gridSpan w:val="5"/>
            <w:shd w:val="clear" w:color="auto" w:fill="F7CAAC"/>
          </w:tcPr>
          <w:p w14:paraId="2C823123" w14:textId="77777777" w:rsidR="00024F56" w:rsidRDefault="0022519B">
            <w:pPr>
              <w:rPr>
                <w:rFonts w:ascii="Times New Roman" w:eastAsia="Times New Roman" w:hAnsi="Times New Roman" w:cs="Times New Roman"/>
                <w:b/>
                <w:sz w:val="20"/>
                <w:szCs w:val="20"/>
                <w:lang w:val="en-GB" w:eastAsia="en-GB"/>
              </w:rPr>
            </w:pPr>
            <w:r>
              <w:rPr>
                <w:rFonts w:ascii="Times New Roman" w:eastAsia="Times New Roman" w:hAnsi="Times New Roman" w:cs="Times New Roman"/>
                <w:b/>
                <w:sz w:val="20"/>
                <w:szCs w:val="20"/>
                <w:lang w:val="en-GB" w:eastAsia="en-GB"/>
              </w:rPr>
              <w:t>Introduction</w:t>
            </w:r>
          </w:p>
        </w:tc>
      </w:tr>
      <w:tr w:rsidR="00024F56" w14:paraId="55784672" w14:textId="77777777">
        <w:trPr>
          <w:tblHeader/>
        </w:trPr>
        <w:tc>
          <w:tcPr>
            <w:tcW w:w="868" w:type="pct"/>
            <w:vMerge w:val="restart"/>
            <w:shd w:val="clear" w:color="auto" w:fill="auto"/>
            <w:vAlign w:val="center"/>
          </w:tcPr>
          <w:p w14:paraId="3EBE94DD" w14:textId="77777777" w:rsidR="00024F56" w:rsidRDefault="0022519B">
            <w:pPr>
              <w:rPr>
                <w:rFonts w:ascii="Times New Roman" w:eastAsia="Times New Roman" w:hAnsi="Times New Roman" w:cs="Times New Roman"/>
                <w:b/>
                <w:sz w:val="20"/>
                <w:szCs w:val="20"/>
                <w:lang w:val="en-GB" w:eastAsia="en-GB"/>
              </w:rPr>
            </w:pPr>
            <w:r>
              <w:rPr>
                <w:rFonts w:ascii="Times New Roman" w:eastAsia="Times New Roman" w:hAnsi="Times New Roman" w:cs="Times New Roman"/>
                <w:sz w:val="20"/>
                <w:szCs w:val="20"/>
                <w:lang w:val="en-GB" w:eastAsia="en-GB"/>
              </w:rPr>
              <w:t>Background and objectives</w:t>
            </w:r>
          </w:p>
        </w:tc>
        <w:tc>
          <w:tcPr>
            <w:tcW w:w="334" w:type="pct"/>
            <w:shd w:val="clear" w:color="auto" w:fill="auto"/>
            <w:vAlign w:val="center"/>
          </w:tcPr>
          <w:p w14:paraId="3061B455" w14:textId="77777777" w:rsidR="00024F56" w:rsidRDefault="0022519B">
            <w:pPr>
              <w:jc w:val="center"/>
              <w:rPr>
                <w:rFonts w:ascii="Times New Roman" w:eastAsia="Times New Roman" w:hAnsi="Times New Roman" w:cs="Times New Roman"/>
                <w:sz w:val="20"/>
                <w:szCs w:val="20"/>
                <w:lang w:val="en-GB" w:eastAsia="en-GB"/>
              </w:rPr>
            </w:pPr>
            <w:r>
              <w:rPr>
                <w:rFonts w:ascii="Times New Roman" w:eastAsia="Times New Roman" w:hAnsi="Times New Roman" w:cs="Times New Roman"/>
                <w:sz w:val="20"/>
                <w:szCs w:val="20"/>
                <w:lang w:val="en-GB" w:eastAsia="en-GB"/>
              </w:rPr>
              <w:t>3a</w:t>
            </w:r>
          </w:p>
        </w:tc>
        <w:tc>
          <w:tcPr>
            <w:tcW w:w="393" w:type="pct"/>
            <w:shd w:val="clear" w:color="auto" w:fill="auto"/>
            <w:vAlign w:val="center"/>
          </w:tcPr>
          <w:p w14:paraId="2F4FF6C0" w14:textId="77777777" w:rsidR="00024F56" w:rsidRDefault="0022519B">
            <w:pPr>
              <w:jc w:val="center"/>
              <w:rPr>
                <w:rFonts w:ascii="Times New Roman" w:eastAsia="Times New Roman" w:hAnsi="Times New Roman" w:cs="Times New Roman"/>
                <w:sz w:val="20"/>
                <w:szCs w:val="20"/>
                <w:lang w:val="en-GB" w:eastAsia="en-GB"/>
              </w:rPr>
            </w:pPr>
            <w:r>
              <w:rPr>
                <w:rFonts w:ascii="Times New Roman" w:eastAsia="Times New Roman" w:hAnsi="Times New Roman" w:cs="Times New Roman"/>
                <w:sz w:val="20"/>
                <w:szCs w:val="20"/>
                <w:lang w:val="en-GB" w:eastAsia="en-GB"/>
              </w:rPr>
              <w:t>D; V</w:t>
            </w:r>
          </w:p>
        </w:tc>
        <w:tc>
          <w:tcPr>
            <w:tcW w:w="3088" w:type="pct"/>
            <w:shd w:val="clear" w:color="auto" w:fill="auto"/>
            <w:vAlign w:val="center"/>
          </w:tcPr>
          <w:p w14:paraId="29B9DD5F" w14:textId="77777777" w:rsidR="00024F56" w:rsidRDefault="0022519B">
            <w:pPr>
              <w:tabs>
                <w:tab w:val="left" w:pos="459"/>
              </w:tabs>
              <w:contextualSpacing/>
              <w:jc w:val="left"/>
              <w:rPr>
                <w:rFonts w:ascii="Times New Roman" w:eastAsia="Cambria" w:hAnsi="Times New Roman" w:cs="Times New Roman"/>
                <w:sz w:val="20"/>
                <w:szCs w:val="20"/>
                <w:lang w:val="en-GB" w:eastAsia="en-GB"/>
              </w:rPr>
            </w:pPr>
            <w:r>
              <w:rPr>
                <w:rFonts w:ascii="Times New Roman" w:eastAsia="Cambria" w:hAnsi="Times New Roman" w:cs="Times New Roman"/>
                <w:sz w:val="20"/>
                <w:szCs w:val="20"/>
                <w:lang w:val="en-GB" w:eastAsia="en-GB"/>
              </w:rPr>
              <w:t xml:space="preserve">Explain the medical context (including whether </w:t>
            </w:r>
            <w:r>
              <w:rPr>
                <w:rFonts w:ascii="Times New Roman" w:eastAsia="Cambria" w:hAnsi="Times New Roman" w:cs="Times New Roman"/>
                <w:sz w:val="20"/>
                <w:szCs w:val="20"/>
                <w:lang w:val="en-GB" w:eastAsia="en-GB"/>
              </w:rPr>
              <w:t>diagnostic or prognostic) and rationale for developing or validating the multivariable prediction model, including references to existing models.</w:t>
            </w:r>
          </w:p>
        </w:tc>
        <w:tc>
          <w:tcPr>
            <w:tcW w:w="314" w:type="pct"/>
            <w:shd w:val="clear" w:color="auto" w:fill="auto"/>
            <w:vAlign w:val="center"/>
          </w:tcPr>
          <w:p w14:paraId="5A6E5323" w14:textId="77777777" w:rsidR="00024F56" w:rsidRDefault="0022519B">
            <w:pPr>
              <w:tabs>
                <w:tab w:val="left" w:pos="742"/>
              </w:tabs>
              <w:jc w:val="center"/>
              <w:rPr>
                <w:rFonts w:ascii="Times New Roman" w:eastAsia="宋体" w:hAnsi="Times New Roman" w:cs="Times New Roman"/>
                <w:sz w:val="20"/>
                <w:szCs w:val="20"/>
                <w:lang w:val="en-GB" w:eastAsia="en-GB"/>
              </w:rPr>
            </w:pPr>
            <w:r>
              <w:rPr>
                <w:rFonts w:ascii="Times New Roman" w:eastAsia="宋体" w:hAnsi="Times New Roman" w:cs="Times New Roman"/>
                <w:sz w:val="20"/>
                <w:szCs w:val="20"/>
                <w:lang w:val="en-GB" w:eastAsia="en-GB"/>
              </w:rPr>
              <w:t>Yes</w:t>
            </w:r>
          </w:p>
        </w:tc>
      </w:tr>
      <w:tr w:rsidR="00024F56" w14:paraId="51183681" w14:textId="77777777">
        <w:trPr>
          <w:trHeight w:val="457"/>
          <w:tblHeader/>
        </w:trPr>
        <w:tc>
          <w:tcPr>
            <w:tcW w:w="868" w:type="pct"/>
            <w:vMerge/>
            <w:shd w:val="clear" w:color="auto" w:fill="auto"/>
          </w:tcPr>
          <w:p w14:paraId="0233705D" w14:textId="77777777" w:rsidR="00024F56" w:rsidRDefault="00024F56">
            <w:pPr>
              <w:rPr>
                <w:rFonts w:ascii="Times New Roman" w:eastAsia="Times New Roman" w:hAnsi="Times New Roman" w:cs="Times New Roman"/>
                <w:sz w:val="20"/>
                <w:szCs w:val="20"/>
                <w:lang w:val="en-GB" w:eastAsia="en-GB"/>
              </w:rPr>
            </w:pPr>
          </w:p>
        </w:tc>
        <w:tc>
          <w:tcPr>
            <w:tcW w:w="334" w:type="pct"/>
            <w:shd w:val="clear" w:color="auto" w:fill="auto"/>
            <w:vAlign w:val="center"/>
          </w:tcPr>
          <w:p w14:paraId="0A6A5750" w14:textId="77777777" w:rsidR="00024F56" w:rsidRDefault="0022519B">
            <w:pPr>
              <w:jc w:val="center"/>
              <w:rPr>
                <w:rFonts w:ascii="Times New Roman" w:eastAsia="Times New Roman" w:hAnsi="Times New Roman" w:cs="Times New Roman"/>
                <w:sz w:val="20"/>
                <w:szCs w:val="20"/>
                <w:lang w:val="en-GB" w:eastAsia="en-GB"/>
              </w:rPr>
            </w:pPr>
            <w:r>
              <w:rPr>
                <w:rFonts w:ascii="Times New Roman" w:eastAsia="Times New Roman" w:hAnsi="Times New Roman" w:cs="Times New Roman"/>
                <w:sz w:val="20"/>
                <w:szCs w:val="20"/>
                <w:lang w:val="en-GB" w:eastAsia="en-GB"/>
              </w:rPr>
              <w:t>3b</w:t>
            </w:r>
          </w:p>
        </w:tc>
        <w:tc>
          <w:tcPr>
            <w:tcW w:w="393" w:type="pct"/>
            <w:shd w:val="clear" w:color="auto" w:fill="auto"/>
            <w:vAlign w:val="center"/>
          </w:tcPr>
          <w:p w14:paraId="2CA43C08" w14:textId="77777777" w:rsidR="00024F56" w:rsidRDefault="0022519B">
            <w:pPr>
              <w:jc w:val="center"/>
              <w:rPr>
                <w:rFonts w:ascii="Times New Roman" w:eastAsia="Times New Roman" w:hAnsi="Times New Roman" w:cs="Times New Roman"/>
                <w:sz w:val="20"/>
                <w:szCs w:val="20"/>
                <w:lang w:val="en-GB" w:eastAsia="en-GB"/>
              </w:rPr>
            </w:pPr>
            <w:r>
              <w:rPr>
                <w:rFonts w:ascii="Times New Roman" w:eastAsia="Times New Roman" w:hAnsi="Times New Roman" w:cs="Times New Roman"/>
                <w:sz w:val="20"/>
                <w:szCs w:val="20"/>
                <w:lang w:val="en-GB" w:eastAsia="en-GB"/>
              </w:rPr>
              <w:t>D; V</w:t>
            </w:r>
          </w:p>
        </w:tc>
        <w:tc>
          <w:tcPr>
            <w:tcW w:w="3088" w:type="pct"/>
            <w:shd w:val="clear" w:color="auto" w:fill="auto"/>
            <w:vAlign w:val="center"/>
          </w:tcPr>
          <w:p w14:paraId="339FD092" w14:textId="77777777" w:rsidR="00024F56" w:rsidRDefault="0022519B">
            <w:pPr>
              <w:tabs>
                <w:tab w:val="left" w:pos="459"/>
              </w:tabs>
              <w:contextualSpacing/>
              <w:jc w:val="left"/>
              <w:rPr>
                <w:rFonts w:ascii="Times New Roman" w:eastAsia="Cambria" w:hAnsi="Times New Roman" w:cs="Times New Roman"/>
                <w:sz w:val="20"/>
                <w:szCs w:val="20"/>
                <w:lang w:val="en-GB" w:eastAsia="en-GB"/>
              </w:rPr>
            </w:pPr>
            <w:r>
              <w:rPr>
                <w:rFonts w:ascii="Times New Roman" w:eastAsia="Cambria" w:hAnsi="Times New Roman" w:cs="Times New Roman"/>
                <w:sz w:val="20"/>
                <w:szCs w:val="20"/>
                <w:lang w:val="en-GB" w:eastAsia="en-GB"/>
              </w:rPr>
              <w:t xml:space="preserve">Specify the objectives, including whether the study describes the development or </w:t>
            </w:r>
            <w:r>
              <w:rPr>
                <w:rFonts w:ascii="Times New Roman" w:eastAsia="Cambria" w:hAnsi="Times New Roman" w:cs="Times New Roman"/>
                <w:sz w:val="20"/>
                <w:szCs w:val="20"/>
                <w:lang w:val="en-GB" w:eastAsia="en-GB"/>
              </w:rPr>
              <w:t>validation of the model or both.</w:t>
            </w:r>
          </w:p>
        </w:tc>
        <w:tc>
          <w:tcPr>
            <w:tcW w:w="314" w:type="pct"/>
            <w:shd w:val="clear" w:color="auto" w:fill="auto"/>
            <w:vAlign w:val="center"/>
          </w:tcPr>
          <w:p w14:paraId="15113B2F" w14:textId="77777777" w:rsidR="00024F56" w:rsidRDefault="0022519B">
            <w:pPr>
              <w:tabs>
                <w:tab w:val="left" w:pos="742"/>
              </w:tabs>
              <w:jc w:val="center"/>
              <w:rPr>
                <w:rFonts w:ascii="Times New Roman" w:eastAsia="宋体" w:hAnsi="Times New Roman" w:cs="Times New Roman"/>
                <w:sz w:val="20"/>
                <w:szCs w:val="20"/>
                <w:lang w:val="en-GB" w:eastAsia="en-GB"/>
              </w:rPr>
            </w:pPr>
            <w:r>
              <w:rPr>
                <w:rFonts w:ascii="Times New Roman" w:eastAsia="宋体" w:hAnsi="Times New Roman" w:cs="Times New Roman"/>
                <w:sz w:val="20"/>
                <w:szCs w:val="20"/>
                <w:lang w:val="en-GB" w:eastAsia="en-GB"/>
              </w:rPr>
              <w:t>Yes</w:t>
            </w:r>
          </w:p>
        </w:tc>
      </w:tr>
      <w:tr w:rsidR="00024F56" w14:paraId="1282D77B" w14:textId="77777777">
        <w:trPr>
          <w:tblHeader/>
        </w:trPr>
        <w:tc>
          <w:tcPr>
            <w:tcW w:w="5000" w:type="pct"/>
            <w:gridSpan w:val="5"/>
            <w:shd w:val="clear" w:color="auto" w:fill="F7CAAC"/>
          </w:tcPr>
          <w:p w14:paraId="28EFCC71" w14:textId="77777777" w:rsidR="00024F56" w:rsidRDefault="0022519B">
            <w:pPr>
              <w:tabs>
                <w:tab w:val="left" w:pos="9695"/>
              </w:tabs>
              <w:rPr>
                <w:rFonts w:ascii="Times New Roman" w:eastAsia="Times New Roman" w:hAnsi="Times New Roman" w:cs="Times New Roman"/>
                <w:sz w:val="20"/>
                <w:szCs w:val="20"/>
                <w:lang w:val="en-GB" w:eastAsia="en-GB"/>
              </w:rPr>
            </w:pPr>
            <w:r>
              <w:rPr>
                <w:rFonts w:ascii="Times New Roman" w:eastAsia="Times New Roman" w:hAnsi="Times New Roman" w:cs="Times New Roman"/>
                <w:b/>
                <w:sz w:val="20"/>
                <w:szCs w:val="20"/>
                <w:lang w:val="en-GB" w:eastAsia="en-GB"/>
              </w:rPr>
              <w:t>Methods</w:t>
            </w:r>
          </w:p>
        </w:tc>
      </w:tr>
      <w:tr w:rsidR="00024F56" w14:paraId="5F8646DD" w14:textId="77777777">
        <w:trPr>
          <w:tblHeader/>
        </w:trPr>
        <w:tc>
          <w:tcPr>
            <w:tcW w:w="868" w:type="pct"/>
            <w:vMerge w:val="restart"/>
            <w:shd w:val="clear" w:color="auto" w:fill="auto"/>
            <w:vAlign w:val="center"/>
          </w:tcPr>
          <w:p w14:paraId="409147A6" w14:textId="77777777" w:rsidR="00024F56" w:rsidRDefault="0022519B">
            <w:pPr>
              <w:rPr>
                <w:rFonts w:ascii="Times New Roman" w:eastAsia="Times New Roman" w:hAnsi="Times New Roman" w:cs="Times New Roman"/>
                <w:b/>
                <w:sz w:val="20"/>
                <w:szCs w:val="20"/>
                <w:lang w:val="en-GB" w:eastAsia="en-GB"/>
              </w:rPr>
            </w:pPr>
            <w:r>
              <w:rPr>
                <w:rFonts w:ascii="Times New Roman" w:eastAsia="Times New Roman" w:hAnsi="Times New Roman" w:cs="Times New Roman"/>
                <w:sz w:val="20"/>
                <w:szCs w:val="20"/>
                <w:lang w:val="en-GB" w:eastAsia="en-GB"/>
              </w:rPr>
              <w:t>Source of data</w:t>
            </w:r>
          </w:p>
        </w:tc>
        <w:tc>
          <w:tcPr>
            <w:tcW w:w="334" w:type="pct"/>
            <w:shd w:val="clear" w:color="auto" w:fill="auto"/>
            <w:vAlign w:val="center"/>
          </w:tcPr>
          <w:p w14:paraId="20768D77" w14:textId="77777777" w:rsidR="00024F56" w:rsidRDefault="0022519B">
            <w:pPr>
              <w:jc w:val="center"/>
              <w:rPr>
                <w:rFonts w:ascii="Times New Roman" w:eastAsia="Times New Roman" w:hAnsi="Times New Roman" w:cs="Times New Roman"/>
                <w:sz w:val="20"/>
                <w:szCs w:val="20"/>
                <w:lang w:val="en-GB" w:eastAsia="en-GB"/>
              </w:rPr>
            </w:pPr>
            <w:r>
              <w:rPr>
                <w:rFonts w:ascii="Times New Roman" w:eastAsia="Times New Roman" w:hAnsi="Times New Roman" w:cs="Times New Roman"/>
                <w:sz w:val="20"/>
                <w:szCs w:val="20"/>
                <w:lang w:val="en-GB" w:eastAsia="en-GB"/>
              </w:rPr>
              <w:t>4a</w:t>
            </w:r>
          </w:p>
        </w:tc>
        <w:tc>
          <w:tcPr>
            <w:tcW w:w="393" w:type="pct"/>
            <w:shd w:val="clear" w:color="auto" w:fill="auto"/>
            <w:vAlign w:val="center"/>
          </w:tcPr>
          <w:p w14:paraId="7F1DBFC1" w14:textId="77777777" w:rsidR="00024F56" w:rsidRDefault="0022519B">
            <w:pPr>
              <w:jc w:val="center"/>
              <w:rPr>
                <w:rFonts w:ascii="Times New Roman" w:eastAsia="Times New Roman" w:hAnsi="Times New Roman" w:cs="Times New Roman"/>
                <w:sz w:val="20"/>
                <w:szCs w:val="20"/>
                <w:lang w:val="en-GB" w:eastAsia="en-GB"/>
              </w:rPr>
            </w:pPr>
            <w:r>
              <w:rPr>
                <w:rFonts w:ascii="Times New Roman" w:eastAsia="Times New Roman" w:hAnsi="Times New Roman" w:cs="Times New Roman"/>
                <w:sz w:val="20"/>
                <w:szCs w:val="20"/>
                <w:lang w:val="en-GB" w:eastAsia="en-GB"/>
              </w:rPr>
              <w:t>D; V</w:t>
            </w:r>
          </w:p>
        </w:tc>
        <w:tc>
          <w:tcPr>
            <w:tcW w:w="3088" w:type="pct"/>
            <w:shd w:val="clear" w:color="auto" w:fill="auto"/>
            <w:vAlign w:val="center"/>
          </w:tcPr>
          <w:p w14:paraId="335251CA" w14:textId="77777777" w:rsidR="00024F56" w:rsidRDefault="0022519B">
            <w:pPr>
              <w:tabs>
                <w:tab w:val="left" w:pos="459"/>
              </w:tabs>
              <w:contextualSpacing/>
              <w:jc w:val="left"/>
              <w:rPr>
                <w:rFonts w:ascii="Times New Roman" w:eastAsia="Cambria" w:hAnsi="Times New Roman" w:cs="Times New Roman"/>
                <w:sz w:val="20"/>
                <w:szCs w:val="20"/>
                <w:lang w:val="en-GB" w:eastAsia="en-GB"/>
              </w:rPr>
            </w:pPr>
            <w:r>
              <w:rPr>
                <w:rFonts w:ascii="Times New Roman" w:eastAsia="Cambria" w:hAnsi="Times New Roman" w:cs="Times New Roman"/>
                <w:sz w:val="20"/>
                <w:szCs w:val="20"/>
                <w:lang w:val="en-GB" w:eastAsia="en-GB"/>
              </w:rPr>
              <w:t>Describe the study design or source of data (e.g., randomized trial, cohort, or registry data), separately for the development and validation data sets, if applicable.</w:t>
            </w:r>
          </w:p>
        </w:tc>
        <w:tc>
          <w:tcPr>
            <w:tcW w:w="314" w:type="pct"/>
            <w:shd w:val="clear" w:color="auto" w:fill="auto"/>
            <w:vAlign w:val="center"/>
          </w:tcPr>
          <w:p w14:paraId="781883D4" w14:textId="77777777" w:rsidR="00024F56" w:rsidRDefault="0022519B">
            <w:pPr>
              <w:tabs>
                <w:tab w:val="left" w:pos="742"/>
              </w:tabs>
              <w:jc w:val="center"/>
              <w:rPr>
                <w:rFonts w:ascii="Times New Roman" w:eastAsia="宋体" w:hAnsi="Times New Roman" w:cs="Times New Roman"/>
                <w:sz w:val="20"/>
                <w:szCs w:val="20"/>
                <w:lang w:val="en-GB" w:eastAsia="en-GB"/>
              </w:rPr>
            </w:pPr>
            <w:r>
              <w:rPr>
                <w:rFonts w:ascii="Times New Roman" w:eastAsia="宋体" w:hAnsi="Times New Roman" w:cs="Times New Roman"/>
                <w:sz w:val="20"/>
                <w:szCs w:val="20"/>
                <w:lang w:val="en-GB" w:eastAsia="en-GB"/>
              </w:rPr>
              <w:t>Yes</w:t>
            </w:r>
          </w:p>
        </w:tc>
      </w:tr>
      <w:tr w:rsidR="00024F56" w14:paraId="3EAA2382" w14:textId="77777777">
        <w:trPr>
          <w:tblHeader/>
        </w:trPr>
        <w:tc>
          <w:tcPr>
            <w:tcW w:w="868" w:type="pct"/>
            <w:vMerge/>
            <w:shd w:val="clear" w:color="auto" w:fill="auto"/>
            <w:vAlign w:val="center"/>
          </w:tcPr>
          <w:p w14:paraId="3D596706" w14:textId="77777777" w:rsidR="00024F56" w:rsidRDefault="00024F56">
            <w:pPr>
              <w:rPr>
                <w:rFonts w:ascii="Times New Roman" w:eastAsia="Times New Roman" w:hAnsi="Times New Roman" w:cs="Times New Roman"/>
                <w:sz w:val="20"/>
                <w:szCs w:val="20"/>
                <w:lang w:val="en-GB" w:eastAsia="en-GB"/>
              </w:rPr>
            </w:pPr>
          </w:p>
        </w:tc>
        <w:tc>
          <w:tcPr>
            <w:tcW w:w="334" w:type="pct"/>
            <w:shd w:val="clear" w:color="auto" w:fill="auto"/>
            <w:vAlign w:val="center"/>
          </w:tcPr>
          <w:p w14:paraId="29D229BF" w14:textId="77777777" w:rsidR="00024F56" w:rsidRDefault="0022519B">
            <w:pPr>
              <w:jc w:val="center"/>
              <w:rPr>
                <w:rFonts w:ascii="Times New Roman" w:eastAsia="Times New Roman" w:hAnsi="Times New Roman" w:cs="Times New Roman"/>
                <w:sz w:val="20"/>
                <w:szCs w:val="20"/>
                <w:lang w:val="en-GB" w:eastAsia="en-GB"/>
              </w:rPr>
            </w:pPr>
            <w:r>
              <w:rPr>
                <w:rFonts w:ascii="Times New Roman" w:eastAsia="Times New Roman" w:hAnsi="Times New Roman" w:cs="Times New Roman"/>
                <w:sz w:val="20"/>
                <w:szCs w:val="20"/>
                <w:lang w:val="en-GB" w:eastAsia="en-GB"/>
              </w:rPr>
              <w:t>4b</w:t>
            </w:r>
          </w:p>
        </w:tc>
        <w:tc>
          <w:tcPr>
            <w:tcW w:w="393" w:type="pct"/>
            <w:shd w:val="clear" w:color="auto" w:fill="auto"/>
            <w:vAlign w:val="center"/>
          </w:tcPr>
          <w:p w14:paraId="7E9852AF" w14:textId="77777777" w:rsidR="00024F56" w:rsidRDefault="0022519B">
            <w:pPr>
              <w:jc w:val="center"/>
              <w:rPr>
                <w:rFonts w:ascii="Times New Roman" w:eastAsia="Times New Roman" w:hAnsi="Times New Roman" w:cs="Times New Roman"/>
                <w:sz w:val="20"/>
                <w:szCs w:val="20"/>
                <w:lang w:val="en-GB" w:eastAsia="en-GB"/>
              </w:rPr>
            </w:pPr>
            <w:r>
              <w:rPr>
                <w:rFonts w:ascii="Times New Roman" w:eastAsia="Times New Roman" w:hAnsi="Times New Roman" w:cs="Times New Roman"/>
                <w:sz w:val="20"/>
                <w:szCs w:val="20"/>
                <w:lang w:val="en-GB" w:eastAsia="en-GB"/>
              </w:rPr>
              <w:t>D; V</w:t>
            </w:r>
          </w:p>
        </w:tc>
        <w:tc>
          <w:tcPr>
            <w:tcW w:w="3088" w:type="pct"/>
            <w:shd w:val="clear" w:color="auto" w:fill="auto"/>
            <w:vAlign w:val="center"/>
          </w:tcPr>
          <w:p w14:paraId="34A8FCA9" w14:textId="77777777" w:rsidR="00024F56" w:rsidRDefault="0022519B">
            <w:pPr>
              <w:tabs>
                <w:tab w:val="left" w:pos="459"/>
              </w:tabs>
              <w:contextualSpacing/>
              <w:jc w:val="left"/>
              <w:rPr>
                <w:rFonts w:ascii="Times New Roman" w:eastAsia="Cambria" w:hAnsi="Times New Roman" w:cs="Times New Roman"/>
                <w:sz w:val="20"/>
                <w:szCs w:val="20"/>
                <w:lang w:val="en-GB" w:eastAsia="en-GB"/>
              </w:rPr>
            </w:pPr>
            <w:r>
              <w:rPr>
                <w:rFonts w:ascii="Times New Roman" w:eastAsia="Cambria" w:hAnsi="Times New Roman" w:cs="Times New Roman"/>
                <w:sz w:val="20"/>
                <w:szCs w:val="20"/>
                <w:lang w:val="en-GB" w:eastAsia="en-GB"/>
              </w:rPr>
              <w:t xml:space="preserve">Specify the key study dates, including start of accrual; end of accrual; and, if applicable, end of follow-up. </w:t>
            </w:r>
          </w:p>
        </w:tc>
        <w:tc>
          <w:tcPr>
            <w:tcW w:w="314" w:type="pct"/>
            <w:shd w:val="clear" w:color="auto" w:fill="auto"/>
            <w:vAlign w:val="center"/>
          </w:tcPr>
          <w:p w14:paraId="51F1A740" w14:textId="77777777" w:rsidR="00024F56" w:rsidRDefault="0022519B">
            <w:pPr>
              <w:tabs>
                <w:tab w:val="left" w:pos="742"/>
              </w:tabs>
              <w:jc w:val="center"/>
              <w:rPr>
                <w:rFonts w:ascii="Times New Roman" w:eastAsia="宋体" w:hAnsi="Times New Roman" w:cs="Times New Roman"/>
                <w:sz w:val="20"/>
                <w:szCs w:val="20"/>
                <w:lang w:val="en-GB" w:eastAsia="en-GB"/>
              </w:rPr>
            </w:pPr>
            <w:r>
              <w:rPr>
                <w:rFonts w:ascii="Times New Roman" w:eastAsia="宋体" w:hAnsi="Times New Roman" w:cs="Times New Roman"/>
                <w:sz w:val="20"/>
                <w:szCs w:val="20"/>
                <w:lang w:val="en-GB" w:eastAsia="en-GB"/>
              </w:rPr>
              <w:t>Yes</w:t>
            </w:r>
          </w:p>
        </w:tc>
      </w:tr>
      <w:tr w:rsidR="00024F56" w14:paraId="06418587" w14:textId="77777777">
        <w:trPr>
          <w:tblHeader/>
        </w:trPr>
        <w:tc>
          <w:tcPr>
            <w:tcW w:w="868" w:type="pct"/>
            <w:vMerge w:val="restart"/>
            <w:shd w:val="clear" w:color="auto" w:fill="auto"/>
            <w:vAlign w:val="center"/>
          </w:tcPr>
          <w:p w14:paraId="2021033A" w14:textId="77777777" w:rsidR="00024F56" w:rsidRDefault="0022519B">
            <w:pPr>
              <w:rPr>
                <w:rFonts w:ascii="Times New Roman" w:eastAsia="Times New Roman" w:hAnsi="Times New Roman" w:cs="Times New Roman"/>
                <w:b/>
                <w:sz w:val="20"/>
                <w:szCs w:val="20"/>
                <w:lang w:val="en-GB" w:eastAsia="en-GB"/>
              </w:rPr>
            </w:pPr>
            <w:r>
              <w:rPr>
                <w:rFonts w:ascii="Times New Roman" w:eastAsia="Times New Roman" w:hAnsi="Times New Roman" w:cs="Times New Roman"/>
                <w:sz w:val="20"/>
                <w:szCs w:val="20"/>
                <w:lang w:val="en-GB" w:eastAsia="en-GB"/>
              </w:rPr>
              <w:t>Participants</w:t>
            </w:r>
          </w:p>
        </w:tc>
        <w:tc>
          <w:tcPr>
            <w:tcW w:w="334" w:type="pct"/>
            <w:shd w:val="clear" w:color="auto" w:fill="auto"/>
            <w:vAlign w:val="center"/>
          </w:tcPr>
          <w:p w14:paraId="2D85891C" w14:textId="77777777" w:rsidR="00024F56" w:rsidRDefault="0022519B">
            <w:pPr>
              <w:jc w:val="center"/>
              <w:rPr>
                <w:rFonts w:ascii="Times New Roman" w:eastAsia="Times New Roman" w:hAnsi="Times New Roman" w:cs="Times New Roman"/>
                <w:sz w:val="20"/>
                <w:szCs w:val="20"/>
                <w:lang w:val="en-GB" w:eastAsia="en-GB"/>
              </w:rPr>
            </w:pPr>
            <w:r>
              <w:rPr>
                <w:rFonts w:ascii="Times New Roman" w:eastAsia="Times New Roman" w:hAnsi="Times New Roman" w:cs="Times New Roman"/>
                <w:sz w:val="20"/>
                <w:szCs w:val="20"/>
                <w:lang w:val="en-GB" w:eastAsia="en-GB"/>
              </w:rPr>
              <w:t>5a</w:t>
            </w:r>
          </w:p>
        </w:tc>
        <w:tc>
          <w:tcPr>
            <w:tcW w:w="393" w:type="pct"/>
            <w:shd w:val="clear" w:color="auto" w:fill="auto"/>
            <w:vAlign w:val="center"/>
          </w:tcPr>
          <w:p w14:paraId="76E9C41F" w14:textId="77777777" w:rsidR="00024F56" w:rsidRDefault="0022519B">
            <w:pPr>
              <w:jc w:val="center"/>
              <w:rPr>
                <w:rFonts w:ascii="Times New Roman" w:eastAsia="Times New Roman" w:hAnsi="Times New Roman" w:cs="Times New Roman"/>
                <w:sz w:val="20"/>
                <w:szCs w:val="20"/>
                <w:lang w:val="en-GB" w:eastAsia="en-GB"/>
              </w:rPr>
            </w:pPr>
            <w:r>
              <w:rPr>
                <w:rFonts w:ascii="Times New Roman" w:eastAsia="Times New Roman" w:hAnsi="Times New Roman" w:cs="Times New Roman"/>
                <w:sz w:val="20"/>
                <w:szCs w:val="20"/>
                <w:lang w:val="en-GB" w:eastAsia="en-GB"/>
              </w:rPr>
              <w:t>D; V</w:t>
            </w:r>
          </w:p>
        </w:tc>
        <w:tc>
          <w:tcPr>
            <w:tcW w:w="3088" w:type="pct"/>
            <w:shd w:val="clear" w:color="auto" w:fill="auto"/>
            <w:vAlign w:val="center"/>
          </w:tcPr>
          <w:p w14:paraId="0115C803" w14:textId="77777777" w:rsidR="00024F56" w:rsidRDefault="0022519B">
            <w:pPr>
              <w:tabs>
                <w:tab w:val="left" w:pos="459"/>
              </w:tabs>
              <w:contextualSpacing/>
              <w:jc w:val="left"/>
              <w:rPr>
                <w:rFonts w:ascii="Times New Roman" w:eastAsia="Cambria" w:hAnsi="Times New Roman" w:cs="Times New Roman"/>
                <w:sz w:val="20"/>
                <w:szCs w:val="20"/>
                <w:lang w:val="en-GB" w:eastAsia="en-GB"/>
              </w:rPr>
            </w:pPr>
            <w:r>
              <w:rPr>
                <w:rFonts w:ascii="Times New Roman" w:eastAsia="Cambria" w:hAnsi="Times New Roman" w:cs="Times New Roman"/>
                <w:sz w:val="20"/>
                <w:szCs w:val="20"/>
                <w:lang w:val="en-GB" w:eastAsia="en-GB"/>
              </w:rPr>
              <w:t xml:space="preserve">Specify key elements of the study setting (e.g., primary care, secondary care, general population) including </w:t>
            </w:r>
            <w:r>
              <w:rPr>
                <w:rFonts w:ascii="Times New Roman" w:eastAsia="Cambria" w:hAnsi="Times New Roman" w:cs="Times New Roman"/>
                <w:sz w:val="20"/>
                <w:szCs w:val="20"/>
                <w:lang w:val="en-GB" w:eastAsia="en-GB"/>
              </w:rPr>
              <w:t>number and location of centres.</w:t>
            </w:r>
          </w:p>
        </w:tc>
        <w:tc>
          <w:tcPr>
            <w:tcW w:w="314" w:type="pct"/>
            <w:shd w:val="clear" w:color="auto" w:fill="auto"/>
            <w:vAlign w:val="center"/>
          </w:tcPr>
          <w:p w14:paraId="3BA6BA30" w14:textId="77777777" w:rsidR="00024F56" w:rsidRDefault="0022519B">
            <w:pPr>
              <w:tabs>
                <w:tab w:val="left" w:pos="742"/>
              </w:tabs>
              <w:jc w:val="center"/>
              <w:rPr>
                <w:rFonts w:ascii="Times New Roman" w:eastAsia="Times New Roman" w:hAnsi="Times New Roman" w:cs="Times New Roman"/>
                <w:sz w:val="20"/>
                <w:szCs w:val="20"/>
                <w:lang w:val="en-GB" w:eastAsia="en-GB"/>
              </w:rPr>
            </w:pPr>
            <w:r>
              <w:rPr>
                <w:rFonts w:ascii="Times New Roman" w:eastAsia="宋体" w:hAnsi="Times New Roman" w:cs="Times New Roman"/>
                <w:sz w:val="20"/>
                <w:szCs w:val="20"/>
                <w:lang w:val="en-GB" w:eastAsia="en-GB"/>
              </w:rPr>
              <w:t>Yes</w:t>
            </w:r>
          </w:p>
        </w:tc>
      </w:tr>
      <w:tr w:rsidR="00024F56" w14:paraId="3E542B5E" w14:textId="77777777">
        <w:trPr>
          <w:tblHeader/>
        </w:trPr>
        <w:tc>
          <w:tcPr>
            <w:tcW w:w="868" w:type="pct"/>
            <w:vMerge/>
            <w:shd w:val="clear" w:color="auto" w:fill="auto"/>
            <w:vAlign w:val="center"/>
          </w:tcPr>
          <w:p w14:paraId="1AAC52EE" w14:textId="77777777" w:rsidR="00024F56" w:rsidRDefault="00024F56">
            <w:pPr>
              <w:rPr>
                <w:rFonts w:ascii="Times New Roman" w:eastAsia="Times New Roman" w:hAnsi="Times New Roman" w:cs="Times New Roman"/>
                <w:sz w:val="20"/>
                <w:szCs w:val="20"/>
                <w:lang w:val="en-GB" w:eastAsia="en-GB"/>
              </w:rPr>
            </w:pPr>
          </w:p>
        </w:tc>
        <w:tc>
          <w:tcPr>
            <w:tcW w:w="334" w:type="pct"/>
            <w:shd w:val="clear" w:color="auto" w:fill="auto"/>
            <w:vAlign w:val="center"/>
          </w:tcPr>
          <w:p w14:paraId="5FF6217E" w14:textId="77777777" w:rsidR="00024F56" w:rsidRDefault="0022519B">
            <w:pPr>
              <w:jc w:val="center"/>
              <w:rPr>
                <w:rFonts w:ascii="Times New Roman" w:eastAsia="Times New Roman" w:hAnsi="Times New Roman" w:cs="Times New Roman"/>
                <w:sz w:val="20"/>
                <w:szCs w:val="20"/>
                <w:lang w:val="en-GB" w:eastAsia="en-GB"/>
              </w:rPr>
            </w:pPr>
            <w:r>
              <w:rPr>
                <w:rFonts w:ascii="Times New Roman" w:eastAsia="Times New Roman" w:hAnsi="Times New Roman" w:cs="Times New Roman"/>
                <w:sz w:val="20"/>
                <w:szCs w:val="20"/>
                <w:lang w:val="en-GB" w:eastAsia="en-GB"/>
              </w:rPr>
              <w:t>5b</w:t>
            </w:r>
          </w:p>
        </w:tc>
        <w:tc>
          <w:tcPr>
            <w:tcW w:w="393" w:type="pct"/>
            <w:shd w:val="clear" w:color="auto" w:fill="auto"/>
            <w:vAlign w:val="center"/>
          </w:tcPr>
          <w:p w14:paraId="006FBEFC" w14:textId="77777777" w:rsidR="00024F56" w:rsidRDefault="0022519B">
            <w:pPr>
              <w:jc w:val="center"/>
              <w:rPr>
                <w:rFonts w:ascii="Times New Roman" w:eastAsia="Times New Roman" w:hAnsi="Times New Roman" w:cs="Times New Roman"/>
                <w:sz w:val="20"/>
                <w:szCs w:val="20"/>
                <w:lang w:val="en-GB" w:eastAsia="en-GB"/>
              </w:rPr>
            </w:pPr>
            <w:r>
              <w:rPr>
                <w:rFonts w:ascii="Times New Roman" w:eastAsia="Times New Roman" w:hAnsi="Times New Roman" w:cs="Times New Roman"/>
                <w:sz w:val="20"/>
                <w:szCs w:val="20"/>
                <w:lang w:val="en-GB" w:eastAsia="en-GB"/>
              </w:rPr>
              <w:t>D; V</w:t>
            </w:r>
          </w:p>
        </w:tc>
        <w:tc>
          <w:tcPr>
            <w:tcW w:w="3088" w:type="pct"/>
            <w:shd w:val="clear" w:color="auto" w:fill="auto"/>
            <w:vAlign w:val="center"/>
          </w:tcPr>
          <w:p w14:paraId="59FE85B7" w14:textId="77777777" w:rsidR="00024F56" w:rsidRDefault="0022519B">
            <w:pPr>
              <w:tabs>
                <w:tab w:val="left" w:pos="459"/>
              </w:tabs>
              <w:contextualSpacing/>
              <w:jc w:val="left"/>
              <w:rPr>
                <w:rFonts w:ascii="Times New Roman" w:eastAsia="Cambria" w:hAnsi="Times New Roman" w:cs="Times New Roman"/>
                <w:sz w:val="20"/>
                <w:szCs w:val="20"/>
                <w:lang w:val="en-GB" w:eastAsia="en-GB"/>
              </w:rPr>
            </w:pPr>
            <w:r>
              <w:rPr>
                <w:rFonts w:ascii="Times New Roman" w:eastAsia="Cambria" w:hAnsi="Times New Roman" w:cs="Times New Roman"/>
                <w:sz w:val="20"/>
                <w:szCs w:val="20"/>
                <w:lang w:val="en-GB" w:eastAsia="en-GB"/>
              </w:rPr>
              <w:t xml:space="preserve">Describe eligibility criteria for participants. </w:t>
            </w:r>
          </w:p>
        </w:tc>
        <w:tc>
          <w:tcPr>
            <w:tcW w:w="314" w:type="pct"/>
            <w:shd w:val="clear" w:color="auto" w:fill="auto"/>
            <w:vAlign w:val="center"/>
          </w:tcPr>
          <w:p w14:paraId="145C91DB" w14:textId="77777777" w:rsidR="00024F56" w:rsidRDefault="0022519B">
            <w:pPr>
              <w:tabs>
                <w:tab w:val="left" w:pos="742"/>
              </w:tabs>
              <w:jc w:val="center"/>
              <w:rPr>
                <w:rFonts w:ascii="Times New Roman" w:eastAsia="Times New Roman" w:hAnsi="Times New Roman" w:cs="Times New Roman"/>
                <w:sz w:val="20"/>
                <w:szCs w:val="20"/>
                <w:lang w:val="en-GB" w:eastAsia="en-GB"/>
              </w:rPr>
            </w:pPr>
            <w:r>
              <w:rPr>
                <w:rFonts w:ascii="Times New Roman" w:eastAsia="宋体" w:hAnsi="Times New Roman" w:cs="Times New Roman"/>
                <w:sz w:val="20"/>
                <w:szCs w:val="20"/>
                <w:lang w:val="en-GB" w:eastAsia="en-GB"/>
              </w:rPr>
              <w:t>Yes</w:t>
            </w:r>
            <w:r>
              <w:rPr>
                <w:rFonts w:ascii="Times New Roman" w:eastAsia="Times New Roman" w:hAnsi="Times New Roman" w:cs="Times New Roman"/>
                <w:sz w:val="20"/>
                <w:szCs w:val="20"/>
                <w:lang w:val="en-GB" w:eastAsia="en-GB"/>
              </w:rPr>
              <w:t xml:space="preserve"> </w:t>
            </w:r>
          </w:p>
        </w:tc>
      </w:tr>
      <w:tr w:rsidR="00024F56" w14:paraId="0B296D62" w14:textId="77777777">
        <w:trPr>
          <w:tblHeader/>
        </w:trPr>
        <w:tc>
          <w:tcPr>
            <w:tcW w:w="868" w:type="pct"/>
            <w:vMerge/>
            <w:shd w:val="clear" w:color="auto" w:fill="auto"/>
            <w:vAlign w:val="center"/>
          </w:tcPr>
          <w:p w14:paraId="3E108074" w14:textId="77777777" w:rsidR="00024F56" w:rsidRDefault="00024F56">
            <w:pPr>
              <w:rPr>
                <w:rFonts w:ascii="Times New Roman" w:eastAsia="Times New Roman" w:hAnsi="Times New Roman" w:cs="Times New Roman"/>
                <w:sz w:val="20"/>
                <w:szCs w:val="20"/>
                <w:lang w:val="en-GB" w:eastAsia="en-GB"/>
              </w:rPr>
            </w:pPr>
          </w:p>
        </w:tc>
        <w:tc>
          <w:tcPr>
            <w:tcW w:w="334" w:type="pct"/>
            <w:shd w:val="clear" w:color="auto" w:fill="auto"/>
            <w:vAlign w:val="center"/>
          </w:tcPr>
          <w:p w14:paraId="1A1CAAAD" w14:textId="77777777" w:rsidR="00024F56" w:rsidRDefault="0022519B">
            <w:pPr>
              <w:jc w:val="center"/>
              <w:rPr>
                <w:rFonts w:ascii="Times New Roman" w:eastAsia="Times New Roman" w:hAnsi="Times New Roman" w:cs="Times New Roman"/>
                <w:sz w:val="20"/>
                <w:szCs w:val="20"/>
                <w:lang w:val="en-GB" w:eastAsia="en-GB"/>
              </w:rPr>
            </w:pPr>
            <w:r>
              <w:rPr>
                <w:rFonts w:ascii="Times New Roman" w:eastAsia="Times New Roman" w:hAnsi="Times New Roman" w:cs="Times New Roman"/>
                <w:sz w:val="20"/>
                <w:szCs w:val="20"/>
                <w:lang w:val="en-GB" w:eastAsia="en-GB"/>
              </w:rPr>
              <w:t>5c</w:t>
            </w:r>
          </w:p>
        </w:tc>
        <w:tc>
          <w:tcPr>
            <w:tcW w:w="393" w:type="pct"/>
            <w:shd w:val="clear" w:color="auto" w:fill="auto"/>
            <w:vAlign w:val="center"/>
          </w:tcPr>
          <w:p w14:paraId="58CC5BBB" w14:textId="77777777" w:rsidR="00024F56" w:rsidRDefault="0022519B">
            <w:pPr>
              <w:jc w:val="center"/>
              <w:rPr>
                <w:rFonts w:ascii="Times New Roman" w:eastAsia="Times New Roman" w:hAnsi="Times New Roman" w:cs="Times New Roman"/>
                <w:sz w:val="20"/>
                <w:szCs w:val="20"/>
                <w:lang w:val="en-GB" w:eastAsia="en-GB"/>
              </w:rPr>
            </w:pPr>
            <w:r>
              <w:rPr>
                <w:rFonts w:ascii="Times New Roman" w:eastAsia="Times New Roman" w:hAnsi="Times New Roman" w:cs="Times New Roman"/>
                <w:sz w:val="20"/>
                <w:szCs w:val="20"/>
                <w:lang w:val="en-GB" w:eastAsia="en-GB"/>
              </w:rPr>
              <w:t>D; V</w:t>
            </w:r>
          </w:p>
        </w:tc>
        <w:tc>
          <w:tcPr>
            <w:tcW w:w="3088" w:type="pct"/>
            <w:shd w:val="clear" w:color="auto" w:fill="auto"/>
            <w:vAlign w:val="center"/>
          </w:tcPr>
          <w:p w14:paraId="32E7E735" w14:textId="77777777" w:rsidR="00024F56" w:rsidRDefault="0022519B">
            <w:pPr>
              <w:tabs>
                <w:tab w:val="left" w:pos="459"/>
              </w:tabs>
              <w:contextualSpacing/>
              <w:jc w:val="left"/>
              <w:rPr>
                <w:rFonts w:ascii="Times New Roman" w:eastAsia="Cambria" w:hAnsi="Times New Roman" w:cs="Times New Roman"/>
                <w:sz w:val="20"/>
                <w:szCs w:val="20"/>
                <w:lang w:val="en-GB" w:eastAsia="en-GB"/>
              </w:rPr>
            </w:pPr>
            <w:r>
              <w:rPr>
                <w:rFonts w:ascii="Times New Roman" w:eastAsia="Cambria" w:hAnsi="Times New Roman" w:cs="Times New Roman"/>
                <w:sz w:val="20"/>
                <w:szCs w:val="20"/>
                <w:lang w:val="en-GB" w:eastAsia="en-GB"/>
              </w:rPr>
              <w:t xml:space="preserve">Give details of treatments received, if relevant. </w:t>
            </w:r>
          </w:p>
        </w:tc>
        <w:tc>
          <w:tcPr>
            <w:tcW w:w="314" w:type="pct"/>
            <w:shd w:val="clear" w:color="auto" w:fill="auto"/>
            <w:vAlign w:val="center"/>
          </w:tcPr>
          <w:p w14:paraId="059DA0AB" w14:textId="77777777" w:rsidR="00024F56" w:rsidRDefault="0022519B">
            <w:pPr>
              <w:tabs>
                <w:tab w:val="left" w:pos="742"/>
              </w:tabs>
              <w:jc w:val="center"/>
              <w:rPr>
                <w:rFonts w:ascii="Times New Roman" w:eastAsia="宋体" w:hAnsi="Times New Roman" w:cs="Times New Roman"/>
                <w:sz w:val="20"/>
                <w:szCs w:val="20"/>
                <w:lang w:val="en-GB" w:eastAsia="en-GB"/>
              </w:rPr>
            </w:pPr>
            <w:r>
              <w:rPr>
                <w:rFonts w:ascii="Times New Roman" w:eastAsia="宋体" w:hAnsi="Times New Roman" w:cs="Times New Roman"/>
                <w:sz w:val="20"/>
                <w:szCs w:val="20"/>
                <w:lang w:val="en-GB" w:eastAsia="en-GB"/>
              </w:rPr>
              <w:t>Yes</w:t>
            </w:r>
          </w:p>
        </w:tc>
      </w:tr>
      <w:tr w:rsidR="00024F56" w14:paraId="038E555F" w14:textId="77777777">
        <w:trPr>
          <w:tblHeader/>
        </w:trPr>
        <w:tc>
          <w:tcPr>
            <w:tcW w:w="868" w:type="pct"/>
            <w:vMerge w:val="restart"/>
            <w:shd w:val="clear" w:color="auto" w:fill="auto"/>
            <w:vAlign w:val="center"/>
          </w:tcPr>
          <w:p w14:paraId="4F55F0FD" w14:textId="77777777" w:rsidR="00024F56" w:rsidRDefault="0022519B">
            <w:pPr>
              <w:rPr>
                <w:rFonts w:ascii="Times New Roman" w:eastAsia="Times New Roman" w:hAnsi="Times New Roman" w:cs="Times New Roman"/>
                <w:b/>
                <w:sz w:val="20"/>
                <w:szCs w:val="20"/>
                <w:lang w:val="en-GB" w:eastAsia="en-GB"/>
              </w:rPr>
            </w:pPr>
            <w:r>
              <w:rPr>
                <w:rFonts w:ascii="Times New Roman" w:eastAsia="Times New Roman" w:hAnsi="Times New Roman" w:cs="Times New Roman"/>
                <w:sz w:val="20"/>
                <w:szCs w:val="20"/>
                <w:lang w:val="en-GB" w:eastAsia="en-GB"/>
              </w:rPr>
              <w:t>Outcome</w:t>
            </w:r>
          </w:p>
        </w:tc>
        <w:tc>
          <w:tcPr>
            <w:tcW w:w="334" w:type="pct"/>
            <w:shd w:val="clear" w:color="auto" w:fill="auto"/>
            <w:vAlign w:val="center"/>
          </w:tcPr>
          <w:p w14:paraId="2F0AF014" w14:textId="77777777" w:rsidR="00024F56" w:rsidRDefault="0022519B">
            <w:pPr>
              <w:jc w:val="center"/>
              <w:rPr>
                <w:rFonts w:ascii="Times New Roman" w:eastAsia="Times New Roman" w:hAnsi="Times New Roman" w:cs="Times New Roman"/>
                <w:sz w:val="20"/>
                <w:szCs w:val="20"/>
                <w:lang w:val="en-GB" w:eastAsia="en-GB"/>
              </w:rPr>
            </w:pPr>
            <w:r>
              <w:rPr>
                <w:rFonts w:ascii="Times New Roman" w:eastAsia="Times New Roman" w:hAnsi="Times New Roman" w:cs="Times New Roman"/>
                <w:sz w:val="20"/>
                <w:szCs w:val="20"/>
                <w:lang w:val="en-GB" w:eastAsia="en-GB"/>
              </w:rPr>
              <w:t>6a</w:t>
            </w:r>
          </w:p>
        </w:tc>
        <w:tc>
          <w:tcPr>
            <w:tcW w:w="393" w:type="pct"/>
            <w:shd w:val="clear" w:color="auto" w:fill="auto"/>
            <w:vAlign w:val="center"/>
          </w:tcPr>
          <w:p w14:paraId="51A904C2" w14:textId="77777777" w:rsidR="00024F56" w:rsidRDefault="0022519B">
            <w:pPr>
              <w:jc w:val="center"/>
              <w:rPr>
                <w:rFonts w:ascii="Times New Roman" w:eastAsia="Times New Roman" w:hAnsi="Times New Roman" w:cs="Times New Roman"/>
                <w:sz w:val="20"/>
                <w:szCs w:val="20"/>
                <w:lang w:val="en-GB" w:eastAsia="en-GB"/>
              </w:rPr>
            </w:pPr>
            <w:r>
              <w:rPr>
                <w:rFonts w:ascii="Times New Roman" w:eastAsia="Times New Roman" w:hAnsi="Times New Roman" w:cs="Times New Roman"/>
                <w:sz w:val="20"/>
                <w:szCs w:val="20"/>
                <w:lang w:val="en-GB" w:eastAsia="en-GB"/>
              </w:rPr>
              <w:t>D; V</w:t>
            </w:r>
          </w:p>
        </w:tc>
        <w:tc>
          <w:tcPr>
            <w:tcW w:w="3088" w:type="pct"/>
            <w:shd w:val="clear" w:color="auto" w:fill="auto"/>
            <w:vAlign w:val="center"/>
          </w:tcPr>
          <w:p w14:paraId="5C2869FB" w14:textId="77777777" w:rsidR="00024F56" w:rsidRDefault="0022519B">
            <w:pPr>
              <w:tabs>
                <w:tab w:val="left" w:pos="459"/>
              </w:tabs>
              <w:contextualSpacing/>
              <w:jc w:val="left"/>
              <w:rPr>
                <w:rFonts w:ascii="Times New Roman" w:eastAsia="Cambria" w:hAnsi="Times New Roman" w:cs="Times New Roman"/>
                <w:sz w:val="20"/>
                <w:szCs w:val="20"/>
                <w:lang w:val="en-GB" w:eastAsia="en-GB"/>
              </w:rPr>
            </w:pPr>
            <w:r>
              <w:rPr>
                <w:rFonts w:ascii="Times New Roman" w:eastAsia="Cambria" w:hAnsi="Times New Roman" w:cs="Times New Roman"/>
                <w:sz w:val="20"/>
                <w:szCs w:val="20"/>
                <w:lang w:val="en-GB" w:eastAsia="en-GB"/>
              </w:rPr>
              <w:t xml:space="preserve">Clearly define the outcome that is predicted by the prediction model, including how and when assessed. </w:t>
            </w:r>
          </w:p>
        </w:tc>
        <w:tc>
          <w:tcPr>
            <w:tcW w:w="314" w:type="pct"/>
            <w:shd w:val="clear" w:color="auto" w:fill="auto"/>
            <w:vAlign w:val="center"/>
          </w:tcPr>
          <w:p w14:paraId="1576A46B" w14:textId="77777777" w:rsidR="00024F56" w:rsidRDefault="0022519B">
            <w:pPr>
              <w:jc w:val="center"/>
              <w:rPr>
                <w:rFonts w:ascii="Times New Roman" w:eastAsia="宋体" w:hAnsi="Times New Roman" w:cs="Times New Roman"/>
                <w:sz w:val="20"/>
                <w:szCs w:val="20"/>
                <w:lang w:val="en-GB" w:eastAsia="en-GB"/>
              </w:rPr>
            </w:pPr>
            <w:bookmarkStart w:id="16" w:name="OLE_LINK10"/>
            <w:r>
              <w:rPr>
                <w:rFonts w:ascii="Times New Roman" w:eastAsia="宋体" w:hAnsi="Times New Roman" w:cs="Times New Roman"/>
                <w:sz w:val="20"/>
                <w:szCs w:val="20"/>
                <w:lang w:val="en-GB" w:eastAsia="en-GB"/>
              </w:rPr>
              <w:t>Yes</w:t>
            </w:r>
            <w:bookmarkEnd w:id="16"/>
          </w:p>
        </w:tc>
      </w:tr>
      <w:tr w:rsidR="00024F56" w14:paraId="06AC7B4A" w14:textId="77777777">
        <w:trPr>
          <w:tblHeader/>
        </w:trPr>
        <w:tc>
          <w:tcPr>
            <w:tcW w:w="868" w:type="pct"/>
            <w:vMerge/>
            <w:shd w:val="clear" w:color="auto" w:fill="auto"/>
            <w:vAlign w:val="center"/>
          </w:tcPr>
          <w:p w14:paraId="066DCF58" w14:textId="77777777" w:rsidR="00024F56" w:rsidRDefault="00024F56">
            <w:pPr>
              <w:rPr>
                <w:rFonts w:ascii="Times New Roman" w:eastAsia="Times New Roman" w:hAnsi="Times New Roman" w:cs="Times New Roman"/>
                <w:sz w:val="20"/>
                <w:szCs w:val="20"/>
                <w:lang w:val="en-GB" w:eastAsia="en-GB"/>
              </w:rPr>
            </w:pPr>
          </w:p>
        </w:tc>
        <w:tc>
          <w:tcPr>
            <w:tcW w:w="334" w:type="pct"/>
            <w:shd w:val="clear" w:color="auto" w:fill="auto"/>
            <w:vAlign w:val="center"/>
          </w:tcPr>
          <w:p w14:paraId="3DB80E6D" w14:textId="77777777" w:rsidR="00024F56" w:rsidRDefault="0022519B">
            <w:pPr>
              <w:jc w:val="center"/>
              <w:rPr>
                <w:rFonts w:ascii="Times New Roman" w:eastAsia="Times New Roman" w:hAnsi="Times New Roman" w:cs="Times New Roman"/>
                <w:sz w:val="20"/>
                <w:szCs w:val="20"/>
                <w:lang w:val="en-GB" w:eastAsia="en-GB"/>
              </w:rPr>
            </w:pPr>
            <w:r>
              <w:rPr>
                <w:rFonts w:ascii="Times New Roman" w:eastAsia="Times New Roman" w:hAnsi="Times New Roman" w:cs="Times New Roman"/>
                <w:sz w:val="20"/>
                <w:szCs w:val="20"/>
                <w:lang w:val="en-GB" w:eastAsia="en-GB"/>
              </w:rPr>
              <w:t>6b</w:t>
            </w:r>
          </w:p>
        </w:tc>
        <w:tc>
          <w:tcPr>
            <w:tcW w:w="393" w:type="pct"/>
            <w:shd w:val="clear" w:color="auto" w:fill="auto"/>
            <w:vAlign w:val="center"/>
          </w:tcPr>
          <w:p w14:paraId="590E52EC" w14:textId="77777777" w:rsidR="00024F56" w:rsidRDefault="0022519B">
            <w:pPr>
              <w:jc w:val="center"/>
              <w:rPr>
                <w:rFonts w:ascii="Times New Roman" w:eastAsia="Times New Roman" w:hAnsi="Times New Roman" w:cs="Times New Roman"/>
                <w:sz w:val="20"/>
                <w:szCs w:val="20"/>
                <w:lang w:val="en-GB" w:eastAsia="en-GB"/>
              </w:rPr>
            </w:pPr>
            <w:r>
              <w:rPr>
                <w:rFonts w:ascii="Times New Roman" w:eastAsia="Times New Roman" w:hAnsi="Times New Roman" w:cs="Times New Roman"/>
                <w:sz w:val="20"/>
                <w:szCs w:val="20"/>
                <w:lang w:val="en-GB" w:eastAsia="en-GB"/>
              </w:rPr>
              <w:t>D; V</w:t>
            </w:r>
          </w:p>
        </w:tc>
        <w:tc>
          <w:tcPr>
            <w:tcW w:w="3088" w:type="pct"/>
            <w:shd w:val="clear" w:color="auto" w:fill="auto"/>
            <w:vAlign w:val="center"/>
          </w:tcPr>
          <w:p w14:paraId="15901415" w14:textId="77777777" w:rsidR="00024F56" w:rsidRDefault="0022519B">
            <w:pPr>
              <w:tabs>
                <w:tab w:val="left" w:pos="459"/>
              </w:tabs>
              <w:contextualSpacing/>
              <w:jc w:val="left"/>
              <w:rPr>
                <w:rFonts w:ascii="Times New Roman" w:eastAsia="Cambria" w:hAnsi="Times New Roman" w:cs="Times New Roman"/>
                <w:sz w:val="20"/>
                <w:szCs w:val="20"/>
                <w:lang w:val="en-GB" w:eastAsia="en-GB"/>
              </w:rPr>
            </w:pPr>
            <w:r>
              <w:rPr>
                <w:rFonts w:ascii="Times New Roman" w:eastAsia="Cambria" w:hAnsi="Times New Roman" w:cs="Times New Roman"/>
                <w:sz w:val="20"/>
                <w:szCs w:val="20"/>
                <w:lang w:val="en-GB" w:eastAsia="en-GB"/>
              </w:rPr>
              <w:t xml:space="preserve">Report any actions to blind assessment of the outcome to be predicted. </w:t>
            </w:r>
          </w:p>
        </w:tc>
        <w:tc>
          <w:tcPr>
            <w:tcW w:w="314" w:type="pct"/>
            <w:shd w:val="clear" w:color="auto" w:fill="auto"/>
            <w:vAlign w:val="center"/>
          </w:tcPr>
          <w:p w14:paraId="535F3621" w14:textId="77777777" w:rsidR="00024F56" w:rsidRDefault="0022519B">
            <w:pPr>
              <w:jc w:val="center"/>
              <w:rPr>
                <w:rFonts w:ascii="Times New Roman" w:eastAsia="Times New Roman" w:hAnsi="Times New Roman" w:cs="Times New Roman"/>
                <w:sz w:val="20"/>
                <w:szCs w:val="20"/>
                <w:lang w:val="en-GB" w:eastAsia="en-GB"/>
              </w:rPr>
            </w:pPr>
            <w:r>
              <w:rPr>
                <w:rFonts w:ascii="Times New Roman" w:eastAsia="宋体" w:hAnsi="Times New Roman" w:cs="Times New Roman"/>
                <w:sz w:val="20"/>
                <w:szCs w:val="20"/>
                <w:lang w:val="en-GB" w:eastAsia="en-GB"/>
              </w:rPr>
              <w:t>Yes</w:t>
            </w:r>
          </w:p>
        </w:tc>
      </w:tr>
      <w:tr w:rsidR="00024F56" w14:paraId="59AC8203" w14:textId="77777777">
        <w:trPr>
          <w:tblHeader/>
        </w:trPr>
        <w:tc>
          <w:tcPr>
            <w:tcW w:w="868" w:type="pct"/>
            <w:vMerge w:val="restart"/>
            <w:shd w:val="clear" w:color="auto" w:fill="auto"/>
            <w:vAlign w:val="center"/>
          </w:tcPr>
          <w:p w14:paraId="22027D8F" w14:textId="77777777" w:rsidR="00024F56" w:rsidRDefault="0022519B">
            <w:pPr>
              <w:rPr>
                <w:rFonts w:ascii="Times New Roman" w:eastAsia="Times New Roman" w:hAnsi="Times New Roman" w:cs="Times New Roman"/>
                <w:bCs/>
                <w:sz w:val="20"/>
                <w:szCs w:val="20"/>
                <w:lang w:val="en-GB" w:eastAsia="en-GB"/>
              </w:rPr>
            </w:pPr>
            <w:r>
              <w:rPr>
                <w:rFonts w:ascii="Times New Roman" w:eastAsia="Times New Roman" w:hAnsi="Times New Roman" w:cs="Times New Roman"/>
                <w:sz w:val="20"/>
                <w:szCs w:val="20"/>
                <w:lang w:val="en-GB" w:eastAsia="en-GB"/>
              </w:rPr>
              <w:t>Predictors</w:t>
            </w:r>
          </w:p>
        </w:tc>
        <w:tc>
          <w:tcPr>
            <w:tcW w:w="334" w:type="pct"/>
            <w:shd w:val="clear" w:color="auto" w:fill="auto"/>
            <w:vAlign w:val="center"/>
          </w:tcPr>
          <w:p w14:paraId="549788DA" w14:textId="77777777" w:rsidR="00024F56" w:rsidRDefault="0022519B">
            <w:pPr>
              <w:jc w:val="center"/>
              <w:rPr>
                <w:rFonts w:ascii="Times New Roman" w:eastAsia="Times New Roman" w:hAnsi="Times New Roman" w:cs="Times New Roman"/>
                <w:sz w:val="20"/>
                <w:szCs w:val="20"/>
                <w:lang w:val="en-GB" w:eastAsia="en-GB"/>
              </w:rPr>
            </w:pPr>
            <w:r>
              <w:rPr>
                <w:rFonts w:ascii="Times New Roman" w:eastAsia="Times New Roman" w:hAnsi="Times New Roman" w:cs="Times New Roman"/>
                <w:sz w:val="20"/>
                <w:szCs w:val="20"/>
                <w:lang w:val="en-GB" w:eastAsia="en-GB"/>
              </w:rPr>
              <w:t>7a</w:t>
            </w:r>
          </w:p>
        </w:tc>
        <w:tc>
          <w:tcPr>
            <w:tcW w:w="393" w:type="pct"/>
            <w:shd w:val="clear" w:color="auto" w:fill="auto"/>
            <w:vAlign w:val="center"/>
          </w:tcPr>
          <w:p w14:paraId="5469EBFC" w14:textId="77777777" w:rsidR="00024F56" w:rsidRDefault="0022519B">
            <w:pPr>
              <w:jc w:val="center"/>
              <w:rPr>
                <w:rFonts w:ascii="Times New Roman" w:eastAsia="Times New Roman" w:hAnsi="Times New Roman" w:cs="Times New Roman"/>
                <w:sz w:val="20"/>
                <w:szCs w:val="20"/>
                <w:lang w:val="en-GB" w:eastAsia="en-GB"/>
              </w:rPr>
            </w:pPr>
            <w:r>
              <w:rPr>
                <w:rFonts w:ascii="Times New Roman" w:eastAsia="Times New Roman" w:hAnsi="Times New Roman" w:cs="Times New Roman"/>
                <w:sz w:val="20"/>
                <w:szCs w:val="20"/>
                <w:lang w:val="en-GB" w:eastAsia="en-GB"/>
              </w:rPr>
              <w:t>D; V</w:t>
            </w:r>
          </w:p>
        </w:tc>
        <w:tc>
          <w:tcPr>
            <w:tcW w:w="3088" w:type="pct"/>
            <w:shd w:val="clear" w:color="auto" w:fill="auto"/>
            <w:vAlign w:val="center"/>
          </w:tcPr>
          <w:p w14:paraId="7E8F05C0" w14:textId="77777777" w:rsidR="00024F56" w:rsidRDefault="0022519B">
            <w:pPr>
              <w:tabs>
                <w:tab w:val="left" w:pos="459"/>
              </w:tabs>
              <w:contextualSpacing/>
              <w:jc w:val="left"/>
              <w:rPr>
                <w:rFonts w:ascii="Times New Roman" w:eastAsia="Cambria" w:hAnsi="Times New Roman" w:cs="Times New Roman"/>
                <w:sz w:val="20"/>
                <w:szCs w:val="20"/>
                <w:lang w:val="en-GB" w:eastAsia="en-GB"/>
              </w:rPr>
            </w:pPr>
            <w:r>
              <w:rPr>
                <w:rFonts w:ascii="Times New Roman" w:eastAsia="Cambria" w:hAnsi="Times New Roman" w:cs="Times New Roman"/>
                <w:sz w:val="20"/>
                <w:szCs w:val="20"/>
                <w:lang w:val="en-GB" w:eastAsia="en-GB"/>
              </w:rPr>
              <w:t>Clearly define all predictors used in developing or validating the multivariable prediction model, including how and when they were measured.</w:t>
            </w:r>
          </w:p>
        </w:tc>
        <w:tc>
          <w:tcPr>
            <w:tcW w:w="314" w:type="pct"/>
            <w:shd w:val="clear" w:color="auto" w:fill="auto"/>
            <w:vAlign w:val="center"/>
          </w:tcPr>
          <w:p w14:paraId="4FDC8378" w14:textId="77777777" w:rsidR="00024F56" w:rsidRDefault="0022519B">
            <w:pPr>
              <w:jc w:val="center"/>
              <w:rPr>
                <w:rFonts w:ascii="Times New Roman" w:eastAsia="宋体" w:hAnsi="Times New Roman" w:cs="Times New Roman"/>
                <w:sz w:val="20"/>
                <w:szCs w:val="20"/>
                <w:lang w:val="en-GB" w:eastAsia="en-GB"/>
              </w:rPr>
            </w:pPr>
            <w:bookmarkStart w:id="17" w:name="OLE_LINK11"/>
            <w:r>
              <w:rPr>
                <w:rFonts w:ascii="Times New Roman" w:eastAsia="宋体" w:hAnsi="Times New Roman" w:cs="Times New Roman"/>
                <w:sz w:val="20"/>
                <w:szCs w:val="20"/>
                <w:lang w:val="en-GB" w:eastAsia="en-GB"/>
              </w:rPr>
              <w:t>Yes</w:t>
            </w:r>
            <w:bookmarkEnd w:id="17"/>
          </w:p>
        </w:tc>
      </w:tr>
      <w:tr w:rsidR="00024F56" w14:paraId="46C6FB92" w14:textId="77777777">
        <w:trPr>
          <w:tblHeader/>
        </w:trPr>
        <w:tc>
          <w:tcPr>
            <w:tcW w:w="868" w:type="pct"/>
            <w:vMerge/>
            <w:shd w:val="clear" w:color="auto" w:fill="auto"/>
            <w:vAlign w:val="center"/>
          </w:tcPr>
          <w:p w14:paraId="4A048AC0" w14:textId="77777777" w:rsidR="00024F56" w:rsidRDefault="00024F56">
            <w:pPr>
              <w:rPr>
                <w:rFonts w:ascii="Times New Roman" w:eastAsia="Times New Roman" w:hAnsi="Times New Roman" w:cs="Times New Roman"/>
                <w:sz w:val="20"/>
                <w:szCs w:val="20"/>
                <w:lang w:val="en-GB" w:eastAsia="en-GB"/>
              </w:rPr>
            </w:pPr>
          </w:p>
        </w:tc>
        <w:tc>
          <w:tcPr>
            <w:tcW w:w="334" w:type="pct"/>
            <w:shd w:val="clear" w:color="auto" w:fill="auto"/>
            <w:vAlign w:val="center"/>
          </w:tcPr>
          <w:p w14:paraId="2B4BC38A" w14:textId="77777777" w:rsidR="00024F56" w:rsidRDefault="0022519B">
            <w:pPr>
              <w:jc w:val="center"/>
              <w:rPr>
                <w:rFonts w:ascii="Times New Roman" w:eastAsia="Times New Roman" w:hAnsi="Times New Roman" w:cs="Times New Roman"/>
                <w:sz w:val="20"/>
                <w:szCs w:val="20"/>
                <w:lang w:val="en-GB" w:eastAsia="en-GB"/>
              </w:rPr>
            </w:pPr>
            <w:r>
              <w:rPr>
                <w:rFonts w:ascii="Times New Roman" w:eastAsia="Times New Roman" w:hAnsi="Times New Roman" w:cs="Times New Roman"/>
                <w:sz w:val="20"/>
                <w:szCs w:val="20"/>
                <w:lang w:val="en-GB" w:eastAsia="en-GB"/>
              </w:rPr>
              <w:t>7b</w:t>
            </w:r>
          </w:p>
        </w:tc>
        <w:tc>
          <w:tcPr>
            <w:tcW w:w="393" w:type="pct"/>
            <w:shd w:val="clear" w:color="auto" w:fill="auto"/>
            <w:vAlign w:val="center"/>
          </w:tcPr>
          <w:p w14:paraId="14994C2B" w14:textId="77777777" w:rsidR="00024F56" w:rsidRDefault="0022519B">
            <w:pPr>
              <w:jc w:val="center"/>
              <w:rPr>
                <w:rFonts w:ascii="Times New Roman" w:eastAsia="Times New Roman" w:hAnsi="Times New Roman" w:cs="Times New Roman"/>
                <w:sz w:val="20"/>
                <w:szCs w:val="20"/>
                <w:lang w:val="en-GB" w:eastAsia="en-GB"/>
              </w:rPr>
            </w:pPr>
            <w:r>
              <w:rPr>
                <w:rFonts w:ascii="Times New Roman" w:eastAsia="Times New Roman" w:hAnsi="Times New Roman" w:cs="Times New Roman"/>
                <w:sz w:val="20"/>
                <w:szCs w:val="20"/>
                <w:lang w:val="en-GB" w:eastAsia="en-GB"/>
              </w:rPr>
              <w:t>D; V</w:t>
            </w:r>
          </w:p>
        </w:tc>
        <w:tc>
          <w:tcPr>
            <w:tcW w:w="3088" w:type="pct"/>
            <w:shd w:val="clear" w:color="auto" w:fill="auto"/>
            <w:vAlign w:val="center"/>
          </w:tcPr>
          <w:p w14:paraId="580BC897" w14:textId="77777777" w:rsidR="00024F56" w:rsidRDefault="0022519B">
            <w:pPr>
              <w:tabs>
                <w:tab w:val="left" w:pos="459"/>
              </w:tabs>
              <w:contextualSpacing/>
              <w:jc w:val="left"/>
              <w:rPr>
                <w:rFonts w:ascii="Times New Roman" w:eastAsia="Cambria" w:hAnsi="Times New Roman" w:cs="Times New Roman"/>
                <w:sz w:val="20"/>
                <w:szCs w:val="20"/>
                <w:lang w:val="en-GB" w:eastAsia="en-GB"/>
              </w:rPr>
            </w:pPr>
            <w:r>
              <w:rPr>
                <w:rFonts w:ascii="Times New Roman" w:eastAsia="Cambria" w:hAnsi="Times New Roman" w:cs="Times New Roman"/>
                <w:sz w:val="20"/>
                <w:szCs w:val="20"/>
                <w:lang w:val="en-GB" w:eastAsia="en-GB"/>
              </w:rPr>
              <w:t xml:space="preserve">Report any actions to blind assessment of predictors for the outcome and other predictors. </w:t>
            </w:r>
          </w:p>
        </w:tc>
        <w:tc>
          <w:tcPr>
            <w:tcW w:w="314" w:type="pct"/>
            <w:shd w:val="clear" w:color="auto" w:fill="auto"/>
            <w:vAlign w:val="center"/>
          </w:tcPr>
          <w:p w14:paraId="571B20D2" w14:textId="77777777" w:rsidR="00024F56" w:rsidRDefault="0022519B">
            <w:pPr>
              <w:jc w:val="center"/>
              <w:rPr>
                <w:rFonts w:ascii="Times New Roman" w:eastAsia="宋体" w:hAnsi="Times New Roman" w:cs="Times New Roman"/>
                <w:sz w:val="20"/>
                <w:szCs w:val="20"/>
                <w:lang w:val="en-GB" w:eastAsia="en-GB"/>
              </w:rPr>
            </w:pPr>
            <w:r>
              <w:rPr>
                <w:rFonts w:ascii="Times New Roman" w:eastAsia="宋体" w:hAnsi="Times New Roman" w:cs="Times New Roman"/>
                <w:sz w:val="20"/>
                <w:szCs w:val="20"/>
                <w:lang w:val="en-GB" w:eastAsia="en-GB"/>
              </w:rPr>
              <w:t>Yes</w:t>
            </w:r>
          </w:p>
        </w:tc>
      </w:tr>
      <w:tr w:rsidR="00024F56" w14:paraId="655710EE" w14:textId="77777777">
        <w:trPr>
          <w:tblHeader/>
        </w:trPr>
        <w:tc>
          <w:tcPr>
            <w:tcW w:w="868" w:type="pct"/>
            <w:shd w:val="clear" w:color="auto" w:fill="auto"/>
            <w:vAlign w:val="center"/>
          </w:tcPr>
          <w:p w14:paraId="5AADDD5D" w14:textId="77777777" w:rsidR="00024F56" w:rsidRDefault="0022519B">
            <w:pPr>
              <w:rPr>
                <w:rFonts w:ascii="Times New Roman" w:eastAsia="Times New Roman" w:hAnsi="Times New Roman" w:cs="Times New Roman"/>
                <w:sz w:val="20"/>
                <w:szCs w:val="20"/>
                <w:lang w:val="en-GB" w:eastAsia="en-GB"/>
              </w:rPr>
            </w:pPr>
            <w:r>
              <w:rPr>
                <w:rFonts w:ascii="Times New Roman" w:eastAsia="Times New Roman" w:hAnsi="Times New Roman" w:cs="Times New Roman"/>
                <w:sz w:val="20"/>
                <w:szCs w:val="20"/>
                <w:lang w:val="en-GB" w:eastAsia="en-GB"/>
              </w:rPr>
              <w:t>Sample size</w:t>
            </w:r>
          </w:p>
        </w:tc>
        <w:tc>
          <w:tcPr>
            <w:tcW w:w="334" w:type="pct"/>
            <w:shd w:val="clear" w:color="auto" w:fill="auto"/>
            <w:vAlign w:val="center"/>
          </w:tcPr>
          <w:p w14:paraId="5B122402" w14:textId="77777777" w:rsidR="00024F56" w:rsidRDefault="0022519B">
            <w:pPr>
              <w:jc w:val="center"/>
              <w:rPr>
                <w:rFonts w:ascii="Times New Roman" w:eastAsia="Times New Roman" w:hAnsi="Times New Roman" w:cs="Times New Roman"/>
                <w:sz w:val="20"/>
                <w:szCs w:val="20"/>
                <w:lang w:val="en-GB" w:eastAsia="en-GB"/>
              </w:rPr>
            </w:pPr>
            <w:r>
              <w:rPr>
                <w:rFonts w:ascii="Times New Roman" w:eastAsia="Times New Roman" w:hAnsi="Times New Roman" w:cs="Times New Roman"/>
                <w:sz w:val="20"/>
                <w:szCs w:val="20"/>
                <w:lang w:val="en-GB" w:eastAsia="en-GB"/>
              </w:rPr>
              <w:t>8</w:t>
            </w:r>
          </w:p>
        </w:tc>
        <w:tc>
          <w:tcPr>
            <w:tcW w:w="393" w:type="pct"/>
            <w:shd w:val="clear" w:color="auto" w:fill="auto"/>
            <w:vAlign w:val="center"/>
          </w:tcPr>
          <w:p w14:paraId="61FC37CB" w14:textId="77777777" w:rsidR="00024F56" w:rsidRDefault="0022519B">
            <w:pPr>
              <w:jc w:val="center"/>
              <w:rPr>
                <w:rFonts w:ascii="Times New Roman" w:eastAsia="Times New Roman" w:hAnsi="Times New Roman" w:cs="Times New Roman"/>
                <w:sz w:val="20"/>
                <w:szCs w:val="20"/>
                <w:lang w:val="en-GB" w:eastAsia="en-GB"/>
              </w:rPr>
            </w:pPr>
            <w:r>
              <w:rPr>
                <w:rFonts w:ascii="Times New Roman" w:eastAsia="Times New Roman" w:hAnsi="Times New Roman" w:cs="Times New Roman"/>
                <w:sz w:val="20"/>
                <w:szCs w:val="20"/>
                <w:lang w:val="en-GB" w:eastAsia="en-GB"/>
              </w:rPr>
              <w:t>D; V</w:t>
            </w:r>
          </w:p>
        </w:tc>
        <w:tc>
          <w:tcPr>
            <w:tcW w:w="3088" w:type="pct"/>
            <w:shd w:val="clear" w:color="auto" w:fill="auto"/>
            <w:vAlign w:val="center"/>
          </w:tcPr>
          <w:p w14:paraId="23F54322" w14:textId="77777777" w:rsidR="00024F56" w:rsidRDefault="0022519B">
            <w:pPr>
              <w:contextualSpacing/>
              <w:jc w:val="left"/>
              <w:rPr>
                <w:rFonts w:ascii="Times New Roman" w:eastAsia="Cambria" w:hAnsi="Times New Roman" w:cs="Times New Roman"/>
                <w:sz w:val="20"/>
                <w:szCs w:val="20"/>
                <w:lang w:val="en-GB" w:eastAsia="en-GB"/>
              </w:rPr>
            </w:pPr>
            <w:r>
              <w:rPr>
                <w:rFonts w:ascii="Times New Roman" w:eastAsia="Cambria" w:hAnsi="Times New Roman" w:cs="Times New Roman"/>
                <w:sz w:val="20"/>
                <w:szCs w:val="20"/>
                <w:lang w:val="en-GB" w:eastAsia="en-GB"/>
              </w:rPr>
              <w:t>Explain how the study size was arrived at.</w:t>
            </w:r>
          </w:p>
        </w:tc>
        <w:tc>
          <w:tcPr>
            <w:tcW w:w="314" w:type="pct"/>
            <w:shd w:val="clear" w:color="auto" w:fill="auto"/>
            <w:vAlign w:val="center"/>
          </w:tcPr>
          <w:p w14:paraId="131D47C5" w14:textId="77777777" w:rsidR="00024F56" w:rsidRDefault="0022519B">
            <w:pPr>
              <w:jc w:val="center"/>
              <w:rPr>
                <w:rFonts w:ascii="Times New Roman" w:eastAsia="Times New Roman" w:hAnsi="Times New Roman" w:cs="Times New Roman"/>
                <w:sz w:val="20"/>
                <w:szCs w:val="20"/>
                <w:lang w:val="en-GB" w:eastAsia="en-GB"/>
              </w:rPr>
            </w:pPr>
            <w:r>
              <w:rPr>
                <w:rFonts w:ascii="Times New Roman" w:eastAsia="宋体" w:hAnsi="Times New Roman" w:cs="Times New Roman"/>
                <w:sz w:val="20"/>
                <w:szCs w:val="20"/>
                <w:lang w:val="en-GB" w:eastAsia="en-GB"/>
              </w:rPr>
              <w:t>Yes</w:t>
            </w:r>
          </w:p>
        </w:tc>
      </w:tr>
      <w:tr w:rsidR="00024F56" w14:paraId="544377E3" w14:textId="77777777">
        <w:trPr>
          <w:tblHeader/>
        </w:trPr>
        <w:tc>
          <w:tcPr>
            <w:tcW w:w="868" w:type="pct"/>
            <w:shd w:val="clear" w:color="auto" w:fill="auto"/>
            <w:vAlign w:val="center"/>
          </w:tcPr>
          <w:p w14:paraId="5831556C" w14:textId="77777777" w:rsidR="00024F56" w:rsidRDefault="0022519B">
            <w:pPr>
              <w:rPr>
                <w:rFonts w:ascii="Times New Roman" w:eastAsia="Times New Roman" w:hAnsi="Times New Roman" w:cs="Times New Roman"/>
                <w:b/>
                <w:sz w:val="20"/>
                <w:szCs w:val="20"/>
                <w:lang w:val="en-GB" w:eastAsia="en-GB"/>
              </w:rPr>
            </w:pPr>
            <w:r>
              <w:rPr>
                <w:rFonts w:ascii="Times New Roman" w:eastAsia="Times New Roman" w:hAnsi="Times New Roman" w:cs="Times New Roman"/>
                <w:sz w:val="20"/>
                <w:szCs w:val="20"/>
                <w:lang w:val="en-GB" w:eastAsia="en-GB"/>
              </w:rPr>
              <w:t>Missing data</w:t>
            </w:r>
          </w:p>
        </w:tc>
        <w:tc>
          <w:tcPr>
            <w:tcW w:w="334" w:type="pct"/>
            <w:shd w:val="clear" w:color="auto" w:fill="auto"/>
            <w:vAlign w:val="center"/>
          </w:tcPr>
          <w:p w14:paraId="77A6FDB4" w14:textId="77777777" w:rsidR="00024F56" w:rsidRDefault="0022519B">
            <w:pPr>
              <w:jc w:val="center"/>
              <w:rPr>
                <w:rFonts w:ascii="Times New Roman" w:eastAsia="Times New Roman" w:hAnsi="Times New Roman" w:cs="Times New Roman"/>
                <w:sz w:val="20"/>
                <w:szCs w:val="20"/>
                <w:lang w:val="en-GB" w:eastAsia="en-GB"/>
              </w:rPr>
            </w:pPr>
            <w:r>
              <w:rPr>
                <w:rFonts w:ascii="Times New Roman" w:eastAsia="Times New Roman" w:hAnsi="Times New Roman" w:cs="Times New Roman"/>
                <w:sz w:val="20"/>
                <w:szCs w:val="20"/>
                <w:lang w:val="en-GB" w:eastAsia="en-GB"/>
              </w:rPr>
              <w:t>9</w:t>
            </w:r>
          </w:p>
        </w:tc>
        <w:tc>
          <w:tcPr>
            <w:tcW w:w="393" w:type="pct"/>
            <w:shd w:val="clear" w:color="auto" w:fill="auto"/>
            <w:vAlign w:val="center"/>
          </w:tcPr>
          <w:p w14:paraId="5C5FCAB0" w14:textId="77777777" w:rsidR="00024F56" w:rsidRDefault="0022519B">
            <w:pPr>
              <w:jc w:val="center"/>
              <w:rPr>
                <w:rFonts w:ascii="Times New Roman" w:eastAsia="Times New Roman" w:hAnsi="Times New Roman" w:cs="Times New Roman"/>
                <w:sz w:val="20"/>
                <w:szCs w:val="20"/>
                <w:lang w:val="en-GB" w:eastAsia="en-GB"/>
              </w:rPr>
            </w:pPr>
            <w:r>
              <w:rPr>
                <w:rFonts w:ascii="Times New Roman" w:eastAsia="Times New Roman" w:hAnsi="Times New Roman" w:cs="Times New Roman"/>
                <w:sz w:val="20"/>
                <w:szCs w:val="20"/>
                <w:lang w:val="en-GB" w:eastAsia="en-GB"/>
              </w:rPr>
              <w:t>D; V</w:t>
            </w:r>
          </w:p>
        </w:tc>
        <w:tc>
          <w:tcPr>
            <w:tcW w:w="3088" w:type="pct"/>
            <w:shd w:val="clear" w:color="auto" w:fill="auto"/>
            <w:vAlign w:val="center"/>
          </w:tcPr>
          <w:p w14:paraId="61EFBC25" w14:textId="77777777" w:rsidR="00024F56" w:rsidRDefault="0022519B">
            <w:pPr>
              <w:contextualSpacing/>
              <w:jc w:val="left"/>
              <w:rPr>
                <w:rFonts w:ascii="Times New Roman" w:eastAsia="Cambria" w:hAnsi="Times New Roman" w:cs="Times New Roman"/>
                <w:sz w:val="20"/>
                <w:szCs w:val="20"/>
                <w:lang w:val="en-GB" w:eastAsia="en-GB"/>
              </w:rPr>
            </w:pPr>
            <w:r>
              <w:rPr>
                <w:rFonts w:ascii="Times New Roman" w:eastAsia="Cambria" w:hAnsi="Times New Roman" w:cs="Times New Roman"/>
                <w:sz w:val="20"/>
                <w:szCs w:val="20"/>
                <w:lang w:val="en-GB" w:eastAsia="en-GB"/>
              </w:rPr>
              <w:t xml:space="preserve">Describe how missing data were handled (e.g., complete-case analysis, single imputation, multiple imputation) with details of any imputation method. </w:t>
            </w:r>
          </w:p>
        </w:tc>
        <w:tc>
          <w:tcPr>
            <w:tcW w:w="314" w:type="pct"/>
            <w:shd w:val="clear" w:color="auto" w:fill="auto"/>
            <w:vAlign w:val="center"/>
          </w:tcPr>
          <w:p w14:paraId="4511BB19" w14:textId="77777777" w:rsidR="00024F56" w:rsidRDefault="0022519B">
            <w:pPr>
              <w:jc w:val="center"/>
              <w:rPr>
                <w:rFonts w:ascii="Times New Roman" w:eastAsia="宋体" w:hAnsi="Times New Roman" w:cs="Times New Roman"/>
                <w:sz w:val="20"/>
                <w:szCs w:val="20"/>
                <w:lang w:val="en-GB" w:eastAsia="en-GB"/>
              </w:rPr>
            </w:pPr>
            <w:r>
              <w:rPr>
                <w:rFonts w:ascii="Times New Roman" w:eastAsia="宋体" w:hAnsi="Times New Roman" w:cs="Times New Roman"/>
                <w:sz w:val="20"/>
                <w:szCs w:val="20"/>
                <w:lang w:val="en-GB" w:eastAsia="en-GB"/>
              </w:rPr>
              <w:t>Yes</w:t>
            </w:r>
          </w:p>
        </w:tc>
      </w:tr>
      <w:tr w:rsidR="00024F56" w14:paraId="0F1E6D3E" w14:textId="77777777">
        <w:trPr>
          <w:tblHeader/>
        </w:trPr>
        <w:tc>
          <w:tcPr>
            <w:tcW w:w="868" w:type="pct"/>
            <w:vMerge w:val="restart"/>
            <w:shd w:val="clear" w:color="auto" w:fill="auto"/>
            <w:vAlign w:val="center"/>
          </w:tcPr>
          <w:p w14:paraId="3B5B1615" w14:textId="77777777" w:rsidR="00024F56" w:rsidRDefault="0022519B">
            <w:pPr>
              <w:rPr>
                <w:rFonts w:ascii="Times New Roman" w:eastAsia="Times New Roman" w:hAnsi="Times New Roman" w:cs="Times New Roman"/>
                <w:bCs/>
                <w:sz w:val="20"/>
                <w:szCs w:val="20"/>
                <w:lang w:val="en-GB" w:eastAsia="en-GB"/>
              </w:rPr>
            </w:pPr>
            <w:r>
              <w:rPr>
                <w:rFonts w:ascii="Times New Roman" w:eastAsia="Times New Roman" w:hAnsi="Times New Roman" w:cs="Times New Roman"/>
                <w:sz w:val="20"/>
                <w:szCs w:val="20"/>
                <w:lang w:val="en-GB" w:eastAsia="en-GB"/>
              </w:rPr>
              <w:t>Statistical analysis methods</w:t>
            </w:r>
          </w:p>
        </w:tc>
        <w:tc>
          <w:tcPr>
            <w:tcW w:w="334" w:type="pct"/>
            <w:shd w:val="clear" w:color="auto" w:fill="auto"/>
            <w:vAlign w:val="center"/>
          </w:tcPr>
          <w:p w14:paraId="306AFC92" w14:textId="77777777" w:rsidR="00024F56" w:rsidRDefault="0022519B">
            <w:pPr>
              <w:jc w:val="center"/>
              <w:rPr>
                <w:rFonts w:ascii="Times New Roman" w:eastAsia="Times New Roman" w:hAnsi="Times New Roman" w:cs="Times New Roman"/>
                <w:sz w:val="20"/>
                <w:szCs w:val="20"/>
                <w:lang w:val="en-GB" w:eastAsia="en-GB"/>
              </w:rPr>
            </w:pPr>
            <w:r>
              <w:rPr>
                <w:rFonts w:ascii="Times New Roman" w:eastAsia="Times New Roman" w:hAnsi="Times New Roman" w:cs="Times New Roman"/>
                <w:sz w:val="20"/>
                <w:szCs w:val="20"/>
                <w:lang w:val="en-GB" w:eastAsia="en-GB"/>
              </w:rPr>
              <w:t>10a</w:t>
            </w:r>
          </w:p>
        </w:tc>
        <w:tc>
          <w:tcPr>
            <w:tcW w:w="393" w:type="pct"/>
            <w:shd w:val="clear" w:color="auto" w:fill="auto"/>
            <w:vAlign w:val="center"/>
          </w:tcPr>
          <w:p w14:paraId="136837D2" w14:textId="77777777" w:rsidR="00024F56" w:rsidRDefault="0022519B">
            <w:pPr>
              <w:jc w:val="center"/>
              <w:rPr>
                <w:rFonts w:ascii="Times New Roman" w:eastAsia="Times New Roman" w:hAnsi="Times New Roman" w:cs="Times New Roman"/>
                <w:sz w:val="20"/>
                <w:szCs w:val="20"/>
                <w:lang w:val="en-GB" w:eastAsia="en-GB"/>
              </w:rPr>
            </w:pPr>
            <w:r>
              <w:rPr>
                <w:rFonts w:ascii="Times New Roman" w:eastAsia="Times New Roman" w:hAnsi="Times New Roman" w:cs="Times New Roman"/>
                <w:sz w:val="20"/>
                <w:szCs w:val="20"/>
                <w:lang w:val="en-GB" w:eastAsia="en-GB"/>
              </w:rPr>
              <w:t>D</w:t>
            </w:r>
          </w:p>
        </w:tc>
        <w:tc>
          <w:tcPr>
            <w:tcW w:w="3088" w:type="pct"/>
            <w:shd w:val="clear" w:color="auto" w:fill="auto"/>
            <w:vAlign w:val="center"/>
          </w:tcPr>
          <w:p w14:paraId="20323168" w14:textId="77777777" w:rsidR="00024F56" w:rsidRDefault="0022519B">
            <w:pPr>
              <w:tabs>
                <w:tab w:val="left" w:pos="459"/>
              </w:tabs>
              <w:contextualSpacing/>
              <w:jc w:val="left"/>
              <w:rPr>
                <w:rFonts w:ascii="Times New Roman" w:eastAsia="Cambria" w:hAnsi="Times New Roman" w:cs="Times New Roman"/>
                <w:sz w:val="20"/>
                <w:szCs w:val="20"/>
                <w:lang w:val="en-GB" w:eastAsia="en-GB"/>
              </w:rPr>
            </w:pPr>
            <w:r>
              <w:rPr>
                <w:rFonts w:ascii="Times New Roman" w:eastAsia="Cambria" w:hAnsi="Times New Roman" w:cs="Times New Roman"/>
                <w:sz w:val="20"/>
                <w:szCs w:val="20"/>
                <w:lang w:val="en-GB" w:eastAsia="en-GB"/>
              </w:rPr>
              <w:t xml:space="preserve">Describe how predictors were handled in the analyses. </w:t>
            </w:r>
          </w:p>
        </w:tc>
        <w:tc>
          <w:tcPr>
            <w:tcW w:w="314" w:type="pct"/>
            <w:shd w:val="clear" w:color="auto" w:fill="auto"/>
            <w:vAlign w:val="center"/>
          </w:tcPr>
          <w:p w14:paraId="409E2C83" w14:textId="77777777" w:rsidR="00024F56" w:rsidRDefault="0022519B">
            <w:pPr>
              <w:jc w:val="center"/>
              <w:rPr>
                <w:rFonts w:ascii="Times New Roman" w:eastAsia="宋体" w:hAnsi="Times New Roman" w:cs="Times New Roman"/>
                <w:sz w:val="20"/>
                <w:szCs w:val="20"/>
                <w:lang w:val="en-GB" w:eastAsia="en-GB"/>
              </w:rPr>
            </w:pPr>
            <w:r>
              <w:rPr>
                <w:rFonts w:ascii="Times New Roman" w:eastAsia="宋体" w:hAnsi="Times New Roman" w:cs="Times New Roman"/>
                <w:sz w:val="20"/>
                <w:szCs w:val="20"/>
                <w:lang w:val="en-GB" w:eastAsia="en-GB"/>
              </w:rPr>
              <w:t>Yes</w:t>
            </w:r>
          </w:p>
        </w:tc>
      </w:tr>
      <w:tr w:rsidR="00024F56" w14:paraId="37F5FCFB" w14:textId="77777777">
        <w:trPr>
          <w:tblHeader/>
        </w:trPr>
        <w:tc>
          <w:tcPr>
            <w:tcW w:w="868" w:type="pct"/>
            <w:vMerge/>
            <w:shd w:val="clear" w:color="auto" w:fill="auto"/>
            <w:vAlign w:val="center"/>
          </w:tcPr>
          <w:p w14:paraId="1D519A39" w14:textId="77777777" w:rsidR="00024F56" w:rsidRDefault="00024F56">
            <w:pPr>
              <w:rPr>
                <w:rFonts w:ascii="Times New Roman" w:eastAsia="Times New Roman" w:hAnsi="Times New Roman" w:cs="Times New Roman"/>
                <w:b/>
                <w:sz w:val="20"/>
                <w:szCs w:val="20"/>
                <w:lang w:val="en-GB" w:eastAsia="en-GB"/>
              </w:rPr>
            </w:pPr>
          </w:p>
        </w:tc>
        <w:tc>
          <w:tcPr>
            <w:tcW w:w="334" w:type="pct"/>
            <w:shd w:val="clear" w:color="auto" w:fill="auto"/>
            <w:vAlign w:val="center"/>
          </w:tcPr>
          <w:p w14:paraId="5E96471C" w14:textId="77777777" w:rsidR="00024F56" w:rsidRDefault="0022519B">
            <w:pPr>
              <w:jc w:val="center"/>
              <w:rPr>
                <w:rFonts w:ascii="Times New Roman" w:eastAsia="Times New Roman" w:hAnsi="Times New Roman" w:cs="Times New Roman"/>
                <w:sz w:val="20"/>
                <w:szCs w:val="20"/>
                <w:lang w:val="en-GB" w:eastAsia="en-GB"/>
              </w:rPr>
            </w:pPr>
            <w:r>
              <w:rPr>
                <w:rFonts w:ascii="Times New Roman" w:eastAsia="Times New Roman" w:hAnsi="Times New Roman" w:cs="Times New Roman"/>
                <w:sz w:val="20"/>
                <w:szCs w:val="20"/>
                <w:lang w:val="en-GB" w:eastAsia="en-GB"/>
              </w:rPr>
              <w:t>10b</w:t>
            </w:r>
          </w:p>
        </w:tc>
        <w:tc>
          <w:tcPr>
            <w:tcW w:w="393" w:type="pct"/>
            <w:shd w:val="clear" w:color="auto" w:fill="auto"/>
            <w:vAlign w:val="center"/>
          </w:tcPr>
          <w:p w14:paraId="4632E52C" w14:textId="77777777" w:rsidR="00024F56" w:rsidRDefault="0022519B">
            <w:pPr>
              <w:jc w:val="center"/>
              <w:rPr>
                <w:rFonts w:ascii="Times New Roman" w:eastAsia="Times New Roman" w:hAnsi="Times New Roman" w:cs="Times New Roman"/>
                <w:sz w:val="20"/>
                <w:szCs w:val="20"/>
                <w:lang w:val="en-GB" w:eastAsia="en-GB"/>
              </w:rPr>
            </w:pPr>
            <w:r>
              <w:rPr>
                <w:rFonts w:ascii="Times New Roman" w:eastAsia="Times New Roman" w:hAnsi="Times New Roman" w:cs="Times New Roman"/>
                <w:sz w:val="20"/>
                <w:szCs w:val="20"/>
                <w:lang w:val="en-GB" w:eastAsia="en-GB"/>
              </w:rPr>
              <w:t>D</w:t>
            </w:r>
          </w:p>
        </w:tc>
        <w:tc>
          <w:tcPr>
            <w:tcW w:w="3088" w:type="pct"/>
            <w:shd w:val="clear" w:color="auto" w:fill="auto"/>
            <w:vAlign w:val="center"/>
          </w:tcPr>
          <w:p w14:paraId="298EA752" w14:textId="77777777" w:rsidR="00024F56" w:rsidRDefault="0022519B">
            <w:pPr>
              <w:tabs>
                <w:tab w:val="left" w:pos="459"/>
              </w:tabs>
              <w:contextualSpacing/>
              <w:jc w:val="left"/>
              <w:rPr>
                <w:rFonts w:ascii="Times New Roman" w:eastAsia="Cambria" w:hAnsi="Times New Roman" w:cs="Times New Roman"/>
                <w:sz w:val="20"/>
                <w:szCs w:val="20"/>
                <w:lang w:val="en-GB" w:eastAsia="en-GB"/>
              </w:rPr>
            </w:pPr>
            <w:r>
              <w:rPr>
                <w:rFonts w:ascii="Times New Roman" w:eastAsia="Cambria" w:hAnsi="Times New Roman" w:cs="Times New Roman"/>
                <w:sz w:val="20"/>
                <w:szCs w:val="20"/>
                <w:lang w:val="en-GB" w:eastAsia="en-GB"/>
              </w:rPr>
              <w:t>Specify type of model, all model-building procedures (including any predictor selection), and method for internal validation.</w:t>
            </w:r>
          </w:p>
        </w:tc>
        <w:tc>
          <w:tcPr>
            <w:tcW w:w="314" w:type="pct"/>
            <w:shd w:val="clear" w:color="auto" w:fill="auto"/>
            <w:vAlign w:val="center"/>
          </w:tcPr>
          <w:p w14:paraId="60B5C290" w14:textId="77777777" w:rsidR="00024F56" w:rsidRDefault="0022519B">
            <w:pPr>
              <w:contextualSpacing/>
              <w:jc w:val="center"/>
              <w:rPr>
                <w:rFonts w:ascii="Times New Roman" w:eastAsia="宋体" w:hAnsi="Times New Roman" w:cs="Times New Roman"/>
                <w:sz w:val="20"/>
                <w:szCs w:val="20"/>
                <w:lang w:val="en-GB" w:eastAsia="en-GB"/>
              </w:rPr>
            </w:pPr>
            <w:r>
              <w:rPr>
                <w:rFonts w:ascii="Times New Roman" w:eastAsia="宋体" w:hAnsi="Times New Roman" w:cs="Times New Roman"/>
                <w:sz w:val="20"/>
                <w:szCs w:val="20"/>
                <w:lang w:val="en-GB" w:eastAsia="en-GB"/>
              </w:rPr>
              <w:t>Yes</w:t>
            </w:r>
          </w:p>
        </w:tc>
      </w:tr>
      <w:tr w:rsidR="00024F56" w14:paraId="4B8E5F32" w14:textId="77777777">
        <w:trPr>
          <w:tblHeader/>
        </w:trPr>
        <w:tc>
          <w:tcPr>
            <w:tcW w:w="868" w:type="pct"/>
            <w:vMerge/>
            <w:shd w:val="clear" w:color="auto" w:fill="auto"/>
            <w:vAlign w:val="center"/>
          </w:tcPr>
          <w:p w14:paraId="72F70DE2" w14:textId="77777777" w:rsidR="00024F56" w:rsidRDefault="00024F56">
            <w:pPr>
              <w:rPr>
                <w:rFonts w:ascii="Times New Roman" w:eastAsia="Times New Roman" w:hAnsi="Times New Roman" w:cs="Times New Roman"/>
                <w:sz w:val="20"/>
                <w:szCs w:val="20"/>
                <w:lang w:val="en-GB" w:eastAsia="en-GB"/>
              </w:rPr>
            </w:pPr>
          </w:p>
        </w:tc>
        <w:tc>
          <w:tcPr>
            <w:tcW w:w="334" w:type="pct"/>
            <w:shd w:val="clear" w:color="auto" w:fill="auto"/>
            <w:vAlign w:val="center"/>
          </w:tcPr>
          <w:p w14:paraId="0ADC9C1A" w14:textId="77777777" w:rsidR="00024F56" w:rsidRDefault="0022519B">
            <w:pPr>
              <w:jc w:val="center"/>
              <w:rPr>
                <w:rFonts w:ascii="Times New Roman" w:eastAsia="Times New Roman" w:hAnsi="Times New Roman" w:cs="Times New Roman"/>
                <w:sz w:val="20"/>
                <w:szCs w:val="20"/>
                <w:lang w:val="en-GB" w:eastAsia="en-GB"/>
              </w:rPr>
            </w:pPr>
            <w:r>
              <w:rPr>
                <w:rFonts w:ascii="Times New Roman" w:eastAsia="Times New Roman" w:hAnsi="Times New Roman" w:cs="Times New Roman"/>
                <w:sz w:val="20"/>
                <w:szCs w:val="20"/>
                <w:lang w:val="en-GB" w:eastAsia="en-GB"/>
              </w:rPr>
              <w:t>10c</w:t>
            </w:r>
          </w:p>
        </w:tc>
        <w:tc>
          <w:tcPr>
            <w:tcW w:w="393" w:type="pct"/>
            <w:shd w:val="clear" w:color="auto" w:fill="auto"/>
            <w:vAlign w:val="center"/>
          </w:tcPr>
          <w:p w14:paraId="4C5D54CE" w14:textId="77777777" w:rsidR="00024F56" w:rsidRDefault="0022519B">
            <w:pPr>
              <w:jc w:val="center"/>
              <w:rPr>
                <w:rFonts w:ascii="Times New Roman" w:eastAsia="Times New Roman" w:hAnsi="Times New Roman" w:cs="Times New Roman"/>
                <w:sz w:val="20"/>
                <w:szCs w:val="20"/>
                <w:lang w:val="en-GB" w:eastAsia="en-GB"/>
              </w:rPr>
            </w:pPr>
            <w:r>
              <w:rPr>
                <w:rFonts w:ascii="Times New Roman" w:eastAsia="Times New Roman" w:hAnsi="Times New Roman" w:cs="Times New Roman"/>
                <w:sz w:val="20"/>
                <w:szCs w:val="20"/>
                <w:lang w:val="en-GB" w:eastAsia="en-GB"/>
              </w:rPr>
              <w:t>V</w:t>
            </w:r>
          </w:p>
        </w:tc>
        <w:tc>
          <w:tcPr>
            <w:tcW w:w="3088" w:type="pct"/>
            <w:shd w:val="clear" w:color="auto" w:fill="auto"/>
            <w:vAlign w:val="center"/>
          </w:tcPr>
          <w:p w14:paraId="338B47FD" w14:textId="77777777" w:rsidR="00024F56" w:rsidRDefault="0022519B">
            <w:pPr>
              <w:tabs>
                <w:tab w:val="left" w:pos="459"/>
              </w:tabs>
              <w:contextualSpacing/>
              <w:jc w:val="left"/>
              <w:rPr>
                <w:rFonts w:ascii="Times New Roman" w:eastAsia="Cambria" w:hAnsi="Times New Roman" w:cs="Times New Roman"/>
                <w:sz w:val="20"/>
                <w:szCs w:val="20"/>
                <w:lang w:val="en-GB" w:eastAsia="en-GB"/>
              </w:rPr>
            </w:pPr>
            <w:r>
              <w:rPr>
                <w:rFonts w:ascii="Times New Roman" w:eastAsia="Cambria" w:hAnsi="Times New Roman" w:cs="Times New Roman"/>
                <w:sz w:val="20"/>
                <w:szCs w:val="20"/>
                <w:lang w:val="en-GB" w:eastAsia="en-GB"/>
              </w:rPr>
              <w:t xml:space="preserve">For validation, describe how the predictions were calculated. </w:t>
            </w:r>
          </w:p>
        </w:tc>
        <w:tc>
          <w:tcPr>
            <w:tcW w:w="314" w:type="pct"/>
            <w:shd w:val="clear" w:color="auto" w:fill="auto"/>
            <w:vAlign w:val="center"/>
          </w:tcPr>
          <w:p w14:paraId="015596FF" w14:textId="77777777" w:rsidR="00024F56" w:rsidRDefault="0022519B">
            <w:pPr>
              <w:contextualSpacing/>
              <w:jc w:val="center"/>
              <w:rPr>
                <w:rFonts w:ascii="Times New Roman" w:eastAsia="宋体" w:hAnsi="Times New Roman" w:cs="Times New Roman"/>
                <w:sz w:val="20"/>
                <w:szCs w:val="20"/>
                <w:lang w:val="en-GB" w:eastAsia="en-GB"/>
              </w:rPr>
            </w:pPr>
            <w:r>
              <w:rPr>
                <w:rFonts w:ascii="Times New Roman" w:eastAsia="宋体" w:hAnsi="Times New Roman" w:cs="Times New Roman"/>
                <w:sz w:val="20"/>
                <w:szCs w:val="20"/>
                <w:lang w:val="en-GB" w:eastAsia="en-GB"/>
              </w:rPr>
              <w:t>Yes</w:t>
            </w:r>
          </w:p>
        </w:tc>
      </w:tr>
      <w:tr w:rsidR="00024F56" w14:paraId="33DF2828" w14:textId="77777777">
        <w:trPr>
          <w:tblHeader/>
        </w:trPr>
        <w:tc>
          <w:tcPr>
            <w:tcW w:w="868" w:type="pct"/>
            <w:vMerge/>
            <w:shd w:val="clear" w:color="auto" w:fill="auto"/>
            <w:vAlign w:val="center"/>
          </w:tcPr>
          <w:p w14:paraId="2FE6E199" w14:textId="77777777" w:rsidR="00024F56" w:rsidRDefault="00024F56">
            <w:pPr>
              <w:rPr>
                <w:rFonts w:ascii="Times New Roman" w:eastAsia="Times New Roman" w:hAnsi="Times New Roman" w:cs="Times New Roman"/>
                <w:sz w:val="20"/>
                <w:szCs w:val="20"/>
                <w:lang w:val="en-GB" w:eastAsia="en-GB"/>
              </w:rPr>
            </w:pPr>
          </w:p>
        </w:tc>
        <w:tc>
          <w:tcPr>
            <w:tcW w:w="334" w:type="pct"/>
            <w:shd w:val="clear" w:color="auto" w:fill="auto"/>
            <w:vAlign w:val="center"/>
          </w:tcPr>
          <w:p w14:paraId="4769871E" w14:textId="77777777" w:rsidR="00024F56" w:rsidRDefault="0022519B">
            <w:pPr>
              <w:jc w:val="center"/>
              <w:rPr>
                <w:rFonts w:ascii="Times New Roman" w:eastAsia="Times New Roman" w:hAnsi="Times New Roman" w:cs="Times New Roman"/>
                <w:sz w:val="20"/>
                <w:szCs w:val="20"/>
                <w:lang w:val="en-GB" w:eastAsia="en-GB"/>
              </w:rPr>
            </w:pPr>
            <w:r>
              <w:rPr>
                <w:rFonts w:ascii="Times New Roman" w:eastAsia="Times New Roman" w:hAnsi="Times New Roman" w:cs="Times New Roman"/>
                <w:sz w:val="20"/>
                <w:szCs w:val="20"/>
                <w:lang w:val="en-GB" w:eastAsia="en-GB"/>
              </w:rPr>
              <w:t>10d</w:t>
            </w:r>
          </w:p>
        </w:tc>
        <w:tc>
          <w:tcPr>
            <w:tcW w:w="393" w:type="pct"/>
            <w:shd w:val="clear" w:color="auto" w:fill="auto"/>
            <w:vAlign w:val="center"/>
          </w:tcPr>
          <w:p w14:paraId="36717040" w14:textId="77777777" w:rsidR="00024F56" w:rsidRDefault="0022519B">
            <w:pPr>
              <w:jc w:val="center"/>
              <w:rPr>
                <w:rFonts w:ascii="Times New Roman" w:eastAsia="Times New Roman" w:hAnsi="Times New Roman" w:cs="Times New Roman"/>
                <w:sz w:val="20"/>
                <w:szCs w:val="20"/>
                <w:lang w:val="en-GB" w:eastAsia="en-GB"/>
              </w:rPr>
            </w:pPr>
            <w:r>
              <w:rPr>
                <w:rFonts w:ascii="Times New Roman" w:eastAsia="Times New Roman" w:hAnsi="Times New Roman" w:cs="Times New Roman"/>
                <w:sz w:val="20"/>
                <w:szCs w:val="20"/>
                <w:lang w:val="en-GB" w:eastAsia="en-GB"/>
              </w:rPr>
              <w:t>D; V</w:t>
            </w:r>
          </w:p>
        </w:tc>
        <w:tc>
          <w:tcPr>
            <w:tcW w:w="3088" w:type="pct"/>
            <w:shd w:val="clear" w:color="auto" w:fill="auto"/>
            <w:vAlign w:val="center"/>
          </w:tcPr>
          <w:p w14:paraId="38EC25BC" w14:textId="77777777" w:rsidR="00024F56" w:rsidRDefault="0022519B">
            <w:pPr>
              <w:tabs>
                <w:tab w:val="left" w:pos="459"/>
              </w:tabs>
              <w:contextualSpacing/>
              <w:jc w:val="left"/>
              <w:rPr>
                <w:rFonts w:ascii="Times New Roman" w:eastAsia="Cambria" w:hAnsi="Times New Roman" w:cs="Times New Roman"/>
                <w:sz w:val="20"/>
                <w:szCs w:val="20"/>
                <w:lang w:val="en-GB" w:eastAsia="en-GB"/>
              </w:rPr>
            </w:pPr>
            <w:r>
              <w:rPr>
                <w:rFonts w:ascii="Times New Roman" w:eastAsia="Cambria" w:hAnsi="Times New Roman" w:cs="Times New Roman"/>
                <w:sz w:val="20"/>
                <w:szCs w:val="20"/>
                <w:lang w:val="en-GB" w:eastAsia="en-GB"/>
              </w:rPr>
              <w:t xml:space="preserve">Specify all measures used to assess model performance and, if relevant, to compare multiple models. </w:t>
            </w:r>
          </w:p>
        </w:tc>
        <w:tc>
          <w:tcPr>
            <w:tcW w:w="314" w:type="pct"/>
            <w:shd w:val="clear" w:color="auto" w:fill="auto"/>
            <w:vAlign w:val="center"/>
          </w:tcPr>
          <w:p w14:paraId="56707902" w14:textId="77777777" w:rsidR="00024F56" w:rsidRDefault="0022519B">
            <w:pPr>
              <w:jc w:val="center"/>
              <w:rPr>
                <w:rFonts w:ascii="Times New Roman" w:eastAsia="宋体" w:hAnsi="Times New Roman" w:cs="Times New Roman"/>
                <w:sz w:val="20"/>
                <w:szCs w:val="20"/>
                <w:lang w:val="en-GB" w:eastAsia="en-GB"/>
              </w:rPr>
            </w:pPr>
            <w:r>
              <w:rPr>
                <w:rFonts w:ascii="Times New Roman" w:eastAsia="宋体" w:hAnsi="Times New Roman" w:cs="Times New Roman"/>
                <w:sz w:val="20"/>
                <w:szCs w:val="20"/>
                <w:lang w:val="en-GB" w:eastAsia="en-GB"/>
              </w:rPr>
              <w:t>Yes</w:t>
            </w:r>
          </w:p>
        </w:tc>
      </w:tr>
      <w:tr w:rsidR="00024F56" w14:paraId="26F5A35B" w14:textId="77777777">
        <w:trPr>
          <w:tblHeader/>
        </w:trPr>
        <w:tc>
          <w:tcPr>
            <w:tcW w:w="868" w:type="pct"/>
            <w:vMerge/>
            <w:shd w:val="clear" w:color="auto" w:fill="auto"/>
            <w:vAlign w:val="center"/>
          </w:tcPr>
          <w:p w14:paraId="131445A0" w14:textId="77777777" w:rsidR="00024F56" w:rsidRDefault="00024F56">
            <w:pPr>
              <w:rPr>
                <w:rFonts w:ascii="Times New Roman" w:eastAsia="Times New Roman" w:hAnsi="Times New Roman" w:cs="Times New Roman"/>
                <w:sz w:val="20"/>
                <w:szCs w:val="20"/>
                <w:lang w:val="en-GB" w:eastAsia="en-GB"/>
              </w:rPr>
            </w:pPr>
          </w:p>
        </w:tc>
        <w:tc>
          <w:tcPr>
            <w:tcW w:w="334" w:type="pct"/>
            <w:shd w:val="clear" w:color="auto" w:fill="auto"/>
            <w:vAlign w:val="center"/>
          </w:tcPr>
          <w:p w14:paraId="0BBFBC5B" w14:textId="77777777" w:rsidR="00024F56" w:rsidRDefault="0022519B">
            <w:pPr>
              <w:jc w:val="center"/>
              <w:rPr>
                <w:rFonts w:ascii="Times New Roman" w:eastAsia="Times New Roman" w:hAnsi="Times New Roman" w:cs="Times New Roman"/>
                <w:sz w:val="20"/>
                <w:szCs w:val="20"/>
                <w:lang w:val="en-GB" w:eastAsia="en-GB"/>
              </w:rPr>
            </w:pPr>
            <w:r>
              <w:rPr>
                <w:rFonts w:ascii="Times New Roman" w:eastAsia="Times New Roman" w:hAnsi="Times New Roman" w:cs="Times New Roman"/>
                <w:sz w:val="20"/>
                <w:szCs w:val="20"/>
                <w:lang w:val="en-GB" w:eastAsia="en-GB"/>
              </w:rPr>
              <w:t>10e</w:t>
            </w:r>
          </w:p>
        </w:tc>
        <w:tc>
          <w:tcPr>
            <w:tcW w:w="393" w:type="pct"/>
            <w:shd w:val="clear" w:color="auto" w:fill="auto"/>
            <w:vAlign w:val="center"/>
          </w:tcPr>
          <w:p w14:paraId="55A9AF7F" w14:textId="77777777" w:rsidR="00024F56" w:rsidRDefault="0022519B">
            <w:pPr>
              <w:jc w:val="center"/>
              <w:rPr>
                <w:rFonts w:ascii="Times New Roman" w:eastAsia="Times New Roman" w:hAnsi="Times New Roman" w:cs="Times New Roman"/>
                <w:sz w:val="20"/>
                <w:szCs w:val="20"/>
                <w:lang w:val="en-GB" w:eastAsia="en-GB"/>
              </w:rPr>
            </w:pPr>
            <w:r>
              <w:rPr>
                <w:rFonts w:ascii="Times New Roman" w:eastAsia="Times New Roman" w:hAnsi="Times New Roman" w:cs="Times New Roman"/>
                <w:sz w:val="20"/>
                <w:szCs w:val="20"/>
                <w:lang w:val="en-GB" w:eastAsia="en-GB"/>
              </w:rPr>
              <w:t>V</w:t>
            </w:r>
          </w:p>
        </w:tc>
        <w:tc>
          <w:tcPr>
            <w:tcW w:w="3088" w:type="pct"/>
            <w:shd w:val="clear" w:color="auto" w:fill="auto"/>
            <w:vAlign w:val="center"/>
          </w:tcPr>
          <w:p w14:paraId="69BE7D11" w14:textId="77777777" w:rsidR="00024F56" w:rsidRDefault="0022519B">
            <w:pPr>
              <w:tabs>
                <w:tab w:val="left" w:pos="459"/>
              </w:tabs>
              <w:contextualSpacing/>
              <w:jc w:val="left"/>
              <w:rPr>
                <w:rFonts w:ascii="Times New Roman" w:eastAsia="Cambria" w:hAnsi="Times New Roman" w:cs="Times New Roman"/>
                <w:sz w:val="20"/>
                <w:szCs w:val="20"/>
                <w:lang w:val="en-GB" w:eastAsia="en-GB"/>
              </w:rPr>
            </w:pPr>
            <w:r>
              <w:rPr>
                <w:rFonts w:ascii="Times New Roman" w:eastAsia="Cambria" w:hAnsi="Times New Roman" w:cs="Times New Roman"/>
                <w:sz w:val="20"/>
                <w:szCs w:val="20"/>
                <w:lang w:val="en-GB" w:eastAsia="en-GB"/>
              </w:rPr>
              <w:t xml:space="preserve">Describe any model updating (e.g., recalibration) arising </w:t>
            </w:r>
            <w:r>
              <w:rPr>
                <w:rFonts w:ascii="Times New Roman" w:eastAsia="Cambria" w:hAnsi="Times New Roman" w:cs="Times New Roman"/>
                <w:sz w:val="20"/>
                <w:szCs w:val="20"/>
                <w:lang w:val="en-GB" w:eastAsia="en-GB"/>
              </w:rPr>
              <w:t>from the validation, if done.</w:t>
            </w:r>
          </w:p>
        </w:tc>
        <w:tc>
          <w:tcPr>
            <w:tcW w:w="314" w:type="pct"/>
            <w:shd w:val="clear" w:color="auto" w:fill="auto"/>
            <w:vAlign w:val="center"/>
          </w:tcPr>
          <w:p w14:paraId="4BD0DE86" w14:textId="77777777" w:rsidR="00024F56" w:rsidRDefault="0022519B">
            <w:pPr>
              <w:jc w:val="center"/>
              <w:rPr>
                <w:rFonts w:ascii="Times New Roman" w:eastAsia="Times New Roman" w:hAnsi="Times New Roman" w:cs="Times New Roman"/>
                <w:sz w:val="20"/>
                <w:szCs w:val="20"/>
                <w:lang w:val="en-GB" w:eastAsia="en-GB"/>
              </w:rPr>
            </w:pPr>
            <w:r>
              <w:rPr>
                <w:rFonts w:ascii="Times New Roman" w:eastAsia="Times New Roman" w:hAnsi="Times New Roman" w:cs="Times New Roman"/>
                <w:sz w:val="20"/>
                <w:szCs w:val="20"/>
                <w:lang w:val="en-GB" w:eastAsia="en-GB"/>
              </w:rPr>
              <w:t>NaN</w:t>
            </w:r>
          </w:p>
        </w:tc>
      </w:tr>
      <w:tr w:rsidR="00024F56" w14:paraId="362D0B99" w14:textId="77777777">
        <w:trPr>
          <w:tblHeader/>
        </w:trPr>
        <w:tc>
          <w:tcPr>
            <w:tcW w:w="868" w:type="pct"/>
            <w:shd w:val="clear" w:color="auto" w:fill="auto"/>
            <w:vAlign w:val="center"/>
          </w:tcPr>
          <w:p w14:paraId="3888AA62" w14:textId="77777777" w:rsidR="00024F56" w:rsidRDefault="0022519B">
            <w:pPr>
              <w:rPr>
                <w:rFonts w:ascii="Times New Roman" w:eastAsia="Times New Roman" w:hAnsi="Times New Roman" w:cs="Times New Roman"/>
                <w:sz w:val="20"/>
                <w:szCs w:val="20"/>
                <w:lang w:val="en-GB" w:eastAsia="en-GB"/>
              </w:rPr>
            </w:pPr>
            <w:r>
              <w:rPr>
                <w:rFonts w:ascii="Times New Roman" w:eastAsia="Times New Roman" w:hAnsi="Times New Roman" w:cs="Times New Roman"/>
                <w:sz w:val="20"/>
                <w:szCs w:val="20"/>
                <w:lang w:val="en-GB" w:eastAsia="en-GB"/>
              </w:rPr>
              <w:t>Risk groups</w:t>
            </w:r>
          </w:p>
        </w:tc>
        <w:tc>
          <w:tcPr>
            <w:tcW w:w="334" w:type="pct"/>
            <w:shd w:val="clear" w:color="auto" w:fill="auto"/>
            <w:vAlign w:val="center"/>
          </w:tcPr>
          <w:p w14:paraId="6DFD40A6" w14:textId="77777777" w:rsidR="00024F56" w:rsidRDefault="0022519B">
            <w:pPr>
              <w:jc w:val="center"/>
              <w:rPr>
                <w:rFonts w:ascii="Times New Roman" w:eastAsia="Times New Roman" w:hAnsi="Times New Roman" w:cs="Times New Roman"/>
                <w:sz w:val="20"/>
                <w:szCs w:val="20"/>
                <w:lang w:val="en-GB" w:eastAsia="en-GB"/>
              </w:rPr>
            </w:pPr>
            <w:r>
              <w:rPr>
                <w:rFonts w:ascii="Times New Roman" w:eastAsia="Times New Roman" w:hAnsi="Times New Roman" w:cs="Times New Roman"/>
                <w:sz w:val="20"/>
                <w:szCs w:val="20"/>
                <w:lang w:val="en-GB" w:eastAsia="en-GB"/>
              </w:rPr>
              <w:t>11</w:t>
            </w:r>
          </w:p>
        </w:tc>
        <w:tc>
          <w:tcPr>
            <w:tcW w:w="393" w:type="pct"/>
            <w:shd w:val="clear" w:color="auto" w:fill="auto"/>
            <w:vAlign w:val="center"/>
          </w:tcPr>
          <w:p w14:paraId="27A61259" w14:textId="77777777" w:rsidR="00024F56" w:rsidRDefault="0022519B">
            <w:pPr>
              <w:jc w:val="center"/>
              <w:rPr>
                <w:rFonts w:ascii="Times New Roman" w:eastAsia="Times New Roman" w:hAnsi="Times New Roman" w:cs="Times New Roman"/>
                <w:sz w:val="20"/>
                <w:szCs w:val="20"/>
                <w:lang w:val="en-GB" w:eastAsia="en-GB"/>
              </w:rPr>
            </w:pPr>
            <w:r>
              <w:rPr>
                <w:rFonts w:ascii="Times New Roman" w:eastAsia="Times New Roman" w:hAnsi="Times New Roman" w:cs="Times New Roman"/>
                <w:sz w:val="20"/>
                <w:szCs w:val="20"/>
                <w:lang w:val="en-GB" w:eastAsia="en-GB"/>
              </w:rPr>
              <w:t>D; V</w:t>
            </w:r>
          </w:p>
        </w:tc>
        <w:tc>
          <w:tcPr>
            <w:tcW w:w="3088" w:type="pct"/>
            <w:shd w:val="clear" w:color="auto" w:fill="auto"/>
            <w:vAlign w:val="center"/>
          </w:tcPr>
          <w:p w14:paraId="291AA57E" w14:textId="77777777" w:rsidR="00024F56" w:rsidRDefault="0022519B">
            <w:pPr>
              <w:jc w:val="left"/>
              <w:rPr>
                <w:rFonts w:ascii="Times New Roman" w:eastAsia="Times New Roman" w:hAnsi="Times New Roman" w:cs="Times New Roman"/>
                <w:sz w:val="20"/>
                <w:szCs w:val="20"/>
                <w:lang w:val="en-GB" w:eastAsia="en-GB"/>
              </w:rPr>
            </w:pPr>
            <w:r>
              <w:rPr>
                <w:rFonts w:ascii="Times New Roman" w:eastAsia="Times New Roman" w:hAnsi="Times New Roman" w:cs="Times New Roman"/>
                <w:sz w:val="20"/>
                <w:szCs w:val="20"/>
                <w:lang w:val="en-GB" w:eastAsia="en-GB"/>
              </w:rPr>
              <w:t xml:space="preserve">Provide details on how risk groups were created, if done. </w:t>
            </w:r>
          </w:p>
        </w:tc>
        <w:tc>
          <w:tcPr>
            <w:tcW w:w="314" w:type="pct"/>
            <w:shd w:val="clear" w:color="auto" w:fill="auto"/>
            <w:vAlign w:val="center"/>
          </w:tcPr>
          <w:p w14:paraId="7E4B9F59" w14:textId="77777777" w:rsidR="00024F56" w:rsidRDefault="0022519B">
            <w:pPr>
              <w:jc w:val="center"/>
              <w:rPr>
                <w:rFonts w:ascii="Times New Roman" w:eastAsia="Times New Roman" w:hAnsi="Times New Roman" w:cs="Times New Roman"/>
                <w:sz w:val="20"/>
                <w:szCs w:val="20"/>
                <w:lang w:val="en-GB" w:eastAsia="en-GB"/>
              </w:rPr>
            </w:pPr>
            <w:r>
              <w:rPr>
                <w:rFonts w:ascii="Times New Roman" w:eastAsia="Times New Roman" w:hAnsi="Times New Roman" w:cs="Times New Roman"/>
                <w:sz w:val="20"/>
                <w:szCs w:val="20"/>
                <w:lang w:val="en-GB" w:eastAsia="en-GB"/>
              </w:rPr>
              <w:t>NaN</w:t>
            </w:r>
          </w:p>
        </w:tc>
      </w:tr>
      <w:tr w:rsidR="00024F56" w14:paraId="66797CCD" w14:textId="77777777">
        <w:trPr>
          <w:tblHeader/>
        </w:trPr>
        <w:tc>
          <w:tcPr>
            <w:tcW w:w="868" w:type="pct"/>
            <w:shd w:val="clear" w:color="auto" w:fill="auto"/>
            <w:vAlign w:val="center"/>
          </w:tcPr>
          <w:p w14:paraId="7922C691" w14:textId="77777777" w:rsidR="00024F56" w:rsidRDefault="0022519B">
            <w:pPr>
              <w:rPr>
                <w:rFonts w:ascii="Times New Roman" w:eastAsia="Times New Roman" w:hAnsi="Times New Roman" w:cs="Times New Roman"/>
                <w:sz w:val="20"/>
                <w:szCs w:val="20"/>
                <w:lang w:val="en-GB" w:eastAsia="en-GB"/>
              </w:rPr>
            </w:pPr>
            <w:r>
              <w:rPr>
                <w:rFonts w:ascii="Times New Roman" w:eastAsia="Times New Roman" w:hAnsi="Times New Roman" w:cs="Times New Roman"/>
                <w:sz w:val="20"/>
                <w:szCs w:val="20"/>
                <w:lang w:val="en-GB" w:eastAsia="en-GB"/>
              </w:rPr>
              <w:t>Development vs. validation</w:t>
            </w:r>
          </w:p>
        </w:tc>
        <w:tc>
          <w:tcPr>
            <w:tcW w:w="334" w:type="pct"/>
            <w:shd w:val="clear" w:color="auto" w:fill="auto"/>
            <w:vAlign w:val="center"/>
          </w:tcPr>
          <w:p w14:paraId="4628AEA6" w14:textId="77777777" w:rsidR="00024F56" w:rsidRDefault="0022519B">
            <w:pPr>
              <w:jc w:val="center"/>
              <w:rPr>
                <w:rFonts w:ascii="Times New Roman" w:eastAsia="Times New Roman" w:hAnsi="Times New Roman" w:cs="Times New Roman"/>
                <w:sz w:val="20"/>
                <w:szCs w:val="20"/>
                <w:lang w:val="en-GB" w:eastAsia="en-GB"/>
              </w:rPr>
            </w:pPr>
            <w:r>
              <w:rPr>
                <w:rFonts w:ascii="Times New Roman" w:eastAsia="Times New Roman" w:hAnsi="Times New Roman" w:cs="Times New Roman"/>
                <w:sz w:val="20"/>
                <w:szCs w:val="20"/>
                <w:lang w:val="en-GB" w:eastAsia="en-GB"/>
              </w:rPr>
              <w:t>12</w:t>
            </w:r>
          </w:p>
        </w:tc>
        <w:tc>
          <w:tcPr>
            <w:tcW w:w="393" w:type="pct"/>
            <w:shd w:val="clear" w:color="auto" w:fill="auto"/>
            <w:vAlign w:val="center"/>
          </w:tcPr>
          <w:p w14:paraId="21C0E774" w14:textId="77777777" w:rsidR="00024F56" w:rsidRDefault="0022519B">
            <w:pPr>
              <w:jc w:val="center"/>
              <w:rPr>
                <w:rFonts w:ascii="Times New Roman" w:eastAsia="Times New Roman" w:hAnsi="Times New Roman" w:cs="Times New Roman"/>
                <w:sz w:val="20"/>
                <w:szCs w:val="20"/>
                <w:lang w:val="en-GB" w:eastAsia="en-GB"/>
              </w:rPr>
            </w:pPr>
            <w:r>
              <w:rPr>
                <w:rFonts w:ascii="Times New Roman" w:eastAsia="Times New Roman" w:hAnsi="Times New Roman" w:cs="Times New Roman"/>
                <w:sz w:val="20"/>
                <w:szCs w:val="20"/>
                <w:lang w:val="en-GB" w:eastAsia="en-GB"/>
              </w:rPr>
              <w:t>V</w:t>
            </w:r>
          </w:p>
        </w:tc>
        <w:tc>
          <w:tcPr>
            <w:tcW w:w="3088" w:type="pct"/>
            <w:shd w:val="clear" w:color="auto" w:fill="auto"/>
            <w:vAlign w:val="center"/>
          </w:tcPr>
          <w:p w14:paraId="007C1C1F" w14:textId="77777777" w:rsidR="00024F56" w:rsidRDefault="0022519B">
            <w:pPr>
              <w:jc w:val="left"/>
              <w:rPr>
                <w:rFonts w:ascii="Times New Roman" w:eastAsia="Times New Roman" w:hAnsi="Times New Roman" w:cs="Times New Roman"/>
                <w:sz w:val="20"/>
                <w:szCs w:val="20"/>
                <w:lang w:val="en-GB" w:eastAsia="en-GB"/>
              </w:rPr>
            </w:pPr>
            <w:r>
              <w:rPr>
                <w:rFonts w:ascii="Times New Roman" w:eastAsia="Times New Roman" w:hAnsi="Times New Roman" w:cs="Times New Roman"/>
                <w:sz w:val="20"/>
                <w:szCs w:val="20"/>
                <w:lang w:val="en-GB" w:eastAsia="en-GB"/>
              </w:rPr>
              <w:t xml:space="preserve">For validation, identify any differences from the development data in setting, eligibility criteria, outcome, and predictors. </w:t>
            </w:r>
          </w:p>
        </w:tc>
        <w:tc>
          <w:tcPr>
            <w:tcW w:w="314" w:type="pct"/>
            <w:shd w:val="clear" w:color="auto" w:fill="auto"/>
            <w:vAlign w:val="center"/>
          </w:tcPr>
          <w:p w14:paraId="344F6F9C" w14:textId="77777777" w:rsidR="00024F56" w:rsidRDefault="0022519B">
            <w:pPr>
              <w:jc w:val="center"/>
              <w:rPr>
                <w:rFonts w:ascii="Times New Roman" w:eastAsia="宋体" w:hAnsi="Times New Roman" w:cs="Times New Roman"/>
                <w:sz w:val="20"/>
                <w:szCs w:val="20"/>
                <w:lang w:val="en-GB" w:eastAsia="en-GB"/>
              </w:rPr>
            </w:pPr>
            <w:r>
              <w:rPr>
                <w:rFonts w:ascii="Times New Roman" w:eastAsia="宋体" w:hAnsi="Times New Roman" w:cs="Times New Roman"/>
                <w:sz w:val="20"/>
                <w:szCs w:val="20"/>
                <w:lang w:val="en-GB" w:eastAsia="en-GB"/>
              </w:rPr>
              <w:t>Yes</w:t>
            </w:r>
          </w:p>
        </w:tc>
      </w:tr>
      <w:tr w:rsidR="00024F56" w14:paraId="1EDE5E4D" w14:textId="77777777">
        <w:trPr>
          <w:tblHeader/>
        </w:trPr>
        <w:tc>
          <w:tcPr>
            <w:tcW w:w="5000" w:type="pct"/>
            <w:gridSpan w:val="5"/>
            <w:shd w:val="clear" w:color="auto" w:fill="F7CAAC"/>
          </w:tcPr>
          <w:p w14:paraId="5DB5B49A" w14:textId="77777777" w:rsidR="00024F56" w:rsidRDefault="0022519B">
            <w:pPr>
              <w:rPr>
                <w:rFonts w:ascii="Times New Roman" w:eastAsia="Times New Roman" w:hAnsi="Times New Roman" w:cs="Times New Roman"/>
                <w:sz w:val="20"/>
                <w:szCs w:val="20"/>
                <w:lang w:val="en-GB" w:eastAsia="en-GB"/>
              </w:rPr>
            </w:pPr>
            <w:r>
              <w:rPr>
                <w:rFonts w:ascii="Times New Roman" w:eastAsia="Times New Roman" w:hAnsi="Times New Roman" w:cs="Times New Roman"/>
                <w:b/>
                <w:sz w:val="20"/>
                <w:szCs w:val="20"/>
                <w:lang w:val="en-GB" w:eastAsia="en-GB"/>
              </w:rPr>
              <w:t>Results</w:t>
            </w:r>
          </w:p>
        </w:tc>
      </w:tr>
      <w:tr w:rsidR="00024F56" w14:paraId="45F2AEAB" w14:textId="77777777">
        <w:trPr>
          <w:tblHeader/>
        </w:trPr>
        <w:tc>
          <w:tcPr>
            <w:tcW w:w="868" w:type="pct"/>
            <w:vMerge w:val="restart"/>
            <w:shd w:val="clear" w:color="auto" w:fill="auto"/>
            <w:vAlign w:val="center"/>
          </w:tcPr>
          <w:p w14:paraId="53D46818" w14:textId="77777777" w:rsidR="00024F56" w:rsidRDefault="0022519B">
            <w:pPr>
              <w:rPr>
                <w:rFonts w:ascii="Times New Roman" w:eastAsia="Times New Roman" w:hAnsi="Times New Roman" w:cs="Times New Roman"/>
                <w:b/>
                <w:sz w:val="20"/>
                <w:szCs w:val="20"/>
                <w:lang w:val="en-GB" w:eastAsia="en-GB"/>
              </w:rPr>
            </w:pPr>
            <w:r>
              <w:rPr>
                <w:rFonts w:ascii="Times New Roman" w:eastAsia="Times New Roman" w:hAnsi="Times New Roman" w:cs="Times New Roman"/>
                <w:sz w:val="20"/>
                <w:szCs w:val="20"/>
                <w:lang w:val="en-GB" w:eastAsia="en-GB"/>
              </w:rPr>
              <w:t>Participants</w:t>
            </w:r>
          </w:p>
        </w:tc>
        <w:tc>
          <w:tcPr>
            <w:tcW w:w="334" w:type="pct"/>
            <w:shd w:val="clear" w:color="auto" w:fill="auto"/>
            <w:vAlign w:val="center"/>
          </w:tcPr>
          <w:p w14:paraId="16AA3C6F" w14:textId="77777777" w:rsidR="00024F56" w:rsidRDefault="0022519B">
            <w:pPr>
              <w:jc w:val="center"/>
              <w:rPr>
                <w:rFonts w:ascii="Times New Roman" w:eastAsia="Times New Roman" w:hAnsi="Times New Roman" w:cs="Times New Roman"/>
                <w:sz w:val="20"/>
                <w:szCs w:val="20"/>
                <w:lang w:val="en-GB" w:eastAsia="en-GB"/>
              </w:rPr>
            </w:pPr>
            <w:r>
              <w:rPr>
                <w:rFonts w:ascii="Times New Roman" w:eastAsia="Times New Roman" w:hAnsi="Times New Roman" w:cs="Times New Roman"/>
                <w:sz w:val="20"/>
                <w:szCs w:val="20"/>
                <w:lang w:val="en-GB" w:eastAsia="en-GB"/>
              </w:rPr>
              <w:t>13a</w:t>
            </w:r>
          </w:p>
        </w:tc>
        <w:tc>
          <w:tcPr>
            <w:tcW w:w="393" w:type="pct"/>
            <w:shd w:val="clear" w:color="auto" w:fill="auto"/>
            <w:vAlign w:val="center"/>
          </w:tcPr>
          <w:p w14:paraId="1BDD2E64" w14:textId="77777777" w:rsidR="00024F56" w:rsidRDefault="0022519B">
            <w:pPr>
              <w:jc w:val="center"/>
              <w:rPr>
                <w:rFonts w:ascii="Times New Roman" w:eastAsia="Times New Roman" w:hAnsi="Times New Roman" w:cs="Times New Roman"/>
                <w:sz w:val="20"/>
                <w:szCs w:val="20"/>
                <w:lang w:val="en-GB" w:eastAsia="en-GB"/>
              </w:rPr>
            </w:pPr>
            <w:r>
              <w:rPr>
                <w:rFonts w:ascii="Times New Roman" w:eastAsia="Times New Roman" w:hAnsi="Times New Roman" w:cs="Times New Roman"/>
                <w:sz w:val="20"/>
                <w:szCs w:val="20"/>
                <w:lang w:val="en-GB" w:eastAsia="en-GB"/>
              </w:rPr>
              <w:t>D; V</w:t>
            </w:r>
          </w:p>
        </w:tc>
        <w:tc>
          <w:tcPr>
            <w:tcW w:w="3088" w:type="pct"/>
            <w:shd w:val="clear" w:color="auto" w:fill="auto"/>
            <w:vAlign w:val="center"/>
          </w:tcPr>
          <w:p w14:paraId="0F49716C" w14:textId="77777777" w:rsidR="00024F56" w:rsidRDefault="0022519B">
            <w:pPr>
              <w:tabs>
                <w:tab w:val="left" w:pos="459"/>
              </w:tabs>
              <w:contextualSpacing/>
              <w:jc w:val="left"/>
              <w:rPr>
                <w:rFonts w:ascii="Times New Roman" w:eastAsia="Cambria" w:hAnsi="Times New Roman" w:cs="Times New Roman"/>
                <w:sz w:val="20"/>
                <w:szCs w:val="20"/>
                <w:lang w:val="en-GB" w:eastAsia="en-GB"/>
              </w:rPr>
            </w:pPr>
            <w:r>
              <w:rPr>
                <w:rFonts w:ascii="Times New Roman" w:eastAsia="Cambria" w:hAnsi="Times New Roman" w:cs="Times New Roman"/>
                <w:sz w:val="20"/>
                <w:szCs w:val="20"/>
                <w:lang w:val="en-GB" w:eastAsia="en-GB"/>
              </w:rPr>
              <w:t xml:space="preserve">Describe the flow of participants through the study, including the number of participants with and without the outcome and, if applicable, a summary of the follow-up time. A diagram may be helpful. </w:t>
            </w:r>
          </w:p>
        </w:tc>
        <w:tc>
          <w:tcPr>
            <w:tcW w:w="314" w:type="pct"/>
            <w:shd w:val="clear" w:color="auto" w:fill="auto"/>
            <w:vAlign w:val="center"/>
          </w:tcPr>
          <w:p w14:paraId="0F90ED77" w14:textId="77777777" w:rsidR="00024F56" w:rsidRDefault="0022519B">
            <w:pPr>
              <w:jc w:val="center"/>
              <w:rPr>
                <w:rFonts w:ascii="Times New Roman" w:eastAsia="Times New Roman" w:hAnsi="Times New Roman" w:cs="Times New Roman"/>
                <w:sz w:val="20"/>
                <w:szCs w:val="20"/>
                <w:lang w:val="en-GB" w:eastAsia="en-GB"/>
              </w:rPr>
            </w:pPr>
            <w:r>
              <w:rPr>
                <w:rFonts w:ascii="Times New Roman" w:eastAsia="宋体" w:hAnsi="Times New Roman" w:cs="Times New Roman"/>
                <w:sz w:val="20"/>
                <w:szCs w:val="20"/>
                <w:lang w:val="en-GB" w:eastAsia="en-GB"/>
              </w:rPr>
              <w:t>Yes</w:t>
            </w:r>
          </w:p>
        </w:tc>
      </w:tr>
      <w:tr w:rsidR="00024F56" w14:paraId="0FF6BDA5" w14:textId="77777777">
        <w:trPr>
          <w:tblHeader/>
        </w:trPr>
        <w:tc>
          <w:tcPr>
            <w:tcW w:w="868" w:type="pct"/>
            <w:vMerge/>
            <w:shd w:val="clear" w:color="auto" w:fill="auto"/>
            <w:vAlign w:val="center"/>
          </w:tcPr>
          <w:p w14:paraId="0A23B80E" w14:textId="77777777" w:rsidR="00024F56" w:rsidRDefault="00024F56">
            <w:pPr>
              <w:rPr>
                <w:rFonts w:ascii="Times New Roman" w:eastAsia="Times New Roman" w:hAnsi="Times New Roman" w:cs="Times New Roman"/>
                <w:sz w:val="20"/>
                <w:szCs w:val="20"/>
                <w:lang w:val="en-GB" w:eastAsia="en-GB"/>
              </w:rPr>
            </w:pPr>
          </w:p>
        </w:tc>
        <w:tc>
          <w:tcPr>
            <w:tcW w:w="334" w:type="pct"/>
            <w:shd w:val="clear" w:color="auto" w:fill="auto"/>
            <w:vAlign w:val="center"/>
          </w:tcPr>
          <w:p w14:paraId="1758B413" w14:textId="77777777" w:rsidR="00024F56" w:rsidRDefault="0022519B">
            <w:pPr>
              <w:jc w:val="center"/>
              <w:rPr>
                <w:rFonts w:ascii="Times New Roman" w:eastAsia="Times New Roman" w:hAnsi="Times New Roman" w:cs="Times New Roman"/>
                <w:sz w:val="20"/>
                <w:szCs w:val="20"/>
                <w:lang w:val="en-GB" w:eastAsia="en-GB"/>
              </w:rPr>
            </w:pPr>
            <w:r>
              <w:rPr>
                <w:rFonts w:ascii="Times New Roman" w:eastAsia="Times New Roman" w:hAnsi="Times New Roman" w:cs="Times New Roman"/>
                <w:sz w:val="20"/>
                <w:szCs w:val="20"/>
                <w:lang w:val="en-GB" w:eastAsia="en-GB"/>
              </w:rPr>
              <w:t>13b</w:t>
            </w:r>
          </w:p>
        </w:tc>
        <w:tc>
          <w:tcPr>
            <w:tcW w:w="393" w:type="pct"/>
            <w:shd w:val="clear" w:color="auto" w:fill="auto"/>
            <w:vAlign w:val="center"/>
          </w:tcPr>
          <w:p w14:paraId="4100FF37" w14:textId="77777777" w:rsidR="00024F56" w:rsidRDefault="0022519B">
            <w:pPr>
              <w:jc w:val="center"/>
              <w:rPr>
                <w:rFonts w:ascii="Times New Roman" w:eastAsia="Times New Roman" w:hAnsi="Times New Roman" w:cs="Times New Roman"/>
                <w:sz w:val="20"/>
                <w:szCs w:val="20"/>
                <w:lang w:val="en-GB" w:eastAsia="en-GB"/>
              </w:rPr>
            </w:pPr>
            <w:r>
              <w:rPr>
                <w:rFonts w:ascii="Times New Roman" w:eastAsia="Times New Roman" w:hAnsi="Times New Roman" w:cs="Times New Roman"/>
                <w:sz w:val="20"/>
                <w:szCs w:val="20"/>
                <w:lang w:val="en-GB" w:eastAsia="en-GB"/>
              </w:rPr>
              <w:t>D; V</w:t>
            </w:r>
          </w:p>
        </w:tc>
        <w:tc>
          <w:tcPr>
            <w:tcW w:w="3088" w:type="pct"/>
            <w:shd w:val="clear" w:color="auto" w:fill="auto"/>
            <w:vAlign w:val="center"/>
          </w:tcPr>
          <w:p w14:paraId="5E4BB14D" w14:textId="77777777" w:rsidR="00024F56" w:rsidRDefault="0022519B">
            <w:pPr>
              <w:tabs>
                <w:tab w:val="left" w:pos="459"/>
              </w:tabs>
              <w:contextualSpacing/>
              <w:jc w:val="left"/>
              <w:rPr>
                <w:rFonts w:ascii="Times New Roman" w:eastAsia="Cambria" w:hAnsi="Times New Roman" w:cs="Times New Roman"/>
                <w:sz w:val="20"/>
                <w:szCs w:val="20"/>
                <w:lang w:val="en-GB" w:eastAsia="en-GB"/>
              </w:rPr>
            </w:pPr>
            <w:r>
              <w:rPr>
                <w:rFonts w:ascii="Times New Roman" w:eastAsia="Cambria" w:hAnsi="Times New Roman" w:cs="Times New Roman"/>
                <w:sz w:val="20"/>
                <w:szCs w:val="20"/>
                <w:lang w:val="en-GB" w:eastAsia="en-GB"/>
              </w:rPr>
              <w:t xml:space="preserve">Describe the characteristics of the participants (basic demographics, clinical features, available predictors), including the number of participants with missing data for predictors and outcome. </w:t>
            </w:r>
          </w:p>
        </w:tc>
        <w:tc>
          <w:tcPr>
            <w:tcW w:w="314" w:type="pct"/>
            <w:shd w:val="clear" w:color="auto" w:fill="auto"/>
            <w:vAlign w:val="center"/>
          </w:tcPr>
          <w:p w14:paraId="18DDCC63" w14:textId="77777777" w:rsidR="00024F56" w:rsidRDefault="0022519B">
            <w:pPr>
              <w:jc w:val="center"/>
              <w:rPr>
                <w:rFonts w:ascii="Times New Roman" w:eastAsia="Times New Roman" w:hAnsi="Times New Roman" w:cs="Times New Roman"/>
                <w:sz w:val="20"/>
                <w:szCs w:val="20"/>
                <w:lang w:val="en-GB" w:eastAsia="en-GB"/>
              </w:rPr>
            </w:pPr>
            <w:r>
              <w:rPr>
                <w:rFonts w:ascii="Times New Roman" w:eastAsia="宋体" w:hAnsi="Times New Roman" w:cs="Times New Roman"/>
                <w:sz w:val="20"/>
                <w:szCs w:val="20"/>
                <w:lang w:val="en-GB" w:eastAsia="en-GB"/>
              </w:rPr>
              <w:t>Yes</w:t>
            </w:r>
          </w:p>
        </w:tc>
      </w:tr>
      <w:tr w:rsidR="00024F56" w14:paraId="6C38722B" w14:textId="77777777">
        <w:trPr>
          <w:tblHeader/>
        </w:trPr>
        <w:tc>
          <w:tcPr>
            <w:tcW w:w="868" w:type="pct"/>
            <w:vMerge/>
            <w:shd w:val="clear" w:color="auto" w:fill="auto"/>
            <w:vAlign w:val="center"/>
          </w:tcPr>
          <w:p w14:paraId="07D627F4" w14:textId="77777777" w:rsidR="00024F56" w:rsidRDefault="00024F56">
            <w:pPr>
              <w:rPr>
                <w:rFonts w:ascii="Times New Roman" w:eastAsia="Times New Roman" w:hAnsi="Times New Roman" w:cs="Times New Roman"/>
                <w:sz w:val="20"/>
                <w:szCs w:val="20"/>
                <w:lang w:val="en-GB" w:eastAsia="en-GB"/>
              </w:rPr>
            </w:pPr>
          </w:p>
        </w:tc>
        <w:tc>
          <w:tcPr>
            <w:tcW w:w="334" w:type="pct"/>
            <w:shd w:val="clear" w:color="auto" w:fill="auto"/>
            <w:vAlign w:val="center"/>
          </w:tcPr>
          <w:p w14:paraId="3DC77A48" w14:textId="77777777" w:rsidR="00024F56" w:rsidRDefault="0022519B">
            <w:pPr>
              <w:jc w:val="center"/>
              <w:rPr>
                <w:rFonts w:ascii="Times New Roman" w:eastAsia="Times New Roman" w:hAnsi="Times New Roman" w:cs="Times New Roman"/>
                <w:sz w:val="20"/>
                <w:szCs w:val="20"/>
                <w:lang w:val="en-GB" w:eastAsia="en-GB"/>
              </w:rPr>
            </w:pPr>
            <w:r>
              <w:rPr>
                <w:rFonts w:ascii="Times New Roman" w:eastAsia="Times New Roman" w:hAnsi="Times New Roman" w:cs="Times New Roman"/>
                <w:sz w:val="20"/>
                <w:szCs w:val="20"/>
                <w:lang w:val="en-GB" w:eastAsia="en-GB"/>
              </w:rPr>
              <w:t>13c</w:t>
            </w:r>
          </w:p>
        </w:tc>
        <w:tc>
          <w:tcPr>
            <w:tcW w:w="393" w:type="pct"/>
            <w:shd w:val="clear" w:color="auto" w:fill="auto"/>
            <w:vAlign w:val="center"/>
          </w:tcPr>
          <w:p w14:paraId="28AAF04D" w14:textId="77777777" w:rsidR="00024F56" w:rsidRDefault="0022519B">
            <w:pPr>
              <w:jc w:val="center"/>
              <w:rPr>
                <w:rFonts w:ascii="Times New Roman" w:eastAsia="Times New Roman" w:hAnsi="Times New Roman" w:cs="Times New Roman"/>
                <w:sz w:val="20"/>
                <w:szCs w:val="20"/>
                <w:lang w:val="en-GB" w:eastAsia="en-GB"/>
              </w:rPr>
            </w:pPr>
            <w:r>
              <w:rPr>
                <w:rFonts w:ascii="Times New Roman" w:eastAsia="Times New Roman" w:hAnsi="Times New Roman" w:cs="Times New Roman"/>
                <w:sz w:val="20"/>
                <w:szCs w:val="20"/>
                <w:lang w:val="en-GB" w:eastAsia="en-GB"/>
              </w:rPr>
              <w:t>V</w:t>
            </w:r>
          </w:p>
        </w:tc>
        <w:tc>
          <w:tcPr>
            <w:tcW w:w="3088" w:type="pct"/>
            <w:shd w:val="clear" w:color="auto" w:fill="auto"/>
            <w:vAlign w:val="center"/>
          </w:tcPr>
          <w:p w14:paraId="40D19323" w14:textId="77777777" w:rsidR="00024F56" w:rsidRDefault="0022519B">
            <w:pPr>
              <w:tabs>
                <w:tab w:val="left" w:pos="459"/>
              </w:tabs>
              <w:contextualSpacing/>
              <w:jc w:val="left"/>
              <w:rPr>
                <w:rFonts w:ascii="Times New Roman" w:eastAsia="Cambria" w:hAnsi="Times New Roman" w:cs="Times New Roman"/>
                <w:sz w:val="20"/>
                <w:szCs w:val="20"/>
                <w:lang w:val="en-GB" w:eastAsia="en-GB"/>
              </w:rPr>
            </w:pPr>
            <w:r>
              <w:rPr>
                <w:rFonts w:ascii="Times New Roman" w:eastAsia="Cambria" w:hAnsi="Times New Roman" w:cs="Times New Roman"/>
                <w:sz w:val="20"/>
                <w:szCs w:val="20"/>
                <w:lang w:val="en-GB" w:eastAsia="en-GB"/>
              </w:rPr>
              <w:t>For validation, show a comparison with the devel</w:t>
            </w:r>
            <w:r>
              <w:rPr>
                <w:rFonts w:ascii="Times New Roman" w:eastAsia="Cambria" w:hAnsi="Times New Roman" w:cs="Times New Roman"/>
                <w:sz w:val="20"/>
                <w:szCs w:val="20"/>
                <w:lang w:val="en-GB" w:eastAsia="en-GB"/>
              </w:rPr>
              <w:t xml:space="preserve">opment data of the distribution of important variables (demographics, predictors and outcome). </w:t>
            </w:r>
          </w:p>
        </w:tc>
        <w:tc>
          <w:tcPr>
            <w:tcW w:w="314" w:type="pct"/>
            <w:shd w:val="clear" w:color="auto" w:fill="auto"/>
            <w:vAlign w:val="center"/>
          </w:tcPr>
          <w:p w14:paraId="43068566" w14:textId="77777777" w:rsidR="00024F56" w:rsidRDefault="0022519B">
            <w:pPr>
              <w:jc w:val="center"/>
              <w:rPr>
                <w:rFonts w:ascii="Times New Roman" w:eastAsia="Times New Roman" w:hAnsi="Times New Roman" w:cs="Times New Roman"/>
                <w:sz w:val="20"/>
                <w:szCs w:val="20"/>
                <w:lang w:val="en-GB" w:eastAsia="en-GB"/>
              </w:rPr>
            </w:pPr>
            <w:r>
              <w:rPr>
                <w:rFonts w:ascii="Times New Roman" w:eastAsia="宋体" w:hAnsi="Times New Roman" w:cs="Times New Roman"/>
                <w:sz w:val="20"/>
                <w:szCs w:val="20"/>
                <w:lang w:val="en-GB" w:eastAsia="en-GB"/>
              </w:rPr>
              <w:t>Yes</w:t>
            </w:r>
          </w:p>
        </w:tc>
      </w:tr>
      <w:tr w:rsidR="00024F56" w14:paraId="453CFD6D" w14:textId="77777777">
        <w:trPr>
          <w:tblHeader/>
        </w:trPr>
        <w:tc>
          <w:tcPr>
            <w:tcW w:w="868" w:type="pct"/>
            <w:vMerge w:val="restart"/>
            <w:shd w:val="clear" w:color="auto" w:fill="auto"/>
            <w:vAlign w:val="center"/>
          </w:tcPr>
          <w:p w14:paraId="4C80CCD6" w14:textId="77777777" w:rsidR="00024F56" w:rsidRDefault="0022519B">
            <w:pPr>
              <w:rPr>
                <w:rFonts w:ascii="Times New Roman" w:eastAsia="Times New Roman" w:hAnsi="Times New Roman" w:cs="Times New Roman"/>
                <w:b/>
                <w:sz w:val="20"/>
                <w:szCs w:val="20"/>
                <w:lang w:val="en-GB" w:eastAsia="en-GB"/>
              </w:rPr>
            </w:pPr>
            <w:r>
              <w:rPr>
                <w:rFonts w:ascii="Times New Roman" w:eastAsia="Times New Roman" w:hAnsi="Times New Roman" w:cs="Times New Roman"/>
                <w:sz w:val="20"/>
                <w:szCs w:val="20"/>
                <w:lang w:val="en-GB" w:eastAsia="en-GB"/>
              </w:rPr>
              <w:lastRenderedPageBreak/>
              <w:t xml:space="preserve">Model development </w:t>
            </w:r>
          </w:p>
        </w:tc>
        <w:tc>
          <w:tcPr>
            <w:tcW w:w="334" w:type="pct"/>
            <w:shd w:val="clear" w:color="auto" w:fill="auto"/>
            <w:vAlign w:val="center"/>
          </w:tcPr>
          <w:p w14:paraId="043F1945" w14:textId="77777777" w:rsidR="00024F56" w:rsidRDefault="0022519B">
            <w:pPr>
              <w:jc w:val="center"/>
              <w:rPr>
                <w:rFonts w:ascii="Times New Roman" w:eastAsia="Times New Roman" w:hAnsi="Times New Roman" w:cs="Times New Roman"/>
                <w:sz w:val="20"/>
                <w:szCs w:val="20"/>
                <w:lang w:val="en-GB" w:eastAsia="en-GB"/>
              </w:rPr>
            </w:pPr>
            <w:r>
              <w:rPr>
                <w:rFonts w:ascii="Times New Roman" w:eastAsia="Times New Roman" w:hAnsi="Times New Roman" w:cs="Times New Roman"/>
                <w:sz w:val="20"/>
                <w:szCs w:val="20"/>
                <w:lang w:val="en-GB" w:eastAsia="en-GB"/>
              </w:rPr>
              <w:t>14a</w:t>
            </w:r>
          </w:p>
        </w:tc>
        <w:tc>
          <w:tcPr>
            <w:tcW w:w="393" w:type="pct"/>
            <w:shd w:val="clear" w:color="auto" w:fill="auto"/>
            <w:vAlign w:val="center"/>
          </w:tcPr>
          <w:p w14:paraId="03B91249" w14:textId="77777777" w:rsidR="00024F56" w:rsidRDefault="0022519B">
            <w:pPr>
              <w:jc w:val="center"/>
              <w:rPr>
                <w:rFonts w:ascii="Times New Roman" w:eastAsia="Times New Roman" w:hAnsi="Times New Roman" w:cs="Times New Roman"/>
                <w:sz w:val="20"/>
                <w:szCs w:val="20"/>
                <w:lang w:val="en-GB" w:eastAsia="en-GB"/>
              </w:rPr>
            </w:pPr>
            <w:r>
              <w:rPr>
                <w:rFonts w:ascii="Times New Roman" w:eastAsia="Times New Roman" w:hAnsi="Times New Roman" w:cs="Times New Roman"/>
                <w:sz w:val="20"/>
                <w:szCs w:val="20"/>
                <w:lang w:val="en-GB" w:eastAsia="en-GB"/>
              </w:rPr>
              <w:t>D</w:t>
            </w:r>
          </w:p>
        </w:tc>
        <w:tc>
          <w:tcPr>
            <w:tcW w:w="3088" w:type="pct"/>
            <w:shd w:val="clear" w:color="auto" w:fill="auto"/>
            <w:vAlign w:val="center"/>
          </w:tcPr>
          <w:p w14:paraId="6DFF200E" w14:textId="77777777" w:rsidR="00024F56" w:rsidRDefault="0022519B">
            <w:pPr>
              <w:tabs>
                <w:tab w:val="left" w:pos="459"/>
              </w:tabs>
              <w:contextualSpacing/>
              <w:jc w:val="left"/>
              <w:rPr>
                <w:rFonts w:ascii="Times New Roman" w:eastAsia="MS Gothic" w:hAnsi="Times New Roman" w:cs="Times New Roman"/>
                <w:i/>
                <w:iCs/>
                <w:sz w:val="20"/>
                <w:szCs w:val="20"/>
                <w:lang w:val="en-GB" w:eastAsia="en-GB"/>
              </w:rPr>
            </w:pPr>
            <w:r>
              <w:rPr>
                <w:rFonts w:ascii="Times New Roman" w:eastAsia="Cambria" w:hAnsi="Times New Roman" w:cs="Times New Roman"/>
                <w:sz w:val="20"/>
                <w:szCs w:val="20"/>
                <w:lang w:val="en-GB" w:eastAsia="en-GB"/>
              </w:rPr>
              <w:t xml:space="preserve">Specify the number of participants and outcome events in each analysis. </w:t>
            </w:r>
          </w:p>
        </w:tc>
        <w:tc>
          <w:tcPr>
            <w:tcW w:w="314" w:type="pct"/>
            <w:shd w:val="clear" w:color="auto" w:fill="auto"/>
            <w:vAlign w:val="center"/>
          </w:tcPr>
          <w:p w14:paraId="6F7DB95C" w14:textId="77777777" w:rsidR="00024F56" w:rsidRDefault="0022519B">
            <w:pPr>
              <w:contextualSpacing/>
              <w:jc w:val="center"/>
              <w:rPr>
                <w:rFonts w:ascii="Times New Roman" w:eastAsia="宋体" w:hAnsi="Times New Roman" w:cs="Times New Roman"/>
                <w:sz w:val="20"/>
                <w:szCs w:val="20"/>
                <w:lang w:val="en-GB" w:eastAsia="en-GB"/>
              </w:rPr>
            </w:pPr>
            <w:r>
              <w:rPr>
                <w:rFonts w:ascii="Times New Roman" w:eastAsia="宋体" w:hAnsi="Times New Roman" w:cs="Times New Roman"/>
                <w:sz w:val="20"/>
                <w:szCs w:val="20"/>
                <w:lang w:val="en-GB" w:eastAsia="en-GB"/>
              </w:rPr>
              <w:t>Yes</w:t>
            </w:r>
          </w:p>
        </w:tc>
      </w:tr>
      <w:tr w:rsidR="00024F56" w14:paraId="4C2D7024" w14:textId="77777777">
        <w:trPr>
          <w:tblHeader/>
        </w:trPr>
        <w:tc>
          <w:tcPr>
            <w:tcW w:w="868" w:type="pct"/>
            <w:vMerge/>
            <w:shd w:val="clear" w:color="auto" w:fill="auto"/>
            <w:vAlign w:val="center"/>
          </w:tcPr>
          <w:p w14:paraId="4FD313F1" w14:textId="77777777" w:rsidR="00024F56" w:rsidRDefault="00024F56">
            <w:pPr>
              <w:rPr>
                <w:rFonts w:ascii="Times New Roman" w:eastAsia="Times New Roman" w:hAnsi="Times New Roman" w:cs="Times New Roman"/>
                <w:sz w:val="20"/>
                <w:szCs w:val="20"/>
                <w:lang w:val="en-GB" w:eastAsia="en-GB"/>
              </w:rPr>
            </w:pPr>
          </w:p>
        </w:tc>
        <w:tc>
          <w:tcPr>
            <w:tcW w:w="334" w:type="pct"/>
            <w:shd w:val="clear" w:color="auto" w:fill="auto"/>
            <w:vAlign w:val="center"/>
          </w:tcPr>
          <w:p w14:paraId="6FB0DA1E" w14:textId="77777777" w:rsidR="00024F56" w:rsidRDefault="0022519B">
            <w:pPr>
              <w:jc w:val="center"/>
              <w:rPr>
                <w:rFonts w:ascii="Times New Roman" w:eastAsia="Times New Roman" w:hAnsi="Times New Roman" w:cs="Times New Roman"/>
                <w:sz w:val="20"/>
                <w:szCs w:val="20"/>
                <w:lang w:val="en-GB" w:eastAsia="en-GB"/>
              </w:rPr>
            </w:pPr>
            <w:r>
              <w:rPr>
                <w:rFonts w:ascii="Times New Roman" w:eastAsia="Times New Roman" w:hAnsi="Times New Roman" w:cs="Times New Roman"/>
                <w:sz w:val="20"/>
                <w:szCs w:val="20"/>
                <w:lang w:val="en-GB" w:eastAsia="en-GB"/>
              </w:rPr>
              <w:t>14b</w:t>
            </w:r>
          </w:p>
        </w:tc>
        <w:tc>
          <w:tcPr>
            <w:tcW w:w="393" w:type="pct"/>
            <w:shd w:val="clear" w:color="auto" w:fill="auto"/>
            <w:vAlign w:val="center"/>
          </w:tcPr>
          <w:p w14:paraId="6EAC9B5E" w14:textId="77777777" w:rsidR="00024F56" w:rsidRDefault="0022519B">
            <w:pPr>
              <w:jc w:val="center"/>
              <w:rPr>
                <w:rFonts w:ascii="Times New Roman" w:eastAsia="Times New Roman" w:hAnsi="Times New Roman" w:cs="Times New Roman"/>
                <w:sz w:val="20"/>
                <w:szCs w:val="20"/>
                <w:lang w:val="en-GB" w:eastAsia="en-GB"/>
              </w:rPr>
            </w:pPr>
            <w:r>
              <w:rPr>
                <w:rFonts w:ascii="Times New Roman" w:eastAsia="Times New Roman" w:hAnsi="Times New Roman" w:cs="Times New Roman"/>
                <w:sz w:val="20"/>
                <w:szCs w:val="20"/>
                <w:lang w:val="en-GB" w:eastAsia="en-GB"/>
              </w:rPr>
              <w:t>D</w:t>
            </w:r>
          </w:p>
        </w:tc>
        <w:tc>
          <w:tcPr>
            <w:tcW w:w="3088" w:type="pct"/>
            <w:shd w:val="clear" w:color="auto" w:fill="auto"/>
            <w:vAlign w:val="center"/>
          </w:tcPr>
          <w:p w14:paraId="6ED169B2" w14:textId="77777777" w:rsidR="00024F56" w:rsidRDefault="0022519B">
            <w:pPr>
              <w:tabs>
                <w:tab w:val="left" w:pos="459"/>
              </w:tabs>
              <w:contextualSpacing/>
              <w:jc w:val="left"/>
              <w:rPr>
                <w:rFonts w:ascii="Times New Roman" w:eastAsia="Cambria" w:hAnsi="Times New Roman" w:cs="Times New Roman"/>
                <w:sz w:val="20"/>
                <w:szCs w:val="20"/>
                <w:lang w:val="en-GB" w:eastAsia="en-GB"/>
              </w:rPr>
            </w:pPr>
            <w:r>
              <w:rPr>
                <w:rFonts w:ascii="Times New Roman" w:eastAsia="Cambria" w:hAnsi="Times New Roman" w:cs="Times New Roman"/>
                <w:sz w:val="20"/>
                <w:szCs w:val="20"/>
                <w:lang w:val="en-GB" w:eastAsia="en-GB"/>
              </w:rPr>
              <w:t>If done, report the unadjusted association between each candidate predictor and outcome.</w:t>
            </w:r>
          </w:p>
        </w:tc>
        <w:tc>
          <w:tcPr>
            <w:tcW w:w="314" w:type="pct"/>
            <w:shd w:val="clear" w:color="auto" w:fill="auto"/>
            <w:vAlign w:val="center"/>
          </w:tcPr>
          <w:p w14:paraId="72D0B7F0" w14:textId="77777777" w:rsidR="00024F56" w:rsidRDefault="0022519B">
            <w:pPr>
              <w:contextualSpacing/>
              <w:jc w:val="center"/>
              <w:rPr>
                <w:rFonts w:ascii="Times New Roman" w:eastAsia="Cambria" w:hAnsi="Times New Roman" w:cs="Times New Roman"/>
                <w:sz w:val="20"/>
                <w:szCs w:val="20"/>
                <w:lang w:val="en-GB" w:eastAsia="en-GB"/>
              </w:rPr>
            </w:pPr>
            <w:r>
              <w:rPr>
                <w:rFonts w:ascii="Times New Roman" w:eastAsia="宋体" w:hAnsi="Times New Roman" w:cs="Times New Roman"/>
                <w:sz w:val="20"/>
                <w:szCs w:val="20"/>
                <w:lang w:val="en-GB" w:eastAsia="en-GB"/>
              </w:rPr>
              <w:t>Yes</w:t>
            </w:r>
          </w:p>
        </w:tc>
      </w:tr>
      <w:tr w:rsidR="00024F56" w14:paraId="0320324A" w14:textId="77777777">
        <w:trPr>
          <w:tblHeader/>
        </w:trPr>
        <w:tc>
          <w:tcPr>
            <w:tcW w:w="868" w:type="pct"/>
            <w:vMerge w:val="restart"/>
            <w:shd w:val="clear" w:color="auto" w:fill="auto"/>
            <w:vAlign w:val="center"/>
          </w:tcPr>
          <w:p w14:paraId="0633FBF5" w14:textId="77777777" w:rsidR="00024F56" w:rsidRDefault="0022519B">
            <w:pPr>
              <w:rPr>
                <w:rFonts w:ascii="Times New Roman" w:eastAsia="Times New Roman" w:hAnsi="Times New Roman" w:cs="Times New Roman"/>
                <w:sz w:val="20"/>
                <w:szCs w:val="20"/>
                <w:lang w:val="en-GB" w:eastAsia="en-GB"/>
              </w:rPr>
            </w:pPr>
            <w:r>
              <w:rPr>
                <w:rFonts w:ascii="Times New Roman" w:eastAsia="Times New Roman" w:hAnsi="Times New Roman" w:cs="Times New Roman"/>
                <w:sz w:val="20"/>
                <w:szCs w:val="20"/>
                <w:lang w:val="en-GB" w:eastAsia="en-GB"/>
              </w:rPr>
              <w:t>Model specification</w:t>
            </w:r>
          </w:p>
        </w:tc>
        <w:tc>
          <w:tcPr>
            <w:tcW w:w="334" w:type="pct"/>
            <w:shd w:val="clear" w:color="auto" w:fill="auto"/>
            <w:vAlign w:val="center"/>
          </w:tcPr>
          <w:p w14:paraId="1355A88B" w14:textId="77777777" w:rsidR="00024F56" w:rsidRDefault="0022519B">
            <w:pPr>
              <w:jc w:val="center"/>
              <w:rPr>
                <w:rFonts w:ascii="Times New Roman" w:eastAsia="Times New Roman" w:hAnsi="Times New Roman" w:cs="Times New Roman"/>
                <w:sz w:val="20"/>
                <w:szCs w:val="20"/>
                <w:lang w:val="en-GB" w:eastAsia="en-GB"/>
              </w:rPr>
            </w:pPr>
            <w:r>
              <w:rPr>
                <w:rFonts w:ascii="Times New Roman" w:eastAsia="Times New Roman" w:hAnsi="Times New Roman" w:cs="Times New Roman"/>
                <w:sz w:val="20"/>
                <w:szCs w:val="20"/>
                <w:lang w:val="en-GB" w:eastAsia="en-GB"/>
              </w:rPr>
              <w:t>15a</w:t>
            </w:r>
          </w:p>
        </w:tc>
        <w:tc>
          <w:tcPr>
            <w:tcW w:w="393" w:type="pct"/>
            <w:shd w:val="clear" w:color="auto" w:fill="auto"/>
            <w:vAlign w:val="center"/>
          </w:tcPr>
          <w:p w14:paraId="582F9B5C" w14:textId="77777777" w:rsidR="00024F56" w:rsidRDefault="0022519B">
            <w:pPr>
              <w:jc w:val="center"/>
              <w:rPr>
                <w:rFonts w:ascii="Times New Roman" w:eastAsia="Times New Roman" w:hAnsi="Times New Roman" w:cs="Times New Roman"/>
                <w:sz w:val="20"/>
                <w:szCs w:val="20"/>
                <w:lang w:val="en-GB" w:eastAsia="en-GB"/>
              </w:rPr>
            </w:pPr>
            <w:r>
              <w:rPr>
                <w:rFonts w:ascii="Times New Roman" w:eastAsia="Times New Roman" w:hAnsi="Times New Roman" w:cs="Times New Roman"/>
                <w:sz w:val="20"/>
                <w:szCs w:val="20"/>
                <w:lang w:val="en-GB" w:eastAsia="en-GB"/>
              </w:rPr>
              <w:t>D</w:t>
            </w:r>
          </w:p>
        </w:tc>
        <w:tc>
          <w:tcPr>
            <w:tcW w:w="3088" w:type="pct"/>
            <w:shd w:val="clear" w:color="auto" w:fill="auto"/>
            <w:vAlign w:val="center"/>
          </w:tcPr>
          <w:p w14:paraId="35680179" w14:textId="77777777" w:rsidR="00024F56" w:rsidRDefault="0022519B">
            <w:pPr>
              <w:tabs>
                <w:tab w:val="left" w:pos="459"/>
              </w:tabs>
              <w:contextualSpacing/>
              <w:jc w:val="left"/>
              <w:rPr>
                <w:rFonts w:ascii="Times New Roman" w:eastAsia="Cambria" w:hAnsi="Times New Roman" w:cs="Times New Roman"/>
                <w:sz w:val="20"/>
                <w:szCs w:val="20"/>
                <w:lang w:val="en-GB" w:eastAsia="en-GB"/>
              </w:rPr>
            </w:pPr>
            <w:r>
              <w:rPr>
                <w:rFonts w:ascii="Times New Roman" w:eastAsia="Cambria" w:hAnsi="Times New Roman" w:cs="Times New Roman"/>
                <w:sz w:val="20"/>
                <w:szCs w:val="20"/>
                <w:lang w:val="en-GB" w:eastAsia="en-GB"/>
              </w:rPr>
              <w:t xml:space="preserve">Present the full prediction model to allow </w:t>
            </w:r>
            <w:r>
              <w:rPr>
                <w:rFonts w:ascii="Times New Roman" w:eastAsia="Cambria" w:hAnsi="Times New Roman" w:cs="Times New Roman"/>
                <w:sz w:val="20"/>
                <w:szCs w:val="20"/>
                <w:lang w:val="en-GB" w:eastAsia="en-GB"/>
              </w:rPr>
              <w:t>predictions for individuals (i.e., all regression coefficients, and model intercept or baseline survival at a given time point).</w:t>
            </w:r>
          </w:p>
        </w:tc>
        <w:tc>
          <w:tcPr>
            <w:tcW w:w="314" w:type="pct"/>
            <w:shd w:val="clear" w:color="auto" w:fill="auto"/>
            <w:vAlign w:val="center"/>
          </w:tcPr>
          <w:p w14:paraId="720D4BC1" w14:textId="77777777" w:rsidR="00024F56" w:rsidRDefault="0022519B">
            <w:pPr>
              <w:contextualSpacing/>
              <w:jc w:val="center"/>
              <w:rPr>
                <w:rFonts w:ascii="Times New Roman" w:eastAsia="Cambria" w:hAnsi="Times New Roman" w:cs="Times New Roman"/>
                <w:sz w:val="20"/>
                <w:szCs w:val="20"/>
                <w:lang w:val="en-GB" w:eastAsia="en-GB"/>
              </w:rPr>
            </w:pPr>
            <w:r>
              <w:rPr>
                <w:rFonts w:ascii="Times New Roman" w:eastAsia="宋体" w:hAnsi="Times New Roman" w:cs="Times New Roman"/>
                <w:sz w:val="20"/>
                <w:szCs w:val="20"/>
                <w:lang w:val="en-GB" w:eastAsia="en-GB"/>
              </w:rPr>
              <w:t>Yes</w:t>
            </w:r>
          </w:p>
        </w:tc>
      </w:tr>
      <w:tr w:rsidR="00024F56" w14:paraId="06EE0A32" w14:textId="77777777">
        <w:trPr>
          <w:tblHeader/>
        </w:trPr>
        <w:tc>
          <w:tcPr>
            <w:tcW w:w="868" w:type="pct"/>
            <w:vMerge/>
            <w:shd w:val="clear" w:color="auto" w:fill="auto"/>
            <w:vAlign w:val="center"/>
          </w:tcPr>
          <w:p w14:paraId="0535E813" w14:textId="77777777" w:rsidR="00024F56" w:rsidRDefault="00024F56">
            <w:pPr>
              <w:rPr>
                <w:rFonts w:ascii="Times New Roman" w:eastAsia="Times New Roman" w:hAnsi="Times New Roman" w:cs="Times New Roman"/>
                <w:sz w:val="20"/>
                <w:szCs w:val="20"/>
                <w:lang w:val="en-GB" w:eastAsia="en-GB"/>
              </w:rPr>
            </w:pPr>
          </w:p>
        </w:tc>
        <w:tc>
          <w:tcPr>
            <w:tcW w:w="334" w:type="pct"/>
            <w:shd w:val="clear" w:color="auto" w:fill="auto"/>
            <w:vAlign w:val="center"/>
          </w:tcPr>
          <w:p w14:paraId="0014D44F" w14:textId="77777777" w:rsidR="00024F56" w:rsidRDefault="0022519B">
            <w:pPr>
              <w:jc w:val="center"/>
              <w:rPr>
                <w:rFonts w:ascii="Times New Roman" w:eastAsia="Times New Roman" w:hAnsi="Times New Roman" w:cs="Times New Roman"/>
                <w:sz w:val="20"/>
                <w:szCs w:val="20"/>
                <w:lang w:val="en-GB" w:eastAsia="en-GB"/>
              </w:rPr>
            </w:pPr>
            <w:r>
              <w:rPr>
                <w:rFonts w:ascii="Times New Roman" w:eastAsia="Times New Roman" w:hAnsi="Times New Roman" w:cs="Times New Roman"/>
                <w:sz w:val="20"/>
                <w:szCs w:val="20"/>
                <w:lang w:val="en-GB" w:eastAsia="en-GB"/>
              </w:rPr>
              <w:t>15b</w:t>
            </w:r>
          </w:p>
        </w:tc>
        <w:tc>
          <w:tcPr>
            <w:tcW w:w="393" w:type="pct"/>
            <w:shd w:val="clear" w:color="auto" w:fill="auto"/>
            <w:vAlign w:val="center"/>
          </w:tcPr>
          <w:p w14:paraId="3A219609" w14:textId="77777777" w:rsidR="00024F56" w:rsidRDefault="0022519B">
            <w:pPr>
              <w:jc w:val="center"/>
              <w:rPr>
                <w:rFonts w:ascii="Times New Roman" w:eastAsia="Times New Roman" w:hAnsi="Times New Roman" w:cs="Times New Roman"/>
                <w:sz w:val="20"/>
                <w:szCs w:val="20"/>
                <w:lang w:val="en-GB" w:eastAsia="en-GB"/>
              </w:rPr>
            </w:pPr>
            <w:r>
              <w:rPr>
                <w:rFonts w:ascii="Times New Roman" w:eastAsia="Times New Roman" w:hAnsi="Times New Roman" w:cs="Times New Roman"/>
                <w:sz w:val="20"/>
                <w:szCs w:val="20"/>
                <w:lang w:val="en-GB" w:eastAsia="en-GB"/>
              </w:rPr>
              <w:t>D</w:t>
            </w:r>
          </w:p>
        </w:tc>
        <w:tc>
          <w:tcPr>
            <w:tcW w:w="3088" w:type="pct"/>
            <w:shd w:val="clear" w:color="auto" w:fill="auto"/>
            <w:vAlign w:val="center"/>
          </w:tcPr>
          <w:p w14:paraId="35859C75" w14:textId="77777777" w:rsidR="00024F56" w:rsidRDefault="0022519B">
            <w:pPr>
              <w:tabs>
                <w:tab w:val="left" w:pos="459"/>
              </w:tabs>
              <w:contextualSpacing/>
              <w:jc w:val="left"/>
              <w:rPr>
                <w:rFonts w:ascii="Times New Roman" w:eastAsia="Cambria" w:hAnsi="Times New Roman" w:cs="Times New Roman"/>
                <w:sz w:val="20"/>
                <w:szCs w:val="20"/>
                <w:lang w:val="en-GB" w:eastAsia="en-GB"/>
              </w:rPr>
            </w:pPr>
            <w:r>
              <w:rPr>
                <w:rFonts w:ascii="Times New Roman" w:eastAsia="Cambria" w:hAnsi="Times New Roman" w:cs="Times New Roman"/>
                <w:sz w:val="20"/>
                <w:szCs w:val="20"/>
                <w:lang w:val="en-GB" w:eastAsia="en-GB"/>
              </w:rPr>
              <w:t>Explain how to the use the prediction model.</w:t>
            </w:r>
          </w:p>
        </w:tc>
        <w:tc>
          <w:tcPr>
            <w:tcW w:w="314" w:type="pct"/>
            <w:shd w:val="clear" w:color="auto" w:fill="auto"/>
            <w:vAlign w:val="center"/>
          </w:tcPr>
          <w:p w14:paraId="61D01622" w14:textId="77777777" w:rsidR="00024F56" w:rsidRDefault="0022519B">
            <w:pPr>
              <w:contextualSpacing/>
              <w:jc w:val="center"/>
              <w:rPr>
                <w:rFonts w:ascii="Times New Roman" w:eastAsia="宋体" w:hAnsi="Times New Roman" w:cs="Times New Roman"/>
                <w:sz w:val="20"/>
                <w:szCs w:val="20"/>
                <w:lang w:val="en-GB" w:eastAsia="en-GB"/>
              </w:rPr>
            </w:pPr>
            <w:r>
              <w:rPr>
                <w:rFonts w:ascii="Times New Roman" w:eastAsia="宋体" w:hAnsi="Times New Roman" w:cs="Times New Roman"/>
                <w:sz w:val="20"/>
                <w:szCs w:val="20"/>
                <w:lang w:val="en-GB" w:eastAsia="en-GB"/>
              </w:rPr>
              <w:t>Yes</w:t>
            </w:r>
          </w:p>
        </w:tc>
      </w:tr>
      <w:tr w:rsidR="00024F56" w14:paraId="56CCC2A0" w14:textId="77777777">
        <w:trPr>
          <w:tblHeader/>
        </w:trPr>
        <w:tc>
          <w:tcPr>
            <w:tcW w:w="868" w:type="pct"/>
            <w:shd w:val="clear" w:color="auto" w:fill="auto"/>
            <w:vAlign w:val="center"/>
          </w:tcPr>
          <w:p w14:paraId="7509CC98" w14:textId="77777777" w:rsidR="00024F56" w:rsidRDefault="0022519B">
            <w:pPr>
              <w:rPr>
                <w:rFonts w:ascii="Times New Roman" w:eastAsia="Times New Roman" w:hAnsi="Times New Roman" w:cs="Times New Roman"/>
                <w:sz w:val="20"/>
                <w:szCs w:val="20"/>
                <w:lang w:val="en-GB" w:eastAsia="en-GB"/>
              </w:rPr>
            </w:pPr>
            <w:r>
              <w:rPr>
                <w:rFonts w:ascii="Times New Roman" w:eastAsia="Times New Roman" w:hAnsi="Times New Roman" w:cs="Times New Roman"/>
                <w:sz w:val="20"/>
                <w:szCs w:val="20"/>
                <w:lang w:val="en-GB" w:eastAsia="en-GB"/>
              </w:rPr>
              <w:t>Model performance</w:t>
            </w:r>
          </w:p>
        </w:tc>
        <w:tc>
          <w:tcPr>
            <w:tcW w:w="334" w:type="pct"/>
            <w:shd w:val="clear" w:color="auto" w:fill="auto"/>
            <w:vAlign w:val="center"/>
          </w:tcPr>
          <w:p w14:paraId="13FAD869" w14:textId="77777777" w:rsidR="00024F56" w:rsidRDefault="0022519B">
            <w:pPr>
              <w:jc w:val="center"/>
              <w:rPr>
                <w:rFonts w:ascii="Times New Roman" w:eastAsia="Times New Roman" w:hAnsi="Times New Roman" w:cs="Times New Roman"/>
                <w:sz w:val="20"/>
                <w:szCs w:val="20"/>
                <w:lang w:val="en-GB" w:eastAsia="en-GB"/>
              </w:rPr>
            </w:pPr>
            <w:r>
              <w:rPr>
                <w:rFonts w:ascii="Times New Roman" w:eastAsia="Times New Roman" w:hAnsi="Times New Roman" w:cs="Times New Roman"/>
                <w:sz w:val="20"/>
                <w:szCs w:val="20"/>
                <w:lang w:val="en-GB" w:eastAsia="en-GB"/>
              </w:rPr>
              <w:t>16</w:t>
            </w:r>
          </w:p>
        </w:tc>
        <w:tc>
          <w:tcPr>
            <w:tcW w:w="393" w:type="pct"/>
            <w:shd w:val="clear" w:color="auto" w:fill="auto"/>
            <w:vAlign w:val="center"/>
          </w:tcPr>
          <w:p w14:paraId="194CEAEB" w14:textId="77777777" w:rsidR="00024F56" w:rsidRDefault="0022519B">
            <w:pPr>
              <w:jc w:val="center"/>
              <w:rPr>
                <w:rFonts w:ascii="Times New Roman" w:eastAsia="Times New Roman" w:hAnsi="Times New Roman" w:cs="Times New Roman"/>
                <w:sz w:val="20"/>
                <w:szCs w:val="20"/>
                <w:lang w:val="en-GB" w:eastAsia="en-GB"/>
              </w:rPr>
            </w:pPr>
            <w:r>
              <w:rPr>
                <w:rFonts w:ascii="Times New Roman" w:eastAsia="Times New Roman" w:hAnsi="Times New Roman" w:cs="Times New Roman"/>
                <w:sz w:val="20"/>
                <w:szCs w:val="20"/>
                <w:lang w:val="en-GB" w:eastAsia="en-GB"/>
              </w:rPr>
              <w:t>D; V</w:t>
            </w:r>
          </w:p>
        </w:tc>
        <w:tc>
          <w:tcPr>
            <w:tcW w:w="3088" w:type="pct"/>
            <w:shd w:val="clear" w:color="auto" w:fill="auto"/>
            <w:vAlign w:val="center"/>
          </w:tcPr>
          <w:p w14:paraId="36DD0ABE" w14:textId="77777777" w:rsidR="00024F56" w:rsidRDefault="0022519B">
            <w:pPr>
              <w:tabs>
                <w:tab w:val="left" w:pos="459"/>
              </w:tabs>
              <w:contextualSpacing/>
              <w:jc w:val="left"/>
              <w:rPr>
                <w:rFonts w:ascii="Times New Roman" w:eastAsia="Cambria" w:hAnsi="Times New Roman" w:cs="Times New Roman"/>
                <w:sz w:val="20"/>
                <w:szCs w:val="20"/>
                <w:lang w:val="en-GB" w:eastAsia="en-GB"/>
              </w:rPr>
            </w:pPr>
            <w:r>
              <w:rPr>
                <w:rFonts w:ascii="Times New Roman" w:eastAsia="Cambria" w:hAnsi="Times New Roman" w:cs="Times New Roman"/>
                <w:sz w:val="20"/>
                <w:szCs w:val="20"/>
                <w:lang w:val="en-GB" w:eastAsia="en-GB"/>
              </w:rPr>
              <w:t xml:space="preserve">Report performance measures (with </w:t>
            </w:r>
            <w:r>
              <w:rPr>
                <w:rFonts w:ascii="Times New Roman" w:eastAsia="Cambria" w:hAnsi="Times New Roman" w:cs="Times New Roman"/>
                <w:sz w:val="20"/>
                <w:szCs w:val="20"/>
                <w:lang w:val="en-GB" w:eastAsia="en-GB"/>
              </w:rPr>
              <w:t>CIs) for the prediction model.</w:t>
            </w:r>
          </w:p>
        </w:tc>
        <w:tc>
          <w:tcPr>
            <w:tcW w:w="314" w:type="pct"/>
            <w:shd w:val="clear" w:color="auto" w:fill="auto"/>
            <w:vAlign w:val="center"/>
          </w:tcPr>
          <w:p w14:paraId="58F1FEE7" w14:textId="77777777" w:rsidR="00024F56" w:rsidRDefault="0022519B">
            <w:pPr>
              <w:jc w:val="left"/>
              <w:rPr>
                <w:rFonts w:ascii="Times New Roman" w:eastAsia="宋体" w:hAnsi="Times New Roman" w:cs="Times New Roman"/>
                <w:sz w:val="20"/>
                <w:szCs w:val="20"/>
              </w:rPr>
            </w:pPr>
            <w:r>
              <w:rPr>
                <w:rFonts w:ascii="Times New Roman" w:eastAsia="Cambria" w:hAnsi="Times New Roman" w:cs="Times New Roman"/>
                <w:sz w:val="20"/>
                <w:szCs w:val="20"/>
                <w:lang w:val="en-GB" w:eastAsia="en-GB"/>
              </w:rPr>
              <w:t>NaN</w:t>
            </w:r>
          </w:p>
        </w:tc>
      </w:tr>
      <w:tr w:rsidR="00024F56" w14:paraId="71807286" w14:textId="77777777">
        <w:trPr>
          <w:tblHeader/>
        </w:trPr>
        <w:tc>
          <w:tcPr>
            <w:tcW w:w="868" w:type="pct"/>
            <w:shd w:val="clear" w:color="auto" w:fill="auto"/>
            <w:vAlign w:val="center"/>
          </w:tcPr>
          <w:p w14:paraId="085364BF" w14:textId="77777777" w:rsidR="00024F56" w:rsidRDefault="0022519B">
            <w:pPr>
              <w:rPr>
                <w:rFonts w:ascii="Times New Roman" w:eastAsia="Times New Roman" w:hAnsi="Times New Roman" w:cs="Times New Roman"/>
                <w:sz w:val="20"/>
                <w:szCs w:val="20"/>
                <w:lang w:val="en-GB" w:eastAsia="en-GB"/>
              </w:rPr>
            </w:pPr>
            <w:r>
              <w:rPr>
                <w:rFonts w:ascii="Times New Roman" w:eastAsia="Times New Roman" w:hAnsi="Times New Roman" w:cs="Times New Roman"/>
                <w:sz w:val="20"/>
                <w:szCs w:val="20"/>
                <w:lang w:val="en-GB" w:eastAsia="en-GB"/>
              </w:rPr>
              <w:t>Model-updating</w:t>
            </w:r>
          </w:p>
        </w:tc>
        <w:tc>
          <w:tcPr>
            <w:tcW w:w="334" w:type="pct"/>
            <w:shd w:val="clear" w:color="auto" w:fill="auto"/>
            <w:vAlign w:val="center"/>
          </w:tcPr>
          <w:p w14:paraId="024CA717" w14:textId="77777777" w:rsidR="00024F56" w:rsidRDefault="0022519B">
            <w:pPr>
              <w:jc w:val="center"/>
              <w:rPr>
                <w:rFonts w:ascii="Times New Roman" w:eastAsia="Times New Roman" w:hAnsi="Times New Roman" w:cs="Times New Roman"/>
                <w:sz w:val="20"/>
                <w:szCs w:val="20"/>
                <w:lang w:val="en-GB" w:eastAsia="en-GB"/>
              </w:rPr>
            </w:pPr>
            <w:r>
              <w:rPr>
                <w:rFonts w:ascii="Times New Roman" w:eastAsia="Times New Roman" w:hAnsi="Times New Roman" w:cs="Times New Roman"/>
                <w:sz w:val="20"/>
                <w:szCs w:val="20"/>
                <w:lang w:val="en-GB" w:eastAsia="en-GB"/>
              </w:rPr>
              <w:t>17</w:t>
            </w:r>
          </w:p>
        </w:tc>
        <w:tc>
          <w:tcPr>
            <w:tcW w:w="393" w:type="pct"/>
            <w:shd w:val="clear" w:color="auto" w:fill="auto"/>
            <w:vAlign w:val="center"/>
          </w:tcPr>
          <w:p w14:paraId="51B2DD91" w14:textId="77777777" w:rsidR="00024F56" w:rsidRDefault="0022519B">
            <w:pPr>
              <w:jc w:val="center"/>
              <w:rPr>
                <w:rFonts w:ascii="Times New Roman" w:eastAsia="Times New Roman" w:hAnsi="Times New Roman" w:cs="Times New Roman"/>
                <w:sz w:val="20"/>
                <w:szCs w:val="20"/>
                <w:lang w:val="en-GB" w:eastAsia="en-GB"/>
              </w:rPr>
            </w:pPr>
            <w:r>
              <w:rPr>
                <w:rFonts w:ascii="Times New Roman" w:eastAsia="Times New Roman" w:hAnsi="Times New Roman" w:cs="Times New Roman"/>
                <w:sz w:val="20"/>
                <w:szCs w:val="20"/>
                <w:lang w:val="en-GB" w:eastAsia="en-GB"/>
              </w:rPr>
              <w:t>V</w:t>
            </w:r>
          </w:p>
        </w:tc>
        <w:tc>
          <w:tcPr>
            <w:tcW w:w="3088" w:type="pct"/>
            <w:shd w:val="clear" w:color="auto" w:fill="auto"/>
            <w:vAlign w:val="center"/>
          </w:tcPr>
          <w:p w14:paraId="55EAF711" w14:textId="77777777" w:rsidR="00024F56" w:rsidRDefault="0022519B">
            <w:pPr>
              <w:tabs>
                <w:tab w:val="left" w:pos="459"/>
              </w:tabs>
              <w:jc w:val="left"/>
              <w:rPr>
                <w:rFonts w:ascii="Times New Roman" w:eastAsia="Times New Roman" w:hAnsi="Times New Roman" w:cs="Times New Roman"/>
                <w:sz w:val="20"/>
                <w:szCs w:val="20"/>
                <w:lang w:val="en-GB" w:eastAsia="en-GB"/>
              </w:rPr>
            </w:pPr>
            <w:r>
              <w:rPr>
                <w:rFonts w:ascii="Times New Roman" w:eastAsia="Times New Roman" w:hAnsi="Times New Roman" w:cs="Times New Roman"/>
                <w:sz w:val="20"/>
                <w:szCs w:val="20"/>
                <w:lang w:val="en-GB" w:eastAsia="en-GB"/>
              </w:rPr>
              <w:t>If done, report the results from any model updating (i.e., model specification, model performance).</w:t>
            </w:r>
          </w:p>
        </w:tc>
        <w:tc>
          <w:tcPr>
            <w:tcW w:w="314" w:type="pct"/>
            <w:shd w:val="clear" w:color="auto" w:fill="auto"/>
            <w:vAlign w:val="center"/>
          </w:tcPr>
          <w:p w14:paraId="32152D87" w14:textId="77777777" w:rsidR="00024F56" w:rsidRDefault="0022519B">
            <w:pPr>
              <w:contextualSpacing/>
              <w:jc w:val="center"/>
              <w:rPr>
                <w:rFonts w:ascii="Times New Roman" w:eastAsia="Cambria" w:hAnsi="Times New Roman" w:cs="Times New Roman"/>
                <w:sz w:val="20"/>
                <w:szCs w:val="20"/>
                <w:lang w:val="en-GB" w:eastAsia="en-GB"/>
              </w:rPr>
            </w:pPr>
            <w:bookmarkStart w:id="18" w:name="OLE_LINK12"/>
            <w:r>
              <w:rPr>
                <w:rFonts w:ascii="Times New Roman" w:eastAsia="Cambria" w:hAnsi="Times New Roman" w:cs="Times New Roman"/>
                <w:sz w:val="20"/>
                <w:szCs w:val="20"/>
                <w:lang w:val="en-GB" w:eastAsia="en-GB"/>
              </w:rPr>
              <w:t>NaN</w:t>
            </w:r>
            <w:bookmarkEnd w:id="18"/>
          </w:p>
        </w:tc>
      </w:tr>
      <w:tr w:rsidR="00024F56" w14:paraId="5F76528A" w14:textId="77777777">
        <w:trPr>
          <w:tblHeader/>
        </w:trPr>
        <w:tc>
          <w:tcPr>
            <w:tcW w:w="5000" w:type="pct"/>
            <w:gridSpan w:val="5"/>
            <w:shd w:val="clear" w:color="auto" w:fill="F7CAAC"/>
          </w:tcPr>
          <w:p w14:paraId="67B680C1" w14:textId="77777777" w:rsidR="00024F56" w:rsidRDefault="0022519B">
            <w:pPr>
              <w:rPr>
                <w:rFonts w:ascii="Times New Roman" w:eastAsia="Times New Roman" w:hAnsi="Times New Roman" w:cs="Times New Roman"/>
                <w:b/>
                <w:sz w:val="20"/>
                <w:szCs w:val="20"/>
                <w:lang w:val="en-GB" w:eastAsia="en-GB"/>
              </w:rPr>
            </w:pPr>
            <w:r>
              <w:rPr>
                <w:rFonts w:ascii="Times New Roman" w:eastAsia="Times New Roman" w:hAnsi="Times New Roman" w:cs="Times New Roman"/>
                <w:b/>
                <w:sz w:val="20"/>
                <w:szCs w:val="20"/>
                <w:lang w:val="en-GB" w:eastAsia="en-GB"/>
              </w:rPr>
              <w:t>Discussion</w:t>
            </w:r>
          </w:p>
        </w:tc>
      </w:tr>
      <w:tr w:rsidR="00024F56" w14:paraId="24983706" w14:textId="77777777">
        <w:trPr>
          <w:tblHeader/>
        </w:trPr>
        <w:tc>
          <w:tcPr>
            <w:tcW w:w="868" w:type="pct"/>
            <w:shd w:val="clear" w:color="auto" w:fill="auto"/>
            <w:vAlign w:val="center"/>
          </w:tcPr>
          <w:p w14:paraId="59495D96" w14:textId="77777777" w:rsidR="00024F56" w:rsidRDefault="0022519B">
            <w:pPr>
              <w:rPr>
                <w:rFonts w:ascii="Times New Roman" w:eastAsia="Times New Roman" w:hAnsi="Times New Roman" w:cs="Times New Roman"/>
                <w:b/>
                <w:sz w:val="20"/>
                <w:szCs w:val="20"/>
                <w:lang w:val="en-GB" w:eastAsia="en-GB"/>
              </w:rPr>
            </w:pPr>
            <w:r>
              <w:rPr>
                <w:rFonts w:ascii="Times New Roman" w:eastAsia="Times New Roman" w:hAnsi="Times New Roman" w:cs="Times New Roman"/>
                <w:sz w:val="20"/>
                <w:szCs w:val="20"/>
                <w:lang w:val="en-GB" w:eastAsia="en-GB"/>
              </w:rPr>
              <w:t>Limitations</w:t>
            </w:r>
          </w:p>
        </w:tc>
        <w:tc>
          <w:tcPr>
            <w:tcW w:w="334" w:type="pct"/>
            <w:shd w:val="clear" w:color="auto" w:fill="auto"/>
            <w:vAlign w:val="center"/>
          </w:tcPr>
          <w:p w14:paraId="6E981B15" w14:textId="77777777" w:rsidR="00024F56" w:rsidRDefault="0022519B">
            <w:pPr>
              <w:jc w:val="center"/>
              <w:rPr>
                <w:rFonts w:ascii="Times New Roman" w:eastAsia="Times New Roman" w:hAnsi="Times New Roman" w:cs="Times New Roman"/>
                <w:sz w:val="20"/>
                <w:szCs w:val="20"/>
                <w:lang w:val="en-GB" w:eastAsia="en-GB"/>
              </w:rPr>
            </w:pPr>
            <w:r>
              <w:rPr>
                <w:rFonts w:ascii="Times New Roman" w:eastAsia="Times New Roman" w:hAnsi="Times New Roman" w:cs="Times New Roman"/>
                <w:sz w:val="20"/>
                <w:szCs w:val="20"/>
                <w:lang w:val="en-GB" w:eastAsia="en-GB"/>
              </w:rPr>
              <w:t>18</w:t>
            </w:r>
          </w:p>
        </w:tc>
        <w:tc>
          <w:tcPr>
            <w:tcW w:w="393" w:type="pct"/>
            <w:shd w:val="clear" w:color="auto" w:fill="auto"/>
            <w:vAlign w:val="center"/>
          </w:tcPr>
          <w:p w14:paraId="5C53DB6E" w14:textId="77777777" w:rsidR="00024F56" w:rsidRDefault="0022519B">
            <w:pPr>
              <w:jc w:val="center"/>
              <w:rPr>
                <w:rFonts w:ascii="Times New Roman" w:eastAsia="Times New Roman" w:hAnsi="Times New Roman" w:cs="Times New Roman"/>
                <w:sz w:val="20"/>
                <w:szCs w:val="20"/>
                <w:lang w:val="en-GB" w:eastAsia="en-GB"/>
              </w:rPr>
            </w:pPr>
            <w:r>
              <w:rPr>
                <w:rFonts w:ascii="Times New Roman" w:eastAsia="Times New Roman" w:hAnsi="Times New Roman" w:cs="Times New Roman"/>
                <w:sz w:val="20"/>
                <w:szCs w:val="20"/>
                <w:lang w:val="en-GB" w:eastAsia="en-GB"/>
              </w:rPr>
              <w:t>D; V</w:t>
            </w:r>
          </w:p>
        </w:tc>
        <w:tc>
          <w:tcPr>
            <w:tcW w:w="3088" w:type="pct"/>
            <w:shd w:val="clear" w:color="auto" w:fill="auto"/>
            <w:vAlign w:val="center"/>
          </w:tcPr>
          <w:p w14:paraId="1815ECE5" w14:textId="77777777" w:rsidR="00024F56" w:rsidRDefault="0022519B">
            <w:pPr>
              <w:jc w:val="left"/>
              <w:rPr>
                <w:rFonts w:ascii="Times New Roman" w:eastAsia="Times New Roman" w:hAnsi="Times New Roman" w:cs="Times New Roman"/>
                <w:sz w:val="20"/>
                <w:szCs w:val="20"/>
                <w:lang w:val="en-GB" w:eastAsia="en-GB"/>
              </w:rPr>
            </w:pPr>
            <w:r>
              <w:rPr>
                <w:rFonts w:ascii="Times New Roman" w:eastAsia="Times New Roman" w:hAnsi="Times New Roman" w:cs="Times New Roman"/>
                <w:sz w:val="20"/>
                <w:szCs w:val="20"/>
                <w:lang w:val="en-GB" w:eastAsia="en-GB"/>
              </w:rPr>
              <w:t xml:space="preserve">Discuss any limitations of the study (such as nonrepresentative sample, few events per predictor, missing data). </w:t>
            </w:r>
          </w:p>
        </w:tc>
        <w:tc>
          <w:tcPr>
            <w:tcW w:w="314" w:type="pct"/>
            <w:shd w:val="clear" w:color="auto" w:fill="auto"/>
            <w:vAlign w:val="center"/>
          </w:tcPr>
          <w:p w14:paraId="1C2DD02E" w14:textId="77777777" w:rsidR="00024F56" w:rsidRDefault="0022519B">
            <w:pPr>
              <w:jc w:val="center"/>
              <w:rPr>
                <w:rFonts w:ascii="Times New Roman" w:eastAsia="宋体" w:hAnsi="Times New Roman" w:cs="Times New Roman"/>
                <w:sz w:val="20"/>
                <w:szCs w:val="20"/>
                <w:lang w:val="en-GB" w:eastAsia="en-GB"/>
              </w:rPr>
            </w:pPr>
            <w:r>
              <w:rPr>
                <w:rFonts w:ascii="Times New Roman" w:eastAsia="宋体" w:hAnsi="Times New Roman" w:cs="Times New Roman"/>
                <w:sz w:val="20"/>
                <w:szCs w:val="20"/>
                <w:lang w:val="en-GB" w:eastAsia="en-GB"/>
              </w:rPr>
              <w:t>Yes</w:t>
            </w:r>
          </w:p>
        </w:tc>
      </w:tr>
      <w:tr w:rsidR="00024F56" w14:paraId="359EE3CB" w14:textId="77777777">
        <w:trPr>
          <w:tblHeader/>
        </w:trPr>
        <w:tc>
          <w:tcPr>
            <w:tcW w:w="868" w:type="pct"/>
            <w:vMerge w:val="restart"/>
            <w:shd w:val="clear" w:color="auto" w:fill="auto"/>
            <w:vAlign w:val="center"/>
          </w:tcPr>
          <w:p w14:paraId="7E83B180" w14:textId="77777777" w:rsidR="00024F56" w:rsidRDefault="0022519B">
            <w:pPr>
              <w:rPr>
                <w:rFonts w:ascii="Times New Roman" w:eastAsia="Times New Roman" w:hAnsi="Times New Roman" w:cs="Times New Roman"/>
                <w:b/>
                <w:sz w:val="20"/>
                <w:szCs w:val="20"/>
                <w:lang w:val="en-GB" w:eastAsia="en-GB"/>
              </w:rPr>
            </w:pPr>
            <w:r>
              <w:rPr>
                <w:rFonts w:ascii="Times New Roman" w:eastAsia="Times New Roman" w:hAnsi="Times New Roman" w:cs="Times New Roman"/>
                <w:sz w:val="20"/>
                <w:szCs w:val="20"/>
                <w:lang w:val="en-GB" w:eastAsia="en-GB"/>
              </w:rPr>
              <w:t>Interpretation</w:t>
            </w:r>
          </w:p>
        </w:tc>
        <w:tc>
          <w:tcPr>
            <w:tcW w:w="334" w:type="pct"/>
            <w:shd w:val="clear" w:color="auto" w:fill="auto"/>
            <w:vAlign w:val="center"/>
          </w:tcPr>
          <w:p w14:paraId="1D3D70EA" w14:textId="77777777" w:rsidR="00024F56" w:rsidRDefault="0022519B">
            <w:pPr>
              <w:jc w:val="center"/>
              <w:rPr>
                <w:rFonts w:ascii="Times New Roman" w:eastAsia="Times New Roman" w:hAnsi="Times New Roman" w:cs="Times New Roman"/>
                <w:sz w:val="20"/>
                <w:szCs w:val="20"/>
                <w:lang w:val="en-GB" w:eastAsia="en-GB"/>
              </w:rPr>
            </w:pPr>
            <w:r>
              <w:rPr>
                <w:rFonts w:ascii="Times New Roman" w:eastAsia="Times New Roman" w:hAnsi="Times New Roman" w:cs="Times New Roman"/>
                <w:sz w:val="20"/>
                <w:szCs w:val="20"/>
                <w:lang w:val="en-GB" w:eastAsia="en-GB"/>
              </w:rPr>
              <w:t>19a</w:t>
            </w:r>
          </w:p>
        </w:tc>
        <w:tc>
          <w:tcPr>
            <w:tcW w:w="393" w:type="pct"/>
            <w:shd w:val="clear" w:color="auto" w:fill="auto"/>
            <w:vAlign w:val="center"/>
          </w:tcPr>
          <w:p w14:paraId="59218CC2" w14:textId="77777777" w:rsidR="00024F56" w:rsidRDefault="0022519B">
            <w:pPr>
              <w:jc w:val="center"/>
              <w:rPr>
                <w:rFonts w:ascii="Times New Roman" w:eastAsia="Times New Roman" w:hAnsi="Times New Roman" w:cs="Times New Roman"/>
                <w:sz w:val="20"/>
                <w:szCs w:val="20"/>
                <w:lang w:val="en-GB" w:eastAsia="en-GB"/>
              </w:rPr>
            </w:pPr>
            <w:r>
              <w:rPr>
                <w:rFonts w:ascii="Times New Roman" w:eastAsia="Times New Roman" w:hAnsi="Times New Roman" w:cs="Times New Roman"/>
                <w:sz w:val="20"/>
                <w:szCs w:val="20"/>
                <w:lang w:val="en-GB" w:eastAsia="en-GB"/>
              </w:rPr>
              <w:t>V</w:t>
            </w:r>
          </w:p>
        </w:tc>
        <w:tc>
          <w:tcPr>
            <w:tcW w:w="3088" w:type="pct"/>
            <w:shd w:val="clear" w:color="auto" w:fill="auto"/>
            <w:vAlign w:val="center"/>
          </w:tcPr>
          <w:p w14:paraId="7721E0D0" w14:textId="77777777" w:rsidR="00024F56" w:rsidRDefault="0022519B">
            <w:pPr>
              <w:tabs>
                <w:tab w:val="left" w:pos="459"/>
              </w:tabs>
              <w:contextualSpacing/>
              <w:jc w:val="left"/>
              <w:rPr>
                <w:rFonts w:ascii="Times New Roman" w:eastAsia="Cambria" w:hAnsi="Times New Roman" w:cs="Times New Roman"/>
                <w:sz w:val="20"/>
                <w:szCs w:val="20"/>
                <w:lang w:val="en-GB" w:eastAsia="en-GB"/>
              </w:rPr>
            </w:pPr>
            <w:r>
              <w:rPr>
                <w:rFonts w:ascii="Times New Roman" w:eastAsia="Cambria" w:hAnsi="Times New Roman" w:cs="Times New Roman"/>
                <w:sz w:val="20"/>
                <w:szCs w:val="20"/>
                <w:lang w:val="en-GB" w:eastAsia="en-GB"/>
              </w:rPr>
              <w:t xml:space="preserve">For validation, discuss the results with reference to performance in the development data, and any other validation data. </w:t>
            </w:r>
          </w:p>
        </w:tc>
        <w:tc>
          <w:tcPr>
            <w:tcW w:w="314" w:type="pct"/>
            <w:shd w:val="clear" w:color="auto" w:fill="auto"/>
            <w:vAlign w:val="center"/>
          </w:tcPr>
          <w:p w14:paraId="69BA92CE" w14:textId="77777777" w:rsidR="00024F56" w:rsidRDefault="0022519B">
            <w:pPr>
              <w:contextualSpacing/>
              <w:jc w:val="center"/>
              <w:rPr>
                <w:rFonts w:ascii="Times New Roman" w:eastAsia="宋体" w:hAnsi="Times New Roman" w:cs="Times New Roman"/>
                <w:sz w:val="20"/>
                <w:szCs w:val="20"/>
                <w:lang w:val="en-GB" w:eastAsia="en-GB"/>
              </w:rPr>
            </w:pPr>
            <w:r>
              <w:rPr>
                <w:rFonts w:ascii="Times New Roman" w:eastAsia="宋体" w:hAnsi="Times New Roman" w:cs="Times New Roman"/>
                <w:sz w:val="20"/>
                <w:szCs w:val="20"/>
                <w:lang w:val="en-GB" w:eastAsia="en-GB"/>
              </w:rPr>
              <w:t>Yes</w:t>
            </w:r>
          </w:p>
        </w:tc>
      </w:tr>
      <w:tr w:rsidR="00024F56" w14:paraId="68355F68" w14:textId="77777777">
        <w:trPr>
          <w:tblHeader/>
        </w:trPr>
        <w:tc>
          <w:tcPr>
            <w:tcW w:w="868" w:type="pct"/>
            <w:vMerge/>
            <w:shd w:val="clear" w:color="auto" w:fill="auto"/>
            <w:vAlign w:val="center"/>
          </w:tcPr>
          <w:p w14:paraId="2B95BF5C" w14:textId="77777777" w:rsidR="00024F56" w:rsidRDefault="00024F56">
            <w:pPr>
              <w:rPr>
                <w:rFonts w:ascii="Times New Roman" w:eastAsia="Times New Roman" w:hAnsi="Times New Roman" w:cs="Times New Roman"/>
                <w:sz w:val="20"/>
                <w:szCs w:val="20"/>
                <w:lang w:val="en-GB" w:eastAsia="en-GB"/>
              </w:rPr>
            </w:pPr>
          </w:p>
        </w:tc>
        <w:tc>
          <w:tcPr>
            <w:tcW w:w="334" w:type="pct"/>
            <w:shd w:val="clear" w:color="auto" w:fill="auto"/>
            <w:vAlign w:val="center"/>
          </w:tcPr>
          <w:p w14:paraId="2ADAF361" w14:textId="77777777" w:rsidR="00024F56" w:rsidRDefault="0022519B">
            <w:pPr>
              <w:jc w:val="center"/>
              <w:rPr>
                <w:rFonts w:ascii="Times New Roman" w:eastAsia="Times New Roman" w:hAnsi="Times New Roman" w:cs="Times New Roman"/>
                <w:sz w:val="20"/>
                <w:szCs w:val="20"/>
                <w:lang w:val="en-GB" w:eastAsia="en-GB"/>
              </w:rPr>
            </w:pPr>
            <w:r>
              <w:rPr>
                <w:rFonts w:ascii="Times New Roman" w:eastAsia="Times New Roman" w:hAnsi="Times New Roman" w:cs="Times New Roman"/>
                <w:sz w:val="20"/>
                <w:szCs w:val="20"/>
                <w:lang w:val="en-GB" w:eastAsia="en-GB"/>
              </w:rPr>
              <w:t>19b</w:t>
            </w:r>
          </w:p>
        </w:tc>
        <w:tc>
          <w:tcPr>
            <w:tcW w:w="393" w:type="pct"/>
            <w:shd w:val="clear" w:color="auto" w:fill="auto"/>
            <w:vAlign w:val="center"/>
          </w:tcPr>
          <w:p w14:paraId="2CB7AA9A" w14:textId="77777777" w:rsidR="00024F56" w:rsidRDefault="0022519B">
            <w:pPr>
              <w:jc w:val="center"/>
              <w:rPr>
                <w:rFonts w:ascii="Times New Roman" w:eastAsia="Times New Roman" w:hAnsi="Times New Roman" w:cs="Times New Roman"/>
                <w:sz w:val="20"/>
                <w:szCs w:val="20"/>
                <w:lang w:val="en-GB" w:eastAsia="en-GB"/>
              </w:rPr>
            </w:pPr>
            <w:r>
              <w:rPr>
                <w:rFonts w:ascii="Times New Roman" w:eastAsia="Times New Roman" w:hAnsi="Times New Roman" w:cs="Times New Roman"/>
                <w:sz w:val="20"/>
                <w:szCs w:val="20"/>
                <w:lang w:val="en-GB" w:eastAsia="en-GB"/>
              </w:rPr>
              <w:t>D; V</w:t>
            </w:r>
          </w:p>
        </w:tc>
        <w:tc>
          <w:tcPr>
            <w:tcW w:w="3088" w:type="pct"/>
            <w:shd w:val="clear" w:color="auto" w:fill="auto"/>
            <w:vAlign w:val="center"/>
          </w:tcPr>
          <w:p w14:paraId="1D18B209" w14:textId="77777777" w:rsidR="00024F56" w:rsidRDefault="0022519B">
            <w:pPr>
              <w:tabs>
                <w:tab w:val="left" w:pos="459"/>
              </w:tabs>
              <w:contextualSpacing/>
              <w:jc w:val="left"/>
              <w:rPr>
                <w:rFonts w:ascii="Times New Roman" w:eastAsia="Cambria" w:hAnsi="Times New Roman" w:cs="Times New Roman"/>
                <w:sz w:val="20"/>
                <w:szCs w:val="20"/>
                <w:lang w:val="en-GB" w:eastAsia="en-GB"/>
              </w:rPr>
            </w:pPr>
            <w:r>
              <w:rPr>
                <w:rFonts w:ascii="Times New Roman" w:eastAsia="Cambria" w:hAnsi="Times New Roman" w:cs="Times New Roman"/>
                <w:sz w:val="20"/>
                <w:szCs w:val="20"/>
                <w:lang w:val="en-GB" w:eastAsia="en-GB"/>
              </w:rPr>
              <w:t xml:space="preserve">Give an overall interpretation of the results, considering objectives, limitations, results from similar studies, and </w:t>
            </w:r>
            <w:r>
              <w:rPr>
                <w:rFonts w:ascii="Times New Roman" w:eastAsia="Cambria" w:hAnsi="Times New Roman" w:cs="Times New Roman"/>
                <w:sz w:val="20"/>
                <w:szCs w:val="20"/>
                <w:lang w:val="en-GB" w:eastAsia="en-GB"/>
              </w:rPr>
              <w:t xml:space="preserve">other relevant evidence. </w:t>
            </w:r>
          </w:p>
        </w:tc>
        <w:tc>
          <w:tcPr>
            <w:tcW w:w="314" w:type="pct"/>
            <w:shd w:val="clear" w:color="auto" w:fill="auto"/>
            <w:vAlign w:val="center"/>
          </w:tcPr>
          <w:p w14:paraId="5772BFCF" w14:textId="77777777" w:rsidR="00024F56" w:rsidRDefault="0022519B">
            <w:pPr>
              <w:jc w:val="center"/>
              <w:rPr>
                <w:rFonts w:ascii="Times New Roman" w:eastAsia="宋体" w:hAnsi="Times New Roman" w:cs="Times New Roman"/>
                <w:sz w:val="20"/>
                <w:szCs w:val="20"/>
                <w:lang w:val="en-GB" w:eastAsia="en-GB"/>
              </w:rPr>
            </w:pPr>
            <w:r>
              <w:rPr>
                <w:rFonts w:ascii="Times New Roman" w:eastAsia="宋体" w:hAnsi="Times New Roman" w:cs="Times New Roman"/>
                <w:sz w:val="20"/>
                <w:szCs w:val="20"/>
                <w:lang w:val="en-GB" w:eastAsia="en-GB"/>
              </w:rPr>
              <w:t>Yes</w:t>
            </w:r>
          </w:p>
        </w:tc>
      </w:tr>
      <w:tr w:rsidR="00024F56" w14:paraId="5DA9B7B7" w14:textId="77777777">
        <w:trPr>
          <w:tblHeader/>
        </w:trPr>
        <w:tc>
          <w:tcPr>
            <w:tcW w:w="868" w:type="pct"/>
            <w:shd w:val="clear" w:color="auto" w:fill="auto"/>
            <w:vAlign w:val="center"/>
          </w:tcPr>
          <w:p w14:paraId="629A189B" w14:textId="77777777" w:rsidR="00024F56" w:rsidRDefault="0022519B">
            <w:pPr>
              <w:rPr>
                <w:rFonts w:ascii="Times New Roman" w:eastAsia="Times New Roman" w:hAnsi="Times New Roman" w:cs="Times New Roman"/>
                <w:b/>
                <w:strike/>
                <w:sz w:val="20"/>
                <w:szCs w:val="20"/>
                <w:lang w:val="en-GB" w:eastAsia="en-GB"/>
              </w:rPr>
            </w:pPr>
            <w:r>
              <w:rPr>
                <w:rFonts w:ascii="Times New Roman" w:eastAsia="Times New Roman" w:hAnsi="Times New Roman" w:cs="Times New Roman"/>
                <w:sz w:val="20"/>
                <w:szCs w:val="20"/>
                <w:lang w:val="en-GB" w:eastAsia="en-GB"/>
              </w:rPr>
              <w:t>Implications</w:t>
            </w:r>
          </w:p>
        </w:tc>
        <w:tc>
          <w:tcPr>
            <w:tcW w:w="334" w:type="pct"/>
            <w:shd w:val="clear" w:color="auto" w:fill="auto"/>
            <w:vAlign w:val="center"/>
          </w:tcPr>
          <w:p w14:paraId="4CAEEDDD" w14:textId="77777777" w:rsidR="00024F56" w:rsidRDefault="0022519B">
            <w:pPr>
              <w:jc w:val="center"/>
              <w:rPr>
                <w:rFonts w:ascii="Times New Roman" w:eastAsia="Times New Roman" w:hAnsi="Times New Roman" w:cs="Times New Roman"/>
                <w:sz w:val="20"/>
                <w:szCs w:val="20"/>
                <w:lang w:val="en-GB" w:eastAsia="en-GB"/>
              </w:rPr>
            </w:pPr>
            <w:r>
              <w:rPr>
                <w:rFonts w:ascii="Times New Roman" w:eastAsia="Times New Roman" w:hAnsi="Times New Roman" w:cs="Times New Roman"/>
                <w:sz w:val="20"/>
                <w:szCs w:val="20"/>
                <w:lang w:val="en-GB" w:eastAsia="en-GB"/>
              </w:rPr>
              <w:t>20</w:t>
            </w:r>
          </w:p>
        </w:tc>
        <w:tc>
          <w:tcPr>
            <w:tcW w:w="393" w:type="pct"/>
            <w:shd w:val="clear" w:color="auto" w:fill="auto"/>
            <w:vAlign w:val="center"/>
          </w:tcPr>
          <w:p w14:paraId="6DE82547" w14:textId="77777777" w:rsidR="00024F56" w:rsidRDefault="0022519B">
            <w:pPr>
              <w:jc w:val="center"/>
              <w:rPr>
                <w:rFonts w:ascii="Times New Roman" w:eastAsia="Times New Roman" w:hAnsi="Times New Roman" w:cs="Times New Roman"/>
                <w:strike/>
                <w:sz w:val="20"/>
                <w:szCs w:val="20"/>
                <w:lang w:val="en-GB" w:eastAsia="en-GB"/>
              </w:rPr>
            </w:pPr>
            <w:r>
              <w:rPr>
                <w:rFonts w:ascii="Times New Roman" w:eastAsia="Times New Roman" w:hAnsi="Times New Roman" w:cs="Times New Roman"/>
                <w:sz w:val="20"/>
                <w:szCs w:val="20"/>
                <w:lang w:val="en-GB" w:eastAsia="en-GB"/>
              </w:rPr>
              <w:t>D; V</w:t>
            </w:r>
          </w:p>
        </w:tc>
        <w:tc>
          <w:tcPr>
            <w:tcW w:w="3088" w:type="pct"/>
            <w:shd w:val="clear" w:color="auto" w:fill="auto"/>
            <w:vAlign w:val="center"/>
          </w:tcPr>
          <w:p w14:paraId="7DEB0781" w14:textId="77777777" w:rsidR="00024F56" w:rsidRDefault="0022519B">
            <w:pPr>
              <w:jc w:val="left"/>
              <w:rPr>
                <w:rFonts w:ascii="Times New Roman" w:eastAsia="Times New Roman" w:hAnsi="Times New Roman" w:cs="Times New Roman"/>
                <w:sz w:val="20"/>
                <w:szCs w:val="20"/>
                <w:lang w:val="en-GB" w:eastAsia="en-GB"/>
              </w:rPr>
            </w:pPr>
            <w:r>
              <w:rPr>
                <w:rFonts w:ascii="Times New Roman" w:eastAsia="Times New Roman" w:hAnsi="Times New Roman" w:cs="Times New Roman"/>
                <w:sz w:val="20"/>
                <w:szCs w:val="20"/>
                <w:lang w:val="en-GB" w:eastAsia="en-GB"/>
              </w:rPr>
              <w:t xml:space="preserve">Discuss the potential clinical use of the model and implications for future research. </w:t>
            </w:r>
          </w:p>
        </w:tc>
        <w:tc>
          <w:tcPr>
            <w:tcW w:w="314" w:type="pct"/>
            <w:shd w:val="clear" w:color="auto" w:fill="auto"/>
            <w:vAlign w:val="center"/>
          </w:tcPr>
          <w:p w14:paraId="3C8BE3AA" w14:textId="77777777" w:rsidR="00024F56" w:rsidRDefault="0022519B">
            <w:pPr>
              <w:jc w:val="center"/>
              <w:rPr>
                <w:rFonts w:ascii="Times New Roman" w:eastAsia="宋体" w:hAnsi="Times New Roman" w:cs="Times New Roman"/>
                <w:sz w:val="20"/>
                <w:szCs w:val="20"/>
                <w:lang w:val="en-GB" w:eastAsia="en-GB"/>
              </w:rPr>
            </w:pPr>
            <w:r>
              <w:rPr>
                <w:rFonts w:ascii="Times New Roman" w:eastAsia="宋体" w:hAnsi="Times New Roman" w:cs="Times New Roman"/>
                <w:sz w:val="20"/>
                <w:szCs w:val="20"/>
                <w:lang w:val="en-GB" w:eastAsia="en-GB"/>
              </w:rPr>
              <w:t>Yes</w:t>
            </w:r>
          </w:p>
        </w:tc>
      </w:tr>
      <w:tr w:rsidR="00024F56" w14:paraId="528E578E" w14:textId="77777777">
        <w:trPr>
          <w:tblHeader/>
        </w:trPr>
        <w:tc>
          <w:tcPr>
            <w:tcW w:w="5000" w:type="pct"/>
            <w:gridSpan w:val="5"/>
            <w:shd w:val="clear" w:color="auto" w:fill="F7CAAC"/>
          </w:tcPr>
          <w:p w14:paraId="52F9C1D8" w14:textId="77777777" w:rsidR="00024F56" w:rsidRDefault="0022519B">
            <w:pPr>
              <w:rPr>
                <w:rFonts w:ascii="Times New Roman" w:eastAsia="Times New Roman" w:hAnsi="Times New Roman" w:cs="Times New Roman"/>
                <w:b/>
                <w:sz w:val="20"/>
                <w:szCs w:val="20"/>
                <w:lang w:val="en-GB" w:eastAsia="en-GB"/>
              </w:rPr>
            </w:pPr>
            <w:r>
              <w:rPr>
                <w:rFonts w:ascii="Times New Roman" w:eastAsia="Times New Roman" w:hAnsi="Times New Roman" w:cs="Times New Roman"/>
                <w:b/>
                <w:sz w:val="20"/>
                <w:szCs w:val="20"/>
                <w:lang w:val="en-GB" w:eastAsia="en-GB"/>
              </w:rPr>
              <w:t>Other information</w:t>
            </w:r>
          </w:p>
        </w:tc>
      </w:tr>
      <w:tr w:rsidR="00024F56" w14:paraId="13831199" w14:textId="77777777">
        <w:trPr>
          <w:tblHeader/>
        </w:trPr>
        <w:tc>
          <w:tcPr>
            <w:tcW w:w="868" w:type="pct"/>
            <w:shd w:val="clear" w:color="auto" w:fill="auto"/>
          </w:tcPr>
          <w:p w14:paraId="39C1C57E" w14:textId="77777777" w:rsidR="00024F56" w:rsidRDefault="0022519B">
            <w:pPr>
              <w:ind w:right="-46"/>
              <w:rPr>
                <w:rFonts w:ascii="Times New Roman" w:eastAsia="Times New Roman" w:hAnsi="Times New Roman" w:cs="Times New Roman"/>
                <w:b/>
                <w:sz w:val="20"/>
                <w:szCs w:val="20"/>
                <w:lang w:val="en-GB" w:eastAsia="en-GB"/>
              </w:rPr>
            </w:pPr>
            <w:r>
              <w:rPr>
                <w:rFonts w:ascii="Times New Roman" w:eastAsia="Times New Roman" w:hAnsi="Times New Roman" w:cs="Times New Roman"/>
                <w:sz w:val="20"/>
                <w:szCs w:val="20"/>
                <w:lang w:val="en-GB" w:eastAsia="en-GB"/>
              </w:rPr>
              <w:t>Supplementary information</w:t>
            </w:r>
          </w:p>
        </w:tc>
        <w:tc>
          <w:tcPr>
            <w:tcW w:w="334" w:type="pct"/>
            <w:shd w:val="clear" w:color="auto" w:fill="auto"/>
            <w:vAlign w:val="center"/>
          </w:tcPr>
          <w:p w14:paraId="59C2439F" w14:textId="77777777" w:rsidR="00024F56" w:rsidRDefault="0022519B">
            <w:pPr>
              <w:jc w:val="center"/>
              <w:rPr>
                <w:rFonts w:ascii="Times New Roman" w:eastAsia="Times New Roman" w:hAnsi="Times New Roman" w:cs="Times New Roman"/>
                <w:sz w:val="20"/>
                <w:szCs w:val="20"/>
                <w:lang w:val="en-GB" w:eastAsia="en-GB"/>
              </w:rPr>
            </w:pPr>
            <w:r>
              <w:rPr>
                <w:rFonts w:ascii="Times New Roman" w:eastAsia="Times New Roman" w:hAnsi="Times New Roman" w:cs="Times New Roman"/>
                <w:sz w:val="20"/>
                <w:szCs w:val="20"/>
                <w:lang w:val="en-GB" w:eastAsia="en-GB"/>
              </w:rPr>
              <w:t>21</w:t>
            </w:r>
          </w:p>
        </w:tc>
        <w:tc>
          <w:tcPr>
            <w:tcW w:w="393" w:type="pct"/>
            <w:shd w:val="clear" w:color="auto" w:fill="auto"/>
            <w:vAlign w:val="center"/>
          </w:tcPr>
          <w:p w14:paraId="0CA9043B" w14:textId="77777777" w:rsidR="00024F56" w:rsidRDefault="0022519B">
            <w:pPr>
              <w:jc w:val="center"/>
              <w:rPr>
                <w:rFonts w:ascii="Times New Roman" w:eastAsia="Times New Roman" w:hAnsi="Times New Roman" w:cs="Times New Roman"/>
                <w:sz w:val="20"/>
                <w:szCs w:val="20"/>
                <w:lang w:val="en-GB" w:eastAsia="en-GB"/>
              </w:rPr>
            </w:pPr>
            <w:r>
              <w:rPr>
                <w:rFonts w:ascii="Times New Roman" w:eastAsia="Times New Roman" w:hAnsi="Times New Roman" w:cs="Times New Roman"/>
                <w:sz w:val="20"/>
                <w:szCs w:val="20"/>
                <w:lang w:val="en-GB" w:eastAsia="en-GB"/>
              </w:rPr>
              <w:t>D; V</w:t>
            </w:r>
          </w:p>
        </w:tc>
        <w:tc>
          <w:tcPr>
            <w:tcW w:w="3088" w:type="pct"/>
            <w:shd w:val="clear" w:color="auto" w:fill="auto"/>
            <w:vAlign w:val="center"/>
          </w:tcPr>
          <w:p w14:paraId="4B13FA43" w14:textId="77777777" w:rsidR="00024F56" w:rsidRDefault="0022519B">
            <w:pPr>
              <w:jc w:val="left"/>
              <w:rPr>
                <w:rFonts w:ascii="Times New Roman" w:eastAsia="Times New Roman" w:hAnsi="Times New Roman" w:cs="Times New Roman"/>
                <w:sz w:val="20"/>
                <w:szCs w:val="20"/>
                <w:lang w:val="en-GB" w:eastAsia="en-GB"/>
              </w:rPr>
            </w:pPr>
            <w:r>
              <w:rPr>
                <w:rFonts w:ascii="Times New Roman" w:eastAsia="Times New Roman" w:hAnsi="Times New Roman" w:cs="Times New Roman"/>
                <w:sz w:val="20"/>
                <w:szCs w:val="20"/>
                <w:lang w:val="en-GB" w:eastAsia="en-GB"/>
              </w:rPr>
              <w:t xml:space="preserve">Provide information about the availability of supplementary resources, such as study protocol, Web calculator, and data sets. </w:t>
            </w:r>
          </w:p>
        </w:tc>
        <w:tc>
          <w:tcPr>
            <w:tcW w:w="314" w:type="pct"/>
            <w:shd w:val="clear" w:color="auto" w:fill="auto"/>
            <w:vAlign w:val="center"/>
          </w:tcPr>
          <w:p w14:paraId="5874CA55" w14:textId="77777777" w:rsidR="00024F56" w:rsidRDefault="0022519B">
            <w:pPr>
              <w:jc w:val="center"/>
              <w:rPr>
                <w:rFonts w:ascii="Times New Roman" w:eastAsia="宋体" w:hAnsi="Times New Roman" w:cs="Times New Roman"/>
                <w:sz w:val="20"/>
                <w:szCs w:val="20"/>
                <w:lang w:val="en-GB" w:eastAsia="en-GB"/>
              </w:rPr>
            </w:pPr>
            <w:r>
              <w:rPr>
                <w:rFonts w:ascii="Times New Roman" w:eastAsia="宋体" w:hAnsi="Times New Roman" w:cs="Times New Roman"/>
                <w:sz w:val="20"/>
                <w:szCs w:val="20"/>
                <w:lang w:val="en-GB" w:eastAsia="en-GB"/>
              </w:rPr>
              <w:t>Yes</w:t>
            </w:r>
          </w:p>
        </w:tc>
      </w:tr>
      <w:tr w:rsidR="00024F56" w14:paraId="7436E55D" w14:textId="77777777">
        <w:trPr>
          <w:tblHeader/>
        </w:trPr>
        <w:tc>
          <w:tcPr>
            <w:tcW w:w="868" w:type="pct"/>
            <w:shd w:val="clear" w:color="auto" w:fill="auto"/>
          </w:tcPr>
          <w:p w14:paraId="2646D195" w14:textId="77777777" w:rsidR="00024F56" w:rsidRDefault="0022519B">
            <w:pPr>
              <w:rPr>
                <w:rFonts w:ascii="Times New Roman" w:eastAsia="Times New Roman" w:hAnsi="Times New Roman" w:cs="Times New Roman"/>
                <w:b/>
                <w:sz w:val="20"/>
                <w:szCs w:val="20"/>
                <w:lang w:val="en-GB" w:eastAsia="en-GB"/>
              </w:rPr>
            </w:pPr>
            <w:r>
              <w:rPr>
                <w:rFonts w:ascii="Times New Roman" w:eastAsia="Times New Roman" w:hAnsi="Times New Roman" w:cs="Times New Roman"/>
                <w:sz w:val="20"/>
                <w:szCs w:val="20"/>
                <w:lang w:val="en-GB" w:eastAsia="en-GB"/>
              </w:rPr>
              <w:t>Funding</w:t>
            </w:r>
          </w:p>
        </w:tc>
        <w:tc>
          <w:tcPr>
            <w:tcW w:w="334" w:type="pct"/>
            <w:shd w:val="clear" w:color="auto" w:fill="auto"/>
            <w:vAlign w:val="center"/>
          </w:tcPr>
          <w:p w14:paraId="05E3010C" w14:textId="77777777" w:rsidR="00024F56" w:rsidRDefault="0022519B">
            <w:pPr>
              <w:jc w:val="center"/>
              <w:rPr>
                <w:rFonts w:ascii="Times New Roman" w:eastAsia="Times New Roman" w:hAnsi="Times New Roman" w:cs="Times New Roman"/>
                <w:sz w:val="20"/>
                <w:szCs w:val="20"/>
                <w:lang w:val="en-GB" w:eastAsia="en-GB"/>
              </w:rPr>
            </w:pPr>
            <w:r>
              <w:rPr>
                <w:rFonts w:ascii="Times New Roman" w:eastAsia="Times New Roman" w:hAnsi="Times New Roman" w:cs="Times New Roman"/>
                <w:sz w:val="20"/>
                <w:szCs w:val="20"/>
                <w:lang w:val="en-GB" w:eastAsia="en-GB"/>
              </w:rPr>
              <w:t>22</w:t>
            </w:r>
          </w:p>
        </w:tc>
        <w:tc>
          <w:tcPr>
            <w:tcW w:w="393" w:type="pct"/>
            <w:shd w:val="clear" w:color="auto" w:fill="auto"/>
            <w:vAlign w:val="center"/>
          </w:tcPr>
          <w:p w14:paraId="70ABDA82" w14:textId="77777777" w:rsidR="00024F56" w:rsidRDefault="0022519B">
            <w:pPr>
              <w:jc w:val="center"/>
              <w:rPr>
                <w:rFonts w:ascii="Times New Roman" w:eastAsia="Times New Roman" w:hAnsi="Times New Roman" w:cs="Times New Roman"/>
                <w:sz w:val="20"/>
                <w:szCs w:val="20"/>
                <w:lang w:val="en-GB" w:eastAsia="en-GB"/>
              </w:rPr>
            </w:pPr>
            <w:r>
              <w:rPr>
                <w:rFonts w:ascii="Times New Roman" w:eastAsia="Times New Roman" w:hAnsi="Times New Roman" w:cs="Times New Roman"/>
                <w:sz w:val="20"/>
                <w:szCs w:val="20"/>
                <w:lang w:val="en-GB" w:eastAsia="en-GB"/>
              </w:rPr>
              <w:t>D; V</w:t>
            </w:r>
          </w:p>
        </w:tc>
        <w:tc>
          <w:tcPr>
            <w:tcW w:w="3088" w:type="pct"/>
            <w:shd w:val="clear" w:color="auto" w:fill="auto"/>
            <w:vAlign w:val="center"/>
          </w:tcPr>
          <w:p w14:paraId="0BEAB36D" w14:textId="77777777" w:rsidR="00024F56" w:rsidRDefault="0022519B">
            <w:pPr>
              <w:jc w:val="left"/>
              <w:rPr>
                <w:rFonts w:ascii="Times New Roman" w:eastAsia="Times New Roman" w:hAnsi="Times New Roman" w:cs="Times New Roman"/>
                <w:sz w:val="20"/>
                <w:szCs w:val="20"/>
                <w:lang w:val="en-GB" w:eastAsia="en-GB"/>
              </w:rPr>
            </w:pPr>
            <w:r>
              <w:rPr>
                <w:rFonts w:ascii="Times New Roman" w:eastAsia="Times New Roman" w:hAnsi="Times New Roman" w:cs="Times New Roman"/>
                <w:sz w:val="20"/>
                <w:szCs w:val="20"/>
                <w:lang w:val="en-GB" w:eastAsia="en-GB"/>
              </w:rPr>
              <w:t xml:space="preserve">Give the source of funding and the role of the funders for the present study. </w:t>
            </w:r>
          </w:p>
        </w:tc>
        <w:tc>
          <w:tcPr>
            <w:tcW w:w="314" w:type="pct"/>
            <w:shd w:val="clear" w:color="auto" w:fill="auto"/>
            <w:vAlign w:val="center"/>
          </w:tcPr>
          <w:p w14:paraId="45F21C5D" w14:textId="77777777" w:rsidR="00024F56" w:rsidRDefault="0022519B">
            <w:pPr>
              <w:jc w:val="center"/>
              <w:rPr>
                <w:rFonts w:ascii="Times New Roman" w:eastAsia="宋体" w:hAnsi="Times New Roman" w:cs="Times New Roman"/>
                <w:sz w:val="20"/>
                <w:szCs w:val="20"/>
                <w:lang w:val="en-GB" w:eastAsia="en-GB"/>
              </w:rPr>
            </w:pPr>
            <w:r>
              <w:rPr>
                <w:rFonts w:ascii="Times New Roman" w:eastAsia="宋体" w:hAnsi="Times New Roman" w:cs="Times New Roman"/>
                <w:sz w:val="20"/>
                <w:szCs w:val="20"/>
                <w:lang w:val="en-GB" w:eastAsia="en-GB"/>
              </w:rPr>
              <w:t>Yes</w:t>
            </w:r>
          </w:p>
        </w:tc>
      </w:tr>
    </w:tbl>
    <w:p w14:paraId="790A08DB" w14:textId="77777777" w:rsidR="00024F56" w:rsidRDefault="00024F56">
      <w:pPr>
        <w:spacing w:line="480" w:lineRule="auto"/>
        <w:rPr>
          <w:rFonts w:ascii="Times New Roman" w:hAnsi="Times New Roman" w:cs="Times New Roman"/>
          <w:sz w:val="20"/>
          <w:szCs w:val="20"/>
        </w:rPr>
      </w:pPr>
    </w:p>
    <w:p w14:paraId="1102C54E" w14:textId="77777777" w:rsidR="00024F56" w:rsidRDefault="0022519B">
      <w:pPr>
        <w:spacing w:line="480" w:lineRule="auto"/>
        <w:rPr>
          <w:rFonts w:ascii="Times New Roman" w:hAnsi="Times New Roman" w:cs="Times New Roman"/>
          <w:sz w:val="20"/>
          <w:szCs w:val="20"/>
        </w:rPr>
      </w:pPr>
      <w:r>
        <w:rPr>
          <w:rFonts w:ascii="Times New Roman" w:hAnsi="Times New Roman" w:cs="Times New Roman" w:hint="eastAsia"/>
          <w:sz w:val="20"/>
          <w:szCs w:val="20"/>
        </w:rPr>
        <w:t>Abbreviation: TRIPOD: Transparent Reporting of a multivariable prediction model for Individual Prognosis or Diagnosis.</w:t>
      </w:r>
    </w:p>
    <w:sectPr w:rsidR="00024F56">
      <w:pgSz w:w="11906" w:h="16838"/>
      <w:pgMar w:top="1440" w:right="1077" w:bottom="1440" w:left="1077"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D33CAC" w14:textId="77777777" w:rsidR="0022519B" w:rsidRDefault="0022519B">
      <w:r>
        <w:separator/>
      </w:r>
    </w:p>
  </w:endnote>
  <w:endnote w:type="continuationSeparator" w:id="0">
    <w:p w14:paraId="19F5BC13" w14:textId="77777777" w:rsidR="0022519B" w:rsidRDefault="00225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ulim">
    <w:altName w:val="굴림"/>
    <w:panose1 w:val="020B0600000101010101"/>
    <w:charset w:val="81"/>
    <w:family w:val="swiss"/>
    <w:pitch w:val="variable"/>
    <w:sig w:usb0="B00002AF" w:usb1="69D77CFB" w:usb2="00000030" w:usb3="00000000" w:csb0="0008009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Roman">
    <w:altName w:val="Times New Roman"/>
    <w:charset w:val="00"/>
    <w:family w:val="roman"/>
    <w:pitch w:val="default"/>
  </w:font>
  <w:font w:name="黑体">
    <w:altName w:val="SimHei"/>
    <w:panose1 w:val="02010609060101010101"/>
    <w:charset w:val="86"/>
    <w:family w:val="modern"/>
    <w:pitch w:val="fixed"/>
    <w:sig w:usb0="800002BF" w:usb1="38CF7CFA" w:usb2="00000016" w:usb3="00000000" w:csb0="00040001" w:csb1="00000000"/>
  </w:font>
  <w:font w:name="MingLiU">
    <w:altName w:val="MingLiU"/>
    <w:panose1 w:val="02010609000101010101"/>
    <w:charset w:val="88"/>
    <w:family w:val="modern"/>
    <w:pitch w:val="fixed"/>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306417" w14:textId="77777777" w:rsidR="00024F56" w:rsidRDefault="0022519B">
    <w:pPr>
      <w:tabs>
        <w:tab w:val="center" w:pos="4550"/>
        <w:tab w:val="left" w:pos="5818"/>
      </w:tabs>
      <w:ind w:right="260"/>
      <w:jc w:val="right"/>
      <w:rPr>
        <w:rFonts w:ascii="Times New Roman" w:hAnsi="Times New Roman" w:cs="Times New Roman"/>
        <w:color w:val="222A35"/>
        <w:sz w:val="20"/>
        <w:szCs w:val="20"/>
      </w:rPr>
    </w:pPr>
    <w:r>
      <w:rPr>
        <w:rFonts w:ascii="Times New Roman" w:hAnsi="Times New Roman" w:cs="Times New Roman"/>
        <w:color w:val="8496B0"/>
        <w:sz w:val="20"/>
        <w:szCs w:val="20"/>
        <w:lang w:val="zh-CN"/>
      </w:rPr>
      <w:t xml:space="preserve"> </w:t>
    </w:r>
    <w:r>
      <w:rPr>
        <w:rFonts w:ascii="Times New Roman" w:hAnsi="Times New Roman" w:cs="Times New Roman"/>
        <w:color w:val="323E4F"/>
        <w:sz w:val="20"/>
        <w:szCs w:val="20"/>
      </w:rPr>
      <w:fldChar w:fldCharType="begin"/>
    </w:r>
    <w:r>
      <w:rPr>
        <w:rFonts w:ascii="Times New Roman" w:hAnsi="Times New Roman" w:cs="Times New Roman"/>
        <w:color w:val="323E4F"/>
        <w:sz w:val="20"/>
        <w:szCs w:val="20"/>
      </w:rPr>
      <w:instrText>PAGE   \* MERGEFORMAT</w:instrText>
    </w:r>
    <w:r>
      <w:rPr>
        <w:rFonts w:ascii="Times New Roman" w:hAnsi="Times New Roman" w:cs="Times New Roman"/>
        <w:color w:val="323E4F"/>
        <w:sz w:val="20"/>
        <w:szCs w:val="20"/>
      </w:rPr>
      <w:fldChar w:fldCharType="separate"/>
    </w:r>
    <w:r>
      <w:rPr>
        <w:rFonts w:ascii="Times New Roman" w:hAnsi="Times New Roman" w:cs="Times New Roman"/>
        <w:color w:val="323E4F"/>
        <w:sz w:val="20"/>
        <w:szCs w:val="20"/>
        <w:lang w:val="zh-CN"/>
      </w:rPr>
      <w:t>1</w:t>
    </w:r>
    <w:r>
      <w:rPr>
        <w:rFonts w:ascii="Times New Roman" w:hAnsi="Times New Roman" w:cs="Times New Roman"/>
        <w:color w:val="323E4F"/>
        <w:sz w:val="20"/>
        <w:szCs w:val="20"/>
      </w:rPr>
      <w:fldChar w:fldCharType="end"/>
    </w:r>
  </w:p>
  <w:p w14:paraId="4C7C7F9A" w14:textId="77777777" w:rsidR="00024F56" w:rsidRDefault="00024F56">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643962" w14:textId="77777777" w:rsidR="0022519B" w:rsidRDefault="0022519B">
      <w:r>
        <w:separator/>
      </w:r>
    </w:p>
  </w:footnote>
  <w:footnote w:type="continuationSeparator" w:id="0">
    <w:p w14:paraId="52EF078E" w14:textId="77777777" w:rsidR="0022519B" w:rsidRDefault="002251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82B3AD" w14:textId="77777777" w:rsidR="00024F56" w:rsidRDefault="0022519B">
    <w:pPr>
      <w:pStyle w:val="a8"/>
      <w:jc w:val="right"/>
    </w:pPr>
    <w:r>
      <w:rPr>
        <w:noProof/>
      </w:rPr>
      <mc:AlternateContent>
        <mc:Choice Requires="wps">
          <w:drawing>
            <wp:anchor distT="0" distB="0" distL="114300" distR="114300" simplePos="0" relativeHeight="251659264" behindDoc="0" locked="0" layoutInCell="1" allowOverlap="1" wp14:anchorId="784D245F" wp14:editId="42794001">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994AFE" w14:textId="77777777" w:rsidR="00024F56" w:rsidRDefault="0022519B">
                          <w:pPr>
                            <w:pStyle w:val="a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84D245F" id="_x0000_t202" coordsize="21600,21600" o:spt="202" path="m,l,21600r21600,l21600,xe">
              <v:stroke joinstyle="miter"/>
              <v:path gradientshapeok="t" o:connecttype="rect"/>
            </v:shapetype>
            <v:shape id="文本框 1" o:spid="_x0000_s1026" type="#_x0000_t202" style="position:absolute;left:0;text-align:left;margin-left:92.8pt;margin-top:0;width:2in;height:2in;z-index:251659264;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" filled="f" stroked="f" strokeweight=".5pt">
              <v:textbox style="mso-fit-shape-to-text:t" inset="0,0,0,0">
                <w:txbxContent>
                  <w:p w14:paraId="40994AFE" w14:textId="77777777" w:rsidR="00024F56" w:rsidRDefault="0022519B">
                    <w:pPr>
                      <w:pStyle w:val="a8"/>
                    </w:pPr>
                    <w:r>
                      <w:fldChar w:fldCharType="begin"/>
                    </w:r>
                    <w:r>
                      <w:instrText xml:space="preserve"> PAGE  \* MERGEFORMAT </w:instrText>
                    </w:r>
                    <w:r>
                      <w:fldChar w:fldCharType="separate"/>
                    </w:r>
                    <w:r>
                      <w:t>1</w:t>
                    </w:r>
                    <w:r>
                      <w:fldChar w:fldCharType="end"/>
                    </w:r>
                  </w:p>
                </w:txbxContent>
              </v:textbox>
              <w10:wrap anchorx="margin"/>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525"/>
  <w:drawingGridHorizontalSpacing w:val="105"/>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jFlNmY4OGMyNzM2ZGFkNDc4MGQ5NThlNDcwMGYyZGYifQ=="/>
    <w:docVar w:name="NE.Ref{03BA7283-2EFE-42A5-8D94-58D8164EA03A}" w:val=" ADDIN NE.Ref.{03BA7283-2EFE-42A5-8D94-58D8164EA03A}&lt;Citation&gt;&lt;Group&gt;&lt;References&gt;&lt;Item&gt;&lt;ID&gt;520&lt;/ID&gt;&lt;UID&gt;{107EE939-9F44-478D-9623-F0980FB13D8D}&lt;/UID&gt;&lt;Title&gt;Mechanisms of Resistance to Epidermal Growth Factor Receptor Inhibitors and Novel Therapeutic Strategies to Overcome Resistance in NSCLC Patients&lt;/Title&gt;&lt;Template&gt;Journal Article&lt;/Template&gt;&lt;Star&gt;0&lt;/Star&gt;&lt;Tag&gt;0&lt;/Tag&gt;&lt;Author&gt;Lin, L; Bivona, T G&lt;/Author&gt;&lt;Year&gt;2012&lt;/Year&gt;&lt;Details&gt;&lt;_accession_num&gt;22970367&lt;/_accession_num&gt;&lt;_author_adr&gt;Division of Hematology/Oncology, Department of Medicine, USCF Helen Diller Family Comprehensive Cancer Center, University of California, San Francisco, San Francisco, CA 94158, USA.&lt;/_author_adr&gt;&lt;_date_display&gt;2012&lt;/_date_display&gt;&lt;_date&gt;2012-01-20&lt;/_date&gt;&lt;_doi&gt;10.1155/2012/817297&lt;/_doi&gt;&lt;_isbn&gt;2090-2115 (Electronic); 2090-2107 (Linking)&lt;/_isbn&gt;&lt;_journal&gt;Chemother Res Pract&lt;/_journal&gt;&lt;_language&gt;eng&lt;/_language&gt;&lt;_pages&gt;817297&lt;/_pages&gt;&lt;_tertiary_title&gt;Chemotherapy research and practice&lt;/_tertiary_title&gt;&lt;_type_work&gt;Journal Article&lt;/_type_work&gt;&lt;_url&gt;http://www.ncbi.nlm.nih.gov/entrez/query.fcgi?cmd=Retrieve&amp;amp;db=pubmed&amp;amp;dopt=Abstract&amp;amp;list_uids=22970367&amp;amp;query_hl=1&lt;/_url&gt;&lt;_volume&gt;2012&lt;/_volume&gt;&lt;_created&gt;64298704&lt;/_created&gt;&lt;_modified&gt;64298705&lt;/_modified&gt;&lt;_db_updated&gt;PubMed&lt;/_db_updated&gt;&lt;/Details&gt;&lt;Extra&gt;&lt;DBUID&gt;{F96A950B-833F-4880-A151-76DA2D6A2879}&lt;/DBUID&gt;&lt;/Extra&gt;&lt;/Item&gt;&lt;/References&gt;&lt;/Group&gt;&lt;/Citation&gt;_x000a_"/>
    <w:docVar w:name="NE.Ref{0910DBB2-46E9-4FE5-9F0F-2561C0154D4B}" w:val=" ADDIN NE.Ref.{0910DBB2-46E9-4FE5-9F0F-2561C0154D4B}&lt;Citation&gt;&lt;Group&gt;&lt;References&gt;&lt;Item&gt;&lt;ID&gt;564&lt;/ID&gt;&lt;UID&gt;{CD44FCF6-870B-40D3-8AAF-33AA79D41276}&lt;/UID&gt;&lt;Title&gt;CT Radiogenomic Characterization of EGFR, K-RAS, and ALK Mutations in Non-Small Cell Lung Cancer&lt;/Title&gt;&lt;Template&gt;Journal Article&lt;/Template&gt;&lt;Star&gt;0&lt;/Star&gt;&lt;Tag&gt;0&lt;/Tag&gt;&lt;Author&gt;Rizzo, S; Petrella, F; Buscarino, V; De Maria, F; Raimondi, S; Barberis, M; Fumagalli, C; Spitaleri, G; Rampinelli, C; De Marinis, F; Spaggiari, L; Bellomi, M&lt;/Author&gt;&lt;Year&gt;2016&lt;/Year&gt;&lt;Details&gt;&lt;_accession_num&gt;25956936&lt;/_accession_num&gt;&lt;_author_adr&gt;Department of Radiology, European Institute of Oncology, via Ripamonti 435, 20141, Milan, Italy. stefania.rizzo@ieo.it.; Department of Thoracic Surgery, European Institute of Oncology, via Ripamonti 435, 20141, Milan, Italy.; Department of Health Sciences, University of Milan, via A. di Rudini 8, 20142, Milan, Italy.; Department of Health Sciences, University of Milan, via A. di Rudini 8, 20142, Milan, Italy.; Department of Epidemiology and Biostatistics, European Institute of Oncology, via Ramusio, 1, 20141, Milan, Italy.; Department of Pathology, European Institute of Oncology, via Ripamonti 435, 20141, Milan, Italy.; Department of Pathology, European Institute of Oncology, via Ripamonti 435, 20141, Milan, Italy.; Department of Thoracic Oncology, European Institute of Oncology, via Ripamonti 435, 20141, Milan, Italy.; Department of Radiology, European Institute of Oncology, via Ripamonti 435, 20141, Milan, Italy.; Department of Thoracic Oncology, European Institute of Oncology, via Ripamonti 435, 20141, Milan, Italy.; Department of Thoracic Surgery, European Institute of Oncology, via Ripamonti 435, 20141, Milan, Italy.; Department of Radiology, European Institute of Oncology, via Ripamonti 435, 20141, Milan, Italy.; Department of Health Sciences, University of Milan, via A. di Rudini 8, 20142, Milan, Italy.&lt;/_author_adr&gt;&lt;_collection_scope&gt;SCI;SCIE&lt;/_collection_scope&gt;&lt;_created&gt;64298839&lt;/_created&gt;&lt;_date&gt;2016-01-01&lt;/_date&gt;&lt;_date_display&gt;2016 Jan&lt;/_date_display&gt;&lt;_db_updated&gt;PubMed&lt;/_db_updated&gt;&lt;_doi&gt;10.1007/s00330-015-3814-0&lt;/_doi&gt;&lt;_impact_factor&gt;   5.315&lt;/_impact_factor&gt;&lt;_isbn&gt;1432-1084 (Electronic); 0938-7994 (Linking)&lt;/_isbn&gt;&lt;_issue&gt;1&lt;/_issue&gt;&lt;_journal&gt;Eur Radiol&lt;/_journal&gt;&lt;_keywords&gt;Anaplastic lymphoma kinase (ALK); Computed Tomography (CT); Epidermal growth factor receptor (EFGR); Kirsten rat sarcoma (KRAS); Non-small cell lung carcinoma (NSCLC)&lt;/_keywords&gt;&lt;_language&gt;eng&lt;/_language&gt;&lt;_modified&gt;64298839&lt;/_modified&gt;&lt;_pages&gt;32-42&lt;/_pages&gt;&lt;_subject_headings&gt;Aged; Anaplastic Lymphoma Kinase; Carcinoma, Non-Small-Cell Lung/diagnostic imaging/*genetics; ErbB Receptors/*genetics; Female; Gene Rearrangement/genetics; Genes, ras/*genetics; Humans; Lung Neoplasms/diagnostic imaging/*genetics; Male; Mutation/*genetics; Pleural Effusion/diagnostic imaging/genetics; ROC Curve; Receptor Protein-Tyrosine Kinases/*genetics; Smoking/genetics; Tomography, X-Ray Computed&lt;/_subject_headings&gt;&lt;_tertiary_title&gt;European radiology&lt;/_tertiary_title&gt;&lt;_type_work&gt;Journal Article; Observational Study&lt;/_type_work&gt;&lt;_url&gt;http://www.ncbi.nlm.nih.gov/entrez/query.fcgi?cmd=Retrieve&amp;amp;db=pubmed&amp;amp;dopt=Abstract&amp;amp;list_uids=25956936&amp;amp;query_hl=1&lt;/_url&gt;&lt;_volume&gt;26&lt;/_volume&gt;&lt;/Details&gt;&lt;Extra&gt;&lt;DBUID&gt;{F96A950B-833F-4880-A151-76DA2D6A2879}&lt;/DBUID&gt;&lt;/Extra&gt;&lt;/Item&gt;&lt;/References&gt;&lt;/Group&gt;&lt;/Citation&gt;_x000a_"/>
    <w:docVar w:name="NE.Ref{0B4B6364-54B8-4ECD-9586-2DDBEF4C9F04}" w:val=" ADDIN NE.Ref.{0B4B6364-54B8-4ECD-9586-2DDBEF4C9F04}&lt;Citation&gt;&lt;Group&gt;&lt;References&gt;&lt;Item&gt;&lt;ID&gt;567&lt;/ID&gt;&lt;UID&gt;{8E106E59-F502-42B8-BE27-CE1C12541AAA}&lt;/UID&gt;&lt;Title&gt;Predicting EGFR mutation status in lung adenocarcinoma on computed tomography image using deep learning&lt;/Title&gt;&lt;Template&gt;Journal Article&lt;/Template&gt;&lt;Star&gt;0&lt;/Star&gt;&lt;Tag&gt;0&lt;/Tag&gt;&lt;Author&gt;Wang, S; Shi, J; Ye, Z; Dong, D; Yu, D; Zhou, M; Liu, Y; Gevaert, O; Wang, K; Zhu, Y; Zhou, H; Liu, Z; Tian, J&lt;/Author&gt;&lt;Year&gt;2019&lt;/Year&gt;&lt;Details&gt;&lt;_accession_num&gt;30635290&lt;/_accession_num&gt;&lt;_author_adr&gt;CAS Key Laboratory of Molecular Imaging, Institute of Automation, Chinese Academy of Sciences, Beijing, China.; University of Chinese Academy of Sciences, Beijing, China.; These authors contributed equally to this work.; Dept of Respiratory Medicine, Shanghai Pulmonary Hospital, Tongji University School of Medicine, Shanghai, China.; These authors contributed equally to this work.; Dept of Radiology, Tianjin Medical University Cancer Institute and Hospital, National Clinical Research Center for Cancer, Tianjin&amp;apos;s Clinical Research Center  for Cancer, Key Laboratory of Cancer Prevention and Therapy, Tianjin, China.; These authors contributed equally to this work.; CAS Key Laboratory of Molecular Imaging, Institute of Automation, Chinese Academy of Sciences, Beijing, China.; University of Chinese Academy of Sciences, Beijing, China.; These authors contributed equally to this work.; CAS Key Laboratory of Molecular Imaging, Institute of Automation, Chinese Academy of Sciences, Beijing, China.; University of Chinese Academy of Sciences, Beijing, China.; These authors contributed equally to this work.; The Stanford Center for Biomedical Informatics Research, Dept of Medicine, Stanford University, Stanford, CA, USA.; These authors contributed equally to this work.; Dept of Radiology, Tianjin Medical University Cancer Institute and Hospital, National Clinical Research Center for Cancer, Tianjin&amp;apos;s Clinical Research Center  for Cancer, Key Laboratory of Cancer Prevention and Therapy, Tianjin, China.; The Stanford Center for Biomedical Informatics Research, Dept of Medicine, Stanford University, Stanford, CA, USA.; CAS Key Laboratory of Molecular Imaging, Institute of Automation, Chinese Academy of Sciences, Beijing, China.; CAS Key Laboratory of Molecular Imaging, Institute of Automation, Chinese Academy of Sciences, Beijing, China.; Paul C. Lauterbur Research Center for Biomedical Imaging, Shenzhen Institutes of  Advanced Technology, Chinese Academy of Sciences, Shenzhen, China.; CAS Key Laboratory of Molecular Imaging, Institute of Automation, Chinese Academy of Sciences, Beijing, China.; CAS Key Laboratory of Molecular Imaging, Institute of Automation, Chinese Academy of Sciences, Beijing, China.; University of Chinese Academy of Sciences, Beijing, China.; Beijing Advanced Innovation Center for Big Data-Based Precision Medicine, School  of Medicine, Beihang University, Beijing, China.&lt;/_author_adr&gt;&lt;_collection_scope&gt;SCI;SCIE&lt;/_collection_scope&gt;&lt;_created&gt;64298883&lt;/_created&gt;&lt;_date&gt;2019-03-01&lt;/_date&gt;&lt;_date_display&gt;2019 Mar&lt;/_date_display&gt;&lt;_db_updated&gt;PubMed&lt;/_db_updated&gt;&lt;_doi&gt;10.1183/13993003.00986-2018&lt;/_doi&gt;&lt;_impact_factor&gt;  16.671&lt;/_impact_factor&gt;&lt;_isbn&gt;1399-3003 (Electronic); 0903-1936 (Linking)&lt;/_isbn&gt;&lt;_issue&gt;3&lt;/_issue&gt;&lt;_journal&gt;Eur Respir J&lt;/_journal&gt;&lt;_language&gt;eng&lt;/_language&gt;&lt;_modified&gt;64298883&lt;/_modified&gt;&lt;_ori_publication&gt;Copyright (c)ERS 2019.&lt;/_ori_publication&gt;&lt;_subject_headings&gt;Adenocarcinoma of Lung/*diagnosis/*genetics; Aged; Computational Biology; *Deep Learning; ErbB Receptors/genetics; Female; Humans; Image Processing, Computer-Assisted; Male; Middle Aged; *Mutation; Neoplasm Staging; Neural Networks, Computer; ROC Curve; Reproducibility of Results; Retrospective Studies; Tomography, X-Ray Computed&lt;/_subject_headings&gt;&lt;_tertiary_title&gt;The European respiratory journal&lt;/_tertiary_title&gt;&lt;_type_work&gt;Journal Article; Research Support, Non-U.S. Gov&amp;apos;t; Validation Study&lt;/_type_work&gt;&lt;_url&gt;http://www.ncbi.nlm.nih.gov/entrez/query.fcgi?cmd=Retrieve&amp;amp;db=pubmed&amp;amp;dopt=Abstract&amp;amp;list_uids=30635290&amp;amp;query_hl=1&lt;/_url&gt;&lt;_volume&gt;53&lt;/_volume&gt;&lt;/Details&gt;&lt;Extra&gt;&lt;DBUID&gt;{F96A950B-833F-4880-A151-76DA2D6A2879}&lt;/DBUID&gt;&lt;/Extra&gt;&lt;/Item&gt;&lt;/References&gt;&lt;/Group&gt;&lt;/Citation&gt;_x000a_"/>
    <w:docVar w:name="NE.Ref{0B559EB5-2208-4CFD-A720-0468D220B6A2}" w:val=" ADDIN NE.Ref.{0B559EB5-2208-4CFD-A720-0468D220B6A2}&lt;Citation&gt;&lt;Group&gt;&lt;References&gt;&lt;Item&gt;&lt;ID&gt;765&lt;/ID&gt;&lt;UID&gt;{04613F2E-4041-49A4-82A3-DA2F4F138893}&lt;/UID&gt;&lt;Title&gt;Comparison and Fusion of Machine Learning Algorithms for Prospective Validation of PET/CT Radiomic Features Prognostic Value in Stage II-III Non-Small Cell Lung  Cancer&lt;/Title&gt;&lt;Template&gt;Journal Article&lt;/Template&gt;&lt;Star&gt;0&lt;/Star&gt;&lt;Tag&gt;0&lt;/Tag&gt;&lt;Author&gt;Sepehri, S; Tankyevych, O; Upadhaya, T; Visvikis, D; Hatt, M; Cheze, Le Rest C&lt;/Author&gt;&lt;Year&gt;2021&lt;/Year&gt;&lt;Details&gt;&lt;_accessed&gt;64455303&lt;/_accessed&gt;&lt;_accession_num&gt;33918681&lt;/_accession_num&gt;&lt;_author_adr&gt;LaTIM, INSERM, UMR 1101, University Brest, 29200 Brest, France.; LaTIM, INSERM, UMR 1101, University Brest, 29200 Brest, France.; Nuclear Medicine Department, CHU Miletrie, 86021 Poitiers, France.; Nuclear Medicine Department, CHU Miletrie, 86021 Poitiers, France.; LaTIM, INSERM, UMR 1101, University Brest, 29200 Brest, France.; LaTIM, INSERM, UMR 1101, University Brest, 29200 Brest, France.; LaTIM, INSERM, UMR 1101, University Brest, 29200 Brest, France.; Nuclear Medicine Department, CHU Miletrie, 86021 Poitiers, France.&lt;/_author_adr&gt;&lt;_created&gt;64455233&lt;/_created&gt;&lt;_date&gt;2021-04-09&lt;/_date&gt;&lt;_date_display&gt;2021 Apr 9&lt;/_date_display&gt;&lt;_db_updated&gt;PubMed&lt;/_db_updated&gt;&lt;_doi&gt;10.3390/diagnostics11040675&lt;/_doi&gt;&lt;_impact_factor&gt;   3.706&lt;/_impact_factor&gt;&lt;_isbn&gt;2075-4418 (Print); 2075-4418 (Linking)&lt;/_isbn&gt;&lt;_issue&gt;4&lt;/_issue&gt;&lt;_journal&gt;Diagnostics (Basel)&lt;/_journal&gt;&lt;_keywords&gt;machine learning; non-small cell lung cancer; prognosis; prospective study; radiomics&lt;/_keywords&gt;&lt;_language&gt;eng&lt;/_language&gt;&lt;_modified&gt;64455303&lt;/_modified&gt;&lt;_tertiary_title&gt;Diagnostics (Basel, Switzerland)&lt;/_tertiary_title&gt;&lt;_type_work&gt;Journal Article&lt;/_type_work&gt;&lt;_url&gt;http://www.ncbi.nlm.nih.gov/entrez/query.fcgi?cmd=Retrieve&amp;amp;db=pubmed&amp;amp;dopt=Abstract&amp;amp;list_uids=33918681&amp;amp;query_hl=1&lt;/_url&gt;&lt;_volume&gt;11&lt;/_volume&gt;&lt;/Details&gt;&lt;Extra&gt;&lt;DBUID&gt;{F96A950B-833F-4880-A151-76DA2D6A2879}&lt;/DBUID&gt;&lt;/Extra&gt;&lt;/Item&gt;&lt;/References&gt;&lt;/Group&gt;&lt;Group&gt;&lt;References&gt;&lt;Item&gt;&lt;ID&gt;572&lt;/ID&gt;&lt;UID&gt;{79F9547B-8FD8-4298-ACD3-9A8545985B69}&lt;/UID&gt;&lt;Title&gt;Multi-level multi-modality (PET and CT) fusion radiomics: prognostic modeling for non-small cell lung carcinoma&lt;/Title&gt;&lt;Template&gt;Journal Article&lt;/Template&gt;&lt;Star&gt;0&lt;/Star&gt;&lt;Tag&gt;0&lt;/Tag&gt;&lt;Author&gt;Amini, M; Nazari, M; Shiri, I; Hajianfar, G; Deevband, M R; Abdollahi, H; Arabi, H; Rahmim, A; Zaidi, H&lt;/Author&gt;&lt;Year&gt;2021&lt;/Year&gt;&lt;Details&gt;&lt;_accessed&gt;64455319&lt;/_accessed&gt;&lt;_accession_num&gt;34544053&lt;/_accession_num&gt;&lt;_author_adr&gt;Division of Nuclear Medicine and Molecular Imaging, Geneva University Hospital, CH-1205 Geneva, Switzerland.; Department of Biomedical Engineering and Medical Physics, Shahid Beheshti University of Medical Sciences, Tehran, Iran.; Department of Biomedical Engineering and Medical Physics, Shahid Beheshti University of Medical Sciences, Tehran, Iran.; Division of Nuclear Medicine and Molecular Imaging, Geneva University Hospital, CH-1205 Geneva, Switzerland.; Rajaie Cardiovascular Medical and Research Center, Iran University of Medical Science, Tehran, Iran.; Department of Biomedical Engineering and Medical Physics, Shahid Beheshti University of Medical Sciences, Tehran, Iran.; Department of Radiologic Technology, School of Allied Medicine, Kerman University of Medical Sciences, Kerman, Iran.; Division of Nuclear Medicine and Molecular Imaging, Geneva University Hospital, CH-1205 Geneva, Switzerland.; Departments of Radiology and Physics, University of British Columbia, Vancouver BC, Canada.; Department of Integrative Oncology, BC Cancer Research Institute, Vancouver BC, Canada.; Division of Nuclear Medicine and Molecular Imaging, Geneva University Hospital, CH-1205 Geneva, Switzerland.; Geneva University Neurocenter, Geneva University, CH-1211 Geneva, Switzerland.; Department of Nuclear Medicine and Molecular Imaging, University of Groningen, University Medical Centre Groningen, Groningen, The Netherlands.; Department of Nuclear Medicine, University of Southern Denmark, Odense, Denmark.&lt;/_author_adr&gt;&lt;_collection_scope&gt;SCI;SCIE;EI&lt;/_collection_scope&gt;&lt;_created&gt;64298895&lt;/_created&gt;&lt;_date&gt;2021-10-14&lt;/_date&gt;&lt;_date_display&gt;2021 Oct 14&lt;/_date_display&gt;&lt;_db_updated&gt;PubMed&lt;/_db_updated&gt;&lt;_doi&gt;10.1088/1361-6560/ac287d&lt;/_doi&gt;&lt;_impact_factor&gt;   3.609&lt;/_impact_factor&gt;&lt;_isbn&gt;1361-6560 (Electronic); 0031-9155 (Linking)&lt;/_isbn&gt;&lt;_issue&gt;20&lt;/_issue&gt;&lt;_journal&gt;Phys Med Biol&lt;/_journal&gt;&lt;_keywords&gt;CT; PET; fusion imaging; non-small cell lung cancer; prognosis; radiomics&lt;/_keywords&gt;&lt;_language&gt;eng&lt;/_language&gt;&lt;_modified&gt;64455319&lt;/_modified&gt;&lt;_ori_publication&gt;(c) 2021 Institute of Physics and Engineering in Medicine.&lt;/_ori_publication&gt;&lt;_tertiary_title&gt;Physics in medicine and biology&lt;/_tertiary_title&gt;&lt;_type_work&gt;Journal Article&lt;/_type_work&gt;&lt;_url&gt;http://www.ncbi.nlm.nih.gov/entrez/query.fcgi?cmd=Retrieve&amp;amp;db=pubmed&amp;amp;dopt=Abstract&amp;amp;list_uids=34544053&amp;amp;query_hl=1&lt;/_url&gt;&lt;_volume&gt;66&lt;/_volume&gt;&lt;/Details&gt;&lt;Extra&gt;&lt;DBUID&gt;{F96A950B-833F-4880-A151-76DA2D6A2879}&lt;/DBUID&gt;&lt;/Extra&gt;&lt;/Item&gt;&lt;/References&gt;&lt;/Group&gt;&lt;/Citation&gt;_x000a_"/>
    <w:docVar w:name="NE.Ref{0FA63258-0B71-44F5-BF59-F9DD829B854F}" w:val=" ADDIN NE.Ref.{0FA63258-0B71-44F5-BF59-F9DD829B854F}&lt;Citation&gt;&lt;Group&gt;&lt;References&gt;&lt;Item&gt;&lt;ID&gt;540&lt;/ID&gt;&lt;UID&gt;{24EE4979-DC6A-4E4C-9AA4-0A5D29D87B36}&lt;/UID&gt;&lt;Title&gt;Value of pre-therapy (18)F-FDG PET/CT radiomics in predicting EGFR mutation status in patients with non-small cell lung cancer&lt;/Title&gt;&lt;Template&gt;Journal Article&lt;/Template&gt;&lt;Star&gt;0&lt;/Star&gt;&lt;Tag&gt;0&lt;/Tag&gt;&lt;Author&gt;Zhang, J; Zhao, X; Zhao, Y; Zhang, J; Zhang, Z; Wang, J; Wang, Y; Dai, M; Han, J&lt;/Author&gt;&lt;Year&gt;2020&lt;/Year&gt;&lt;Details&gt;&lt;_accession_num&gt;31728587&lt;/_accession_num&gt;&lt;_author_adr&gt;Department of Nuclear Medicine, The Fourth Hospital of Hebei Medical University,  12 Jiankang Road, Shijiazhuang, 050011, Hebei, China.; Department of Nuclear Medicine, Baoding No. 1 Central Hospital, Baoding, 071000,  Hebei, China.; Department of Nuclear Medicine, The Fourth Hospital of Hebei Medical University,  12 Jiankang Road, Shijiazhuang, 050011, Hebei, China. xinm_zhao@163.com.; Department of Medical Oncology, The Fourth Hospital of Hebei Medical University,  Shijiazhuang, 050011, Hebei, China.; Department of Nuclear Medicine, The Fourth Hospital of Hebei Medical University,  12 Jiankang Road, Shijiazhuang, 050011, Hebei, China.; Department of Nuclear Medicine, The Fourth Hospital of Hebei Medical University,  12 Jiankang Road, Shijiazhuang, 050011, Hebei, China.; Department of Nuclear Medicine, The Fourth Hospital of Hebei Medical University,  12 Jiankang Road, Shijiazhuang, 050011, Hebei, China.; Department of Nuclear Medicine, The Fourth Hospital of Hebei Medical University,  12 Jiankang Road, Shijiazhuang, 050011, Hebei, China.; Department of Nuclear Medicine, The Fourth Hospital of Hebei Medical University,  12 Jiankang Road, Shijiazhuang, 050011, Hebei, China.; Department of Nuclear Medicine, The Fourth Hospital of Hebei Medical University,  12 Jiankang Road, Shijiazhuang, 050011, Hebei, China.&lt;/_author_adr&gt;&lt;_created&gt;64298751&lt;/_created&gt;&lt;_date&gt;2020-05-01&lt;/_date&gt;&lt;_date_display&gt;2020 May&lt;/_date_display&gt;&lt;_db_updated&gt;PubMed&lt;/_db_updated&gt;&lt;_doi&gt;10.1007/s00259-019-04592-1&lt;/_doi&gt;&lt;_impact_factor&gt;   9.236&lt;/_impact_factor&gt;&lt;_isbn&gt;1619-7089 (Electronic); 1619-7070 (Linking)&lt;/_isbn&gt;&lt;_issue&gt;5&lt;/_issue&gt;&lt;_journal&gt;Eur J Nucl Med Mol Imaging&lt;/_journal&gt;&lt;_keywords&gt;*18F-FDG; *Epidermal growth factor receptor; *Non-small cell lung cancer; *PET/CT; *Radiomics&lt;/_keywords&gt;&lt;_language&gt;eng&lt;/_language&gt;&lt;_modified&gt;64298751&lt;/_modified&gt;&lt;_pages&gt;1137-1146&lt;/_pages&gt;&lt;_subject_headings&gt;*Carcinoma, Non-Small-Cell Lung/diagnostic imaging/genetics; ErbB Receptors/genetics; Fluorodeoxyglucose F18; Humans; *Lung Neoplasms/diagnostic imaging/genetics; Mutation; Positron Emission Tomography Computed Tomography&lt;/_subject_headings&gt;&lt;_tertiary_title&gt;European journal of nuclear medicine and molecular imaging&lt;/_tertiary_title&gt;&lt;_type_work&gt;Journal Article; Research Support, Non-U.S. Gov&amp;apos;t&lt;/_type_work&gt;&lt;_url&gt;http://www.ncbi.nlm.nih.gov/entrez/query.fcgi?cmd=Retrieve&amp;amp;db=pubmed&amp;amp;dopt=Abstract&amp;amp;list_uids=31728587&amp;amp;query_hl=1&lt;/_url&gt;&lt;_volume&gt;47&lt;/_volume&gt;&lt;/Details&gt;&lt;Extra&gt;&lt;DBUID&gt;{F96A950B-833F-4880-A151-76DA2D6A2879}&lt;/DBUID&gt;&lt;/Extra&gt;&lt;/Item&gt;&lt;/References&gt;&lt;/Group&gt;&lt;Group&gt;&lt;References&gt;&lt;Item&gt;&lt;ID&gt;561&lt;/ID&gt;&lt;UID&gt;{FE1F2CC1-8883-4E33-89F1-FACEE5EA137F}&lt;/UID&gt;&lt;Title&gt;Radiomic Features Are Associated With EGFR Mutation Status in Lung Adenocarcinomas&lt;/Title&gt;&lt;Template&gt;Journal Article&lt;/Template&gt;&lt;Star&gt;0&lt;/Star&gt;&lt;Tag&gt;0&lt;/Tag&gt;&lt;Author&gt;Liu, Y; Kim, J; Balagurunathan, Y; Li, Q; Garcia, A L; Stringfield, O; Ye, Z; Gillies, R J&lt;/Author&gt;&lt;Year&gt;2016&lt;/Year&gt;&lt;Details&gt;&lt;_accessed&gt;64330461&lt;/_accessed&gt;&lt;_accession_num&gt;27017476&lt;/_accession_num&gt;&lt;_author_adr&gt;Department of Radiology, Tianjin Medical University Cancer Institute and Hospital, National Clinical Research Center of Cancer, Key Laboratory of Cancer Prevention and Therapy, Tianjin, PR China; Department of Cancer Imaging and Metabolism, H. Lee Moffitt Cancer Center and Research Institute, Tampa, FL.; Department of Biostatistics and Bioinformatics, H. Lee Moffitt Cancer Center and  Research Institute, Tampa, FL.; Department of Cancer Imaging and Metabolism, H. Lee Moffitt Cancer Center and Research Institute, Tampa, FL.; Department of Radiology, Tianjin Medical University Cancer Institute and Hospital, National Clinical Research Center of Cancer, Key Laboratory of Cancer Prevention and Therapy, Tianjin, PR China; Department of Cancer Imaging and Metabolism, H. Lee Moffitt Cancer Center and Research Institute, Tampa, FL.; Department of Cancer Imaging and Metabolism, H. Lee Moffitt Cancer Center and Research Institute, Tampa, FL.; Department of Cancer Imaging and Metabolism, H. Lee Moffitt Cancer Center and Research Institute, Tampa, FL.; Department of Radiology, Tianjin Medical University Cancer Institute and Hospital, National Clinical Research Center of Cancer, Key Laboratory of Cancer Prevention and Therapy, Tianjin, PR China. Electronic address: yezhaoxiang@163.com.; Department of Cancer Imaging and Metabolism, H. Lee Moffitt Cancer Center and Research Institute, Tampa, FL; Department of Radiology, H. Lee Moffitt Cancer Center and Research Institute, Tampa, FL. Electronic address: Robert.Gillies@moffitt.org.&lt;/_author_adr&gt;&lt;_collection_scope&gt;SCIE&lt;/_collection_scope&gt;&lt;_created&gt;64298836&lt;/_created&gt;&lt;_date&gt;2016-09-01&lt;/_date&gt;&lt;_date_display&gt;2016 Sep&lt;/_date_display&gt;&lt;_db_updated&gt;PubMed&lt;/_db_updated&gt;&lt;_doi&gt;10.1016/j.cllc.2016.02.001&lt;/_doi&gt;&lt;_impact_factor&gt;   4.785&lt;/_impact_factor&gt;&lt;_isbn&gt;1938-0690 (Electronic); 1525-7304 (Linking)&lt;/_isbn&gt;&lt;_issue&gt;5&lt;/_issue&gt;&lt;_journal&gt;Clin Lung Cancer&lt;/_journal&gt;&lt;_keywords&gt;*Epidermal growth factor receptor; *Logistic model; *Peripheral lung adenocarcinoma; *Tomography; *X-ray computed&lt;/_keywords&gt;&lt;_language&gt;eng&lt;/_language&gt;&lt;_modified&gt;64330461&lt;/_modified&gt;&lt;_ori_publication&gt;Copyright (c) 2016 The Authors. Published by Elsevier Inc. All rights reserved.&lt;/_ori_publication&gt;&lt;_pages&gt;441-448.e6&lt;/_pages&gt;&lt;_subject_headings&gt;Adenocarcinoma/*diagnostic imaging/genetics/surgery; Adenocarcinoma of Lung; Adult; Aged; Aged, 80 and over; Asians; ErbB Receptors/*genetics; Female; Humans; Logistic Models; Lung Neoplasms/*diagnostic imaging/genetics/surgery; Male; Middle Aged; Mutation; Predictive Value of Tests; Retrospective Studies; Sex Factors; Smoking/epidemiology; Tomography, X-Ray Computed/*methods&lt;/_subject_headings&gt;&lt;_tertiary_title&gt;Clinical lung cancer&lt;/_tertiary_title&gt;&lt;_type_work&gt;Journal Article&lt;/_type_work&gt;&lt;_url&gt;http://www.ncbi.nlm.nih.gov/entrez/query.fcgi?cmd=Retrieve&amp;amp;db=pubmed&amp;amp;dopt=Abstract&amp;amp;list_uids=27017476&amp;amp;query_hl=1&lt;/_url&gt;&lt;_volume&gt;17&lt;/_volume&gt;&lt;/Details&gt;&lt;Extra&gt;&lt;DBUID&gt;{F96A950B-833F-4880-A151-76DA2D6A2879}&lt;/DBUID&gt;&lt;/Extra&gt;&lt;/Item&gt;&lt;/References&gt;&lt;/Group&gt;&lt;Group&gt;&lt;References&gt;&lt;Item&gt;&lt;ID&gt;563&lt;/ID&gt;&lt;UID&gt;{6FAC0F1C-8C49-4815-A116-66D5035549A7}&lt;/UID&gt;&lt;Title&gt;CT and clinical characteristics that predict risk of EGFR mutation in non-small cell lung cancer: a systematic review and meta-analysis&lt;/Title&gt;&lt;Template&gt;Journal Article&lt;/Template&gt;&lt;Star&gt;0&lt;/Star&gt;&lt;Tag&gt;0&lt;/Tag&gt;&lt;Author&gt;Zhang, H; Cai, W; Wang, Y; Liao, M; Tian, S&lt;/Author&gt;&lt;Year&gt;2019&lt;/Year&gt;&lt;Details&gt;&lt;_accessed&gt;64307125&lt;/_accessed&gt;&lt;_accession_num&gt;30835006&lt;/_accession_num&gt;&lt;_author_adr&gt;Department of Radiology, Zhongnan Hospital of Wuhan University, No.169 Donghu Road, Wuchang District, Wuhan, 430071, Hubei, China.; Department of Radiology, Zhongnan Hospital of Wuhan University, No.169 Donghu Road, Wuchang District, Wuhan, 430071, Hubei, China.; Department of Radiology, Zhongnan Hospital of Wuhan University, No.169 Donghu Road, Wuchang District, Wuhan, 430071, Hubei, China.; Department of Radiology, Zhongnan Hospital of Wuhan University, No.169 Donghu Road, Wuchang District, Wuhan, 430071, Hubei, China. liaomy@whu.edu.cn.; Department of Pathology, Zhongnan Hospital of Wuhan University, Wuhan, China.&lt;/_author_adr&gt;&lt;_collection_scope&gt;SCIE&lt;/_collection_scope&gt;&lt;_created&gt;64298838&lt;/_created&gt;&lt;_date&gt;2019-06-01&lt;/_date&gt;&lt;_date_display&gt;2019 Jun&lt;/_date_display&gt;&lt;_db_updated&gt;PubMed&lt;/_db_updated&gt;&lt;_doi&gt;10.1007/s10147-019-01403-3&lt;/_doi&gt;&lt;_impact_factor&gt;   3.402&lt;/_impact_factor&gt;&lt;_isbn&gt;1437-7772 (Electronic); 1341-9625 (Linking)&lt;/_isbn&gt;&lt;_issue&gt;6&lt;/_issue&gt;&lt;_journal&gt;Int J Clin Oncol&lt;/_journal&gt;&lt;_keywords&gt;Epidermal growth factor receptor; Meta-analysis; Non-small cell lung carcinoma; Spiral computed tomography&lt;/_keywords&gt;&lt;_language&gt;eng&lt;/_language&gt;&lt;_modified&gt;64307125&lt;/_modified&gt;&lt;_pages&gt;649-659&lt;/_pages&gt;&lt;_subject_headings&gt;Carcinoma, Non-Small-Cell Lung/diagnostic imaging/*genetics/*pathology; ErbB Receptors/genetics; Humans; Lung Neoplasms/diagnostic imaging/*genetics/*pathology; *Mutation; ROC Curve; Tomography, X-Ray Computed/*methods&lt;/_subject_headings&gt;&lt;_tertiary_title&gt;International journal of clinical oncology&lt;/_tertiary_title&gt;&lt;_type_work&gt;Journal Article; Meta-Analysis; Systematic Review&lt;/_type_work&gt;&lt;_url&gt;http://www.ncbi.nlm.nih.gov/entrez/query.fcgi?cmd=Retrieve&amp;amp;db=pubmed&amp;amp;dopt=Abstract&amp;amp;list_uids=30835006&amp;amp;query_hl=1&lt;/_url&gt;&lt;_volume&gt;24&lt;/_volume&gt;&lt;/Details&gt;&lt;Extra&gt;&lt;DBUID&gt;{F96A950B-833F-4880-A151-76DA2D6A2879}&lt;/DBUID&gt;&lt;/Extra&gt;&lt;/Item&gt;&lt;/References&gt;&lt;/Group&gt;&lt;Group&gt;&lt;References&gt;&lt;Item&gt;&lt;ID&gt;564&lt;/ID&gt;&lt;UID&gt;{CD44FCF6-870B-40D3-8AAF-33AA79D41276}&lt;/UID&gt;&lt;Title&gt;CT Radiogenomic Characterization of EGFR, K-RAS, and ALK Mutations in Non-Small Cell Lung Cancer&lt;/Title&gt;&lt;Template&gt;Journal Article&lt;/Template&gt;&lt;Star&gt;0&lt;/Star&gt;&lt;Tag&gt;0&lt;/Tag&gt;&lt;Author&gt;Rizzo, S; Petrella, F; Buscarino, V; De Maria, F; Raimondi, S; Barberis, M; Fumagalli, C; Spitaleri, G; Rampinelli, C; De Marinis, F; Spaggiari, L; Bellomi, M&lt;/Author&gt;&lt;Year&gt;2016&lt;/Year&gt;&lt;Details&gt;&lt;_accessed&gt;64455326&lt;/_accessed&gt;&lt;_accession_num&gt;25956936&lt;/_accession_num&gt;&lt;_author_adr&gt;Department of Radiology, European Institute of Oncology, via Ripamonti 435, 20141, Milan, Italy. stefania.rizzo@ieo.it.; Department of Thoracic Surgery, European Institute of Oncology, via Ripamonti 435, 20141, Milan, Italy.; Department of Health Sciences, University of Milan, via A. di Rudini 8, 20142, Milan, Italy.; Department of Health Sciences, University of Milan, via A. di Rudini 8, 20142, Milan, Italy.; Department of Epidemiology and Biostatistics, European Institute of Oncology, via Ramusio, 1, 20141, Milan, Italy.; Department of Pathology, European Institute of Oncology, via Ripamonti 435, 20141, Milan, Italy.; Department of Pathology, European Institute of Oncology, via Ripamonti 435, 20141, Milan, Italy.; Department of Thoracic Oncology, European Institute of Oncology, via Ripamonti 435, 20141, Milan, Italy.; Department of Radiology, European Institute of Oncology, via Ripamonti 435, 20141, Milan, Italy.; Department of Thoracic Oncology, European Institute of Oncology, via Ripamonti 435, 20141, Milan, Italy.; Department of Thoracic Surgery, European Institute of Oncology, via Ripamonti 435, 20141, Milan, Italy.; Department of Radiology, European Institute of Oncology, via Ripamonti 435, 20141, Milan, Italy.; Department of Health Sciences, University of Milan, via A. di Rudini 8, 20142, Milan, Italy.&lt;/_author_adr&gt;&lt;_collection_scope&gt;SCI;SCIE&lt;/_collection_scope&gt;&lt;_created&gt;64298839&lt;/_created&gt;&lt;_date&gt;2016-01-01&lt;/_date&gt;&lt;_date_display&gt;2016 Jan&lt;/_date_display&gt;&lt;_db_updated&gt;PubMed&lt;/_db_updated&gt;&lt;_doi&gt;10.1007/s00330-015-3814-0&lt;/_doi&gt;&lt;_impact_factor&gt;   5.315&lt;/_impact_factor&gt;&lt;_isbn&gt;1432-1084 (Electronic); 0938-7994 (Linking)&lt;/_isbn&gt;&lt;_issue&gt;1&lt;/_issue&gt;&lt;_journal&gt;Eur Radiol&lt;/_journal&gt;&lt;_keywords&gt;Anaplastic lymphoma kinase (ALK); Computed Tomography (CT); Epidermal growth factor receptor (EFGR); Kirsten rat sarcoma (KRAS); Non-small cell lung carcinoma (NSCLC)&lt;/_keywords&gt;&lt;_language&gt;eng&lt;/_language&gt;&lt;_modified&gt;64455326&lt;/_modified&gt;&lt;_pages&gt;32-42&lt;/_pages&gt;&lt;_subject_headings&gt;Aged; Anaplastic Lymphoma Kinase; Carcinoma, Non-Small-Cell Lung/diagnostic imaging/*genetics; ErbB Receptors/*genetics; Female; Gene Rearrangement/genetics; Genes, ras/*genetics; Humans; Lung Neoplasms/diagnostic imaging/*genetics; Male; Mutation/*genetics; Pleural Effusion/diagnostic imaging/genetics; ROC Curve; Receptor Protein-Tyrosine Kinases/*genetics; Smoking/genetics; Tomography, X-Ray Computed&lt;/_subject_headings&gt;&lt;_tertiary_title&gt;European radiology&lt;/_tertiary_title&gt;&lt;_type_work&gt;Journal Article; Observational Study&lt;/_type_work&gt;&lt;_url&gt;http://www.ncbi.nlm.nih.gov/entrez/query.fcgi?cmd=Retrieve&amp;amp;db=pubmed&amp;amp;dopt=Abstract&amp;amp;list_uids=25956936&amp;amp;query_hl=1&lt;/_url&gt;&lt;_volume&gt;26&lt;/_volume&gt;&lt;/Details&gt;&lt;Extra&gt;&lt;DBUID&gt;{F96A950B-833F-4880-A151-76DA2D6A2879}&lt;/DBUID&gt;&lt;/Extra&gt;&lt;/Item&gt;&lt;/References&gt;&lt;/Group&gt;&lt;Group&gt;&lt;References&gt;&lt;Item&gt;&lt;ID&gt;565&lt;/ID&gt;&lt;UID&gt;{2BEFD272-D22A-4303-9DCC-C95DF8CA8FC0}&lt;/UID&gt;&lt;Title&gt;Predicting EGFR mutation status in lung cancer:Proposal for a scoring model using imaging and demographic characteristics&lt;/Title&gt;&lt;Template&gt;Journal Article&lt;/Template&gt;&lt;Star&gt;0&lt;/Star&gt;&lt;Tag&gt;0&lt;/Tag&gt;&lt;Author&gt;Sabri, A; Batool, M; Xu, Z; Bethune, D; Abdolell, M; Manos, D&lt;/Author&gt;&lt;Year&gt;2016&lt;/Year&gt;&lt;Details&gt;&lt;_accessed&gt;64331206&lt;/_accessed&gt;&lt;_accession_num&gt;27027313&lt;/_accession_num&gt;&lt;_author_adr&gt;Department of Diagnostic Radiology, Dalhousie University, Victoria Building, room 307, 1276 South Park Street, PO BOX 9000, Halifax, Nova Scotia, B3H 2Y9, Canada.  sabri.ali@gmail.com.; Halifax Infirmary, Room 3510, 1796 Summer Street, Halifax, NS, Canada. sabri.ali@gmail.com.; Department of Diagnostic Radiology, Dalhousie University, Victoria Building, room 307, 1276 South Park Street, PO BOX 9000, Halifax, Nova Scotia, B3H 2Y9, Canada.; Department of Pathology, Dalhousie University, Halifax, Nova Scotia, Canada.; Department of Surgery, Dalhousie University, QEII Health Sciences center, Halifax, Nova Scotia, Canada.; Department of Diagnostic Radiology, Dalhousie University, Victoria Building, room 307, 1276 South Park Street, PO BOX 9000, Halifax, Nova Scotia, B3H 2Y9, Canada.; Department of Diagnostic Radiology, Dalhousie University, Victoria Building, room 307, 1276 South Park Street, PO BOX 9000, Halifax, Nova Scotia, B3H 2Y9, Canada.&lt;/_author_adr&gt;&lt;_collection_scope&gt;SCI;SCIE&lt;/_collection_scope&gt;&lt;_created&gt;64298842&lt;/_created&gt;&lt;_date&gt;2016-11-01&lt;/_date&gt;&lt;_date_display&gt;2016 Nov&lt;/_date_display&gt;&lt;_db_updated&gt;PubMed&lt;/_db_updated&gt;&lt;_doi&gt;10.1007/s00330-016-4252-3&lt;/_doi&gt;&lt;_impact_factor&gt;   5.315&lt;/_impact_factor&gt;&lt;_isbn&gt;1432-1084 (Electronic); 0938-7994 (Linking)&lt;/_isbn&gt;&lt;_issue&gt;11&lt;/_issue&gt;&lt;_journal&gt;Eur Radiol&lt;/_journal&gt;&lt;_keywords&gt;Adenocarcinoma; EGFR; Gene mutation; Lung cancer; Scoring model&lt;/_keywords&gt;&lt;_language&gt;eng&lt;/_language&gt;&lt;_modified&gt;64331206&lt;/_modified&gt;&lt;_pages&gt;4141-4147&lt;/_pages&gt;&lt;_subject_headings&gt;Adult; Aged; Carcinoma, Non-Small-Cell Lung/*genetics/pathology; Demography; ErbB Receptors/*genetics; Female; Humans; Lung Neoplasms/*genetics/pathology; Male; Middle Aged; Mutation/*genetics; Reproducibility of Results; Retrospective Studies&lt;/_subject_headings&gt;&lt;_tertiary_title&gt;European radiology&lt;/_tertiary_title&gt;&lt;_type_work&gt;Journal Article&lt;/_type_work&gt;&lt;_url&gt;http://www.ncbi.nlm.nih.gov/entrez/query.fcgi?cmd=Retrieve&amp;amp;db=pubmed&amp;amp;dopt=Abstract&amp;amp;list_uids=27027313&amp;amp;query_hl=1&lt;/_url&gt;&lt;_volume&gt;26&lt;/_volume&gt;&lt;/Details&gt;&lt;Extra&gt;&lt;DBUID&gt;{F96A950B-833F-4880-A151-76DA2D6A2879}&lt;/DBUID&gt;&lt;/Extra&gt;&lt;/Item&gt;&lt;/References&gt;&lt;/Group&gt;&lt;Group&gt;&lt;References&gt;&lt;Item&gt;&lt;ID&gt;566&lt;/ID&gt;&lt;UID&gt;{E8769B10-F131-47F2-AE8E-7C39213CC42B}&lt;/UID&gt;&lt;Title&gt;Predictive radiogenomics modeling of EGFR mutation status in lung cancer&lt;/Title&gt;&lt;Template&gt;Journal Article&lt;/Template&gt;&lt;Star&gt;0&lt;/Star&gt;&lt;Tag&gt;0&lt;/Tag&gt;&lt;Author&gt;Gevaert, O; Echegaray, S; Khuong, A; Hoang, C D; Shrager, J B; Jensen, K C; Berry, G J; Guo, H H; Lau, C; Plevritis, S K; Rubin, D L; Napel, S; Leung, A N&lt;/Author&gt;&lt;Year&gt;2017&lt;/Year&gt;&lt;Details&gt;&lt;_accession_num&gt;28139704&lt;/_accession_num&gt;&lt;_author_adr&gt;Stanford Center for Biomedical Informatics Research, Department of Medicine &amp;amp;Department of Biomedical Data Science, Stanford University, Stanford, CA, USA.; Department of Radiology, Stanford University, Stanford, CA, USA.; Thoracic and GI Oncology Branch, CCR, National Institutes of Health, National Cancer Institute, Bethesda, MD, USA.; Thoracic and GI Oncology Branch, CCR, National Institutes of Health, National Cancer Institute, Bethesda, MD, USA.; Thoracic and GI Oncology Branch, CCR, National Institutes of Health, National Cancer Institute, Bethesda, MD, USA.; Department of Pathology, Stanford University Medical Center, Stanford, CA, USA.; Pathology and Laboratory Service of Veterans Affairs Palo Alto Health Care System, Palo Alto, CA, USA.; Department of Pathology, Stanford University Medical Center, Stanford, CA, USA.; Department of Radiology, Stanford University, Stanford, CA, USA.; Department of Radiology, Stanford University, Veterans Affairs Palo Alto Health Care System, Palo Alto, CA, USA.; Department of Radiology, Stanford University, Stanford, CA, USA.; Department of Radiology, Stanford University, Stanford, CA, USA.; Department of Radiology, Stanford University, Stanford, CA, USA.; Department of Radiology, Stanford University, Stanford, CA, USA.&lt;/_author_adr&gt;&lt;_created&gt;64298843&lt;/_created&gt;&lt;_date&gt;2017-01-31&lt;/_date&gt;&lt;_date_display&gt;2017 Jan 31&lt;/_date_display&gt;&lt;_db_updated&gt;PubMed&lt;/_db_updated&gt;&lt;_doi&gt;10.1038/srep41674&lt;/_doi&gt;&lt;_impact_factor&gt;   4.380&lt;/_impact_factor&gt;&lt;_isbn&gt;2045-2322 (Electronic); 2045-2322 (Linking)&lt;/_isbn&gt;&lt;_journal&gt;Sci Rep&lt;/_journal&gt;&lt;_language&gt;eng&lt;/_language&gt;&lt;_modified&gt;64307124&lt;/_modified&gt;&lt;_pages&gt;41674&lt;/_pages&gt;&lt;_subject_headings&gt;Area Under Curve; Biomarkers, Tumor; Decision Trees; ErbB Receptors/*genetics; Female; *Genomics/methods; Humans; Lung Neoplasms/*genetics/pathology; Male; Multivariate Analysis; *Mutation; Proto-Oncogene Proteins p21(ras)/genetics&lt;/_subject_headings&gt;&lt;_tertiary_title&gt;Scientific reports&lt;/_tertiary_title&gt;&lt;_type_work&gt;Journal Article; Research Support, N.I.H., Extramural&lt;/_type_work&gt;&lt;_url&gt;http://www.ncbi.nlm.nih.gov/entrez/query.fcgi?cmd=Retrieve&amp;amp;db=pubmed&amp;amp;dopt=Abstract&amp;amp;list_uids=28139704&amp;amp;query_hl=1&lt;/_url&gt;&lt;_volume&gt;7&lt;/_volume&gt;&lt;/Details&gt;&lt;Extra&gt;&lt;DBUID&gt;{F96A950B-833F-4880-A151-76DA2D6A2879}&lt;/DBUID&gt;&lt;/Extra&gt;&lt;/Item&gt;&lt;/References&gt;&lt;/Group&gt;&lt;/Citation&gt;_x000a_"/>
    <w:docVar w:name="NE.Ref{14978708-E121-44E6-B9A6-74C18E9BC76D}" w:val=" ADDIN NE.Ref.{14978708-E121-44E6-B9A6-74C18E9BC76D}&lt;Citation&gt;&lt;Group&gt;&lt;References&gt;&lt;Item&gt;&lt;ID&gt;520&lt;/ID&gt;&lt;UID&gt;{107EE939-9F44-478D-9623-F0980FB13D8D}&lt;/UID&gt;&lt;Title&gt;Mechanisms of Resistance to Epidermal Growth Factor Receptor Inhibitors and Novel Therapeutic Strategies to Overcome Resistance in NSCLC Patients&lt;/Title&gt;&lt;Template&gt;Journal Article&lt;/Template&gt;&lt;Star&gt;0&lt;/Star&gt;&lt;Tag&gt;0&lt;/Tag&gt;&lt;Author&gt;Lin, L; Bivona, T G&lt;/Author&gt;&lt;Year&gt;2012&lt;/Year&gt;&lt;Details&gt;&lt;_accession_num&gt;22970367&lt;/_accession_num&gt;&lt;_author_adr&gt;Division of Hematology/Oncology, Department of Medicine, USCF Helen Diller Family Comprehensive Cancer Center, University of California, San Francisco, San Francisco, CA 94158, USA.&lt;/_author_adr&gt;&lt;_date_display&gt;2012&lt;/_date_display&gt;&lt;_date&gt;2012-01-20&lt;/_date&gt;&lt;_doi&gt;10.1155/2012/817297&lt;/_doi&gt;&lt;_isbn&gt;2090-2115 (Electronic); 2090-2107 (Linking)&lt;/_isbn&gt;&lt;_journal&gt;Chemother Res Pract&lt;/_journal&gt;&lt;_language&gt;eng&lt;/_language&gt;&lt;_pages&gt;817297&lt;/_pages&gt;&lt;_tertiary_title&gt;Chemotherapy research and practice&lt;/_tertiary_title&gt;&lt;_type_work&gt;Journal Article&lt;/_type_work&gt;&lt;_url&gt;http://www.ncbi.nlm.nih.gov/entrez/query.fcgi?cmd=Retrieve&amp;amp;db=pubmed&amp;amp;dopt=Abstract&amp;amp;list_uids=22970367&amp;amp;query_hl=1&lt;/_url&gt;&lt;_volume&gt;2012&lt;/_volume&gt;&lt;_created&gt;64298704&lt;/_created&gt;&lt;_modified&gt;64298705&lt;/_modified&gt;&lt;_db_updated&gt;PubMed&lt;/_db_updated&gt;&lt;/Details&gt;&lt;Extra&gt;&lt;DBUID&gt;{F96A950B-833F-4880-A151-76DA2D6A2879}&lt;/DBUID&gt;&lt;/Extra&gt;&lt;/Item&gt;&lt;/References&gt;&lt;/Group&gt;&lt;/Citation&gt;_x000a_"/>
    <w:docVar w:name="NE.Ref{14E6D0A0-C893-4282-BF55-860B82928C7A}" w:val=" ADDIN NE.Ref.{14E6D0A0-C893-4282-BF55-860B82928C7A}&lt;Citation&gt;&lt;Group&gt;&lt;References&gt;&lt;Item&gt;&lt;ID&gt;536&lt;/ID&gt;&lt;UID&gt;{37DE5AED-8C3D-4EF8-9313-858DAEE2EC3E}&lt;/UID&gt;&lt;Title&gt;A Machine Learning Model Based on PET/CT Radiomics and Clinical Characteristics Predicts ALK Rearrangement Status in Lung Adenocarcinoma&lt;/Title&gt;&lt;Template&gt;Journal Article&lt;/Template&gt;&lt;Star&gt;0&lt;/Star&gt;&lt;Tag&gt;0&lt;/Tag&gt;&lt;Author&gt;Chang, C; Sun, X; Wang, G; Yu, H; Zhao, W; Ge, Y; Duan, S; Qian, X; Wang, R; Lei, B; Wang, L; Liu, L; Ruan, M; Yan, H; Liu, C; Chen, J; Xie, W&lt;/Author&gt;&lt;Year&gt;2021&lt;/Year&gt;&lt;Details&gt;&lt;_accessed&gt;64330488&lt;/_accessed&gt;&lt;_accession_num&gt;33738250&lt;/_accession_num&gt;&lt;_author_adr&gt;Department of Nuclear Medicine, Shanghai Chest Hospital, Shanghai Jiao Tong University, Shanghai, China.; Clinical and Translational Center in Shanghai Chest Hospital, Shanghai Key Laboratory for Molecular Imaging, Shanghai University of Medicine and Health Sciences, Shanghai, China.; Department of Nuclear Medicine, Shanghai Chest Hospital, Shanghai Jiao Tong University, Shanghai, China.; Clinical and Translational Center in Shanghai Chest Hospital, Shanghai Key Laboratory for Molecular Imaging, Shanghai University of Medicine and Health Sciences, Shanghai, China.; Statistical Center, Shanghai Chest Hospital, Shanghai Jiao Tong University, Shanghai, China.; Department of Radiology, Shanghai Chest Hospital, Shanghai Jiao Tong University,  Shanghai, China.; Department of Radiology, Second Affiliated Hospital of Soochow University, Suzhou, China.; Pharmaceutical Diagnostic Department, GE Healthcare China, Shanghai, China.; Pharmaceutical Diagnostic Department, GE Healthcare China, Shanghai, China.; Institute for Medical Imaging Technology, School of Biomedical Engineering, Shanghai Jiao Tong University, Shanghai, China.; Department of Thoracic Surgery, Shanghai Chest Hospital, Shanghai Jiao Tong University, Shanghai, China.; Department of Nuclear Medicine, Shanghai Chest Hospital, Shanghai Jiao Tong University, Shanghai, China.; Department of Nuclear Medicine, Shanghai Chest Hospital, Shanghai Jiao Tong University, Shanghai, China.; Department of Nuclear Medicine, Shanghai Chest Hospital, Shanghai Jiao Tong University, Shanghai, China.; Clinical and Translational Center in Shanghai Chest Hospital, Shanghai Key Laboratory for Molecular Imaging, Shanghai University of Medicine and Health Sciences, Shanghai, China.; Department of Nuclear Medicine, Shanghai Chest Hospital, Shanghai Jiao Tong University, Shanghai, China.; Department of Nuclear Medicine, Shanghai Chest Hospital, Shanghai Jiao Tong University, Shanghai, China.; Department of Nuclear Medicine, Shanghai Chest Hospital, Shanghai Jiao Tong University, Shanghai, China.; Department of Ultrasound, Shanghai Chest Hospital, Shanghai Jiao Tong University, Shanghai, China.; Department of Nuclear Medicine, Shanghai Chest Hospital, Shanghai Jiao Tong University, Shanghai, China.; Clinical and Translational Center in Shanghai Chest Hospital, Shanghai Key Laboratory for Molecular Imaging, Shanghai University of Medicine and Health Sciences, Shanghai, China.&lt;/_author_adr&gt;&lt;_collection_scope&gt;SCIE&lt;/_collection_scope&gt;&lt;_created&gt;64298747&lt;/_created&gt;&lt;_date&gt;2021-01-20&lt;/_date&gt;&lt;_date_display&gt;2021&lt;/_date_display&gt;&lt;_db_updated&gt;PubMed&lt;/_db_updated&gt;&lt;_doi&gt;10.3389/fonc.2021.603882&lt;/_doi&gt;&lt;_impact_factor&gt;   6.244&lt;/_impact_factor&gt;&lt;_isbn&gt;2234-943X (Print); 2234-943X (Linking)&lt;/_isbn&gt;&lt;_journal&gt;Front Oncol&lt;/_journal&gt;&lt;_keywords&gt;anaplastic lymphoma kinase (ALK) rearrangement; lung adenocarcinoma; machine learning; positron emission tomography/computed tomography (PET/CT); radiomics&lt;/_keywords&gt;&lt;_language&gt;eng&lt;/_language&gt;&lt;_modified&gt;64330488&lt;/_modified&gt;&lt;_ori_publication&gt;Copyright (c) 2021 Chang, Sun, Wang, Yu, Zhao, Ge, Duan, Qian, Wang, Lei, Wang,_x000d__x000a_      Liu, Ruan, Yan, Liu, Chen and Xie.&lt;/_ori_publication&gt;&lt;_pages&gt;603882&lt;/_pages&gt;&lt;_tertiary_title&gt;Frontiers in oncology&lt;/_tertiary_title&gt;&lt;_type_work&gt;Journal Article&lt;/_type_work&gt;&lt;_url&gt;http://www.ncbi.nlm.nih.gov/entrez/query.fcgi?cmd=Retrieve&amp;amp;db=pubmed&amp;amp;dopt=Abstract&amp;amp;list_uids=33738250&amp;amp;query_hl=1&lt;/_url&gt;&lt;_volume&gt;11&lt;/_volume&gt;&lt;/Details&gt;&lt;Extra&gt;&lt;DBUID&gt;{F96A950B-833F-4880-A151-76DA2D6A2879}&lt;/DBUID&gt;&lt;/Extra&gt;&lt;/Item&gt;&lt;/References&gt;&lt;/Group&gt;&lt;Group&gt;&lt;References&gt;&lt;Item&gt;&lt;ID&gt;537&lt;/ID&gt;&lt;UID&gt;{6365AE25-40CF-42AB-B9DA-74DCDA043070}&lt;/UID&gt;&lt;Title&gt;Predicting EGFR mutation subtypes in lung adenocarcinoma using (18)F-FDG PET/CT radiomic features&lt;/Title&gt;&lt;Template&gt;Journal Article&lt;/Template&gt;&lt;Star&gt;0&lt;/Star&gt;&lt;Tag&gt;0&lt;/Tag&gt;&lt;Author&gt;Liu, Q; Sun, D; Li, N; Kim, J; Feng, D; Huang, G; Wang, L; Song, S&lt;/Author&gt;&lt;Year&gt;2020&lt;/Year&gt;&lt;Details&gt;&lt;_accessed&gt;64331190&lt;/_accessed&gt;&lt;_accession_num&gt;32676319&lt;/_accession_num&gt;&lt;_author_adr&gt;Department of Nuclear Medicine, Fudan University Shanghai Cancer Center, Shanghai Medical College, Fudan University, Shanghai 200032, China.; Department of Oncology, Shanghai Medical College, Fudan University, Shanghai 200032, China.; SJTU-USYD Joint Research Alliance for Translational Medicine, Shanghai Jiao Tong  University, Shanghai 200240, China.; SJTU-USYD Joint Research Alliance for Translational Medicine, Shanghai Jiao Tong  University, Shanghai 200240, China.; Department of Automation, Shanghai Jiao Tong University, Shanghai 200240, China.; Department of Nuclear Medicine, Fudan University Shanghai Cancer Center, Shanghai Medical College, Fudan University, Shanghai 200032, China.; Department of Oncology, Shanghai Medical College, Fudan University, Shanghai 200032, China.; SJTU-USYD Joint Research Alliance for Translational Medicine, Shanghai Jiao Tong  University, Shanghai 200240, China.; Biomedical and Multimedia Information Technology Research Group, School of Computer Science, University of Sydney, Sydney, Australia.; Shanghai Key Laboratory for Molecular Imaging, Shanghai University of Medicine and Health Sciences, Shanghai 201318, China.; SJTU-USYD Joint Research Alliance for Translational Medicine, Shanghai Jiao Tong  University, Shanghai 200240, China.; Biomedical and Multimedia Information Technology Research Group, School of Computer Science, University of Sydney, Sydney, Australia.; Shanghai Key Laboratory for Molecular Imaging, Shanghai University of Medicine and Health Sciences, Shanghai 201318, China.; SJTU-USYD Joint Research Alliance for Translational Medicine, Shanghai Jiao Tong  University, Shanghai 200240, China.; Shanghai Key Laboratory for Molecular Imaging, Shanghai University of Medicine and Health Sciences, Shanghai 201318, China.; Department of Nuclear Medicine, Renji Hospital, School of Medicine, Shanghai Jiao Tong University, Shanghai 200127, China.; SJTU-USYD Joint Research Alliance for Translational Medicine, Shanghai Jiao Tong  University, Shanghai 200240, China.; Department of Automation, Shanghai Jiao Tong University, Shanghai 200240, China.; Shanghai Key Laboratory for Molecular Imaging, Shanghai University of Medicine and Health Sciences, Shanghai 201318, China.; Department of Nuclear Medicine, Fudan University Shanghai Cancer Center, Shanghai Medical College, Fudan University, Shanghai 200032, China.; Department of Oncology, Shanghai Medical College, Fudan University, Shanghai 200032, China.; SJTU-USYD Joint Research Alliance for Translational Medicine, Shanghai Jiao Tong  University, Shanghai 200240, China.; Shanghai Key Laboratory for Molecular Imaging, Shanghai University of Medicine and Health Sciences, Shanghai 201318, China.&lt;/_author_adr&gt;&lt;_created&gt;64298748&lt;/_created&gt;&lt;_date&gt;2020-06-01&lt;/_date&gt;&lt;_date_display&gt;2020 Jun&lt;/_date_display&gt;&lt;_db_updated&gt;PubMed&lt;/_db_updated&gt;&lt;_doi&gt;10.21037/tlcr.2020.04.17&lt;/_doi&gt;&lt;_impact_factor&gt;   6.498&lt;/_impact_factor&gt;&lt;_isbn&gt;2218-6751 (Print); 2218-6751 (Linking)&lt;/_isbn&gt;&lt;_issue&gt;3&lt;/_issue&gt;&lt;_journal&gt;Transl Lung Cancer Res&lt;/_journal&gt;&lt;_keywords&gt;18F-FDG PET/CT; EGFR mutation subtypes; Lung adenocarcinoma; prediction; radiomic features&lt;/_keywords&gt;&lt;_language&gt;eng&lt;/_language&gt;&lt;_modified&gt;64331190&lt;/_modified&gt;&lt;_ori_publication&gt;2020 Translational Lung Cancer Research. All rights reserved.&lt;/_ori_publication&gt;&lt;_pages&gt;549-562&lt;/_pages&gt;&lt;_tertiary_title&gt;Translational lung cancer research&lt;/_tertiary_title&gt;&lt;_type_work&gt;Journal Article&lt;/_type_work&gt;&lt;_url&gt;http://www.ncbi.nlm.nih.gov/entrez/query.fcgi?cmd=Retrieve&amp;amp;db=pubmed&amp;amp;dopt=Abstract&amp;amp;list_uids=32676319&amp;amp;query_hl=1&lt;/_url&gt;&lt;_volume&gt;9&lt;/_volume&gt;&lt;/Details&gt;&lt;Extra&gt;&lt;DBUID&gt;{F96A950B-833F-4880-A151-76DA2D6A2879}&lt;/DBUID&gt;&lt;/Extra&gt;&lt;/Item&gt;&lt;/References&gt;&lt;/Group&gt;&lt;Group&gt;&lt;References&gt;&lt;Item&gt;&lt;ID&gt;538&lt;/ID&gt;&lt;UID&gt;{6DC72036-390A-49F9-8F2E-AA640A2CA38A}&lt;/UID&gt;&lt;Title&gt;A clinically practical radiomics-clinical combined model based on PET/CT data and nomogram predicts EGFR mutation in lung adenocarcinoma&lt;/Title&gt;&lt;Template&gt;Journal Article&lt;/Template&gt;&lt;Star&gt;0&lt;/Star&gt;&lt;Tag&gt;0&lt;/Tag&gt;&lt;Author&gt;Chang, C; Zhou, S; Yu, H; Zhao, W; Ge, Y; Duan, S; Wang, R; Qian, X; Lei, B; Wang, L; Liu, L; Ruan, M; Yan, H; Sun, X; Xie, W&lt;/Author&gt;&lt;Year&gt;2021&lt;/Year&gt;&lt;Details&gt;&lt;_accessed&gt;64330487&lt;/_accessed&gt;&lt;_accession_num&gt;33544167&lt;/_accession_num&gt;&lt;_author_adr&gt;Department of Nuclear Medicine, Shanghai Chest Hospital, Shanghai Jiao Tong University, No. 241 West Huaihai Road, Shanghai, 200030, China.; Clinical and Translational Center in Shanghai Chest Hospital, Shanghai Key Laboratory for Molecular Imaging, Shanghai University of Medicine and Health Sciences, Shanghai, 201318, China.; Department of Thoracic Surgery, Shanghai Chest Hospital, Shanghai Jiao Tong University, No. 241 West Huaihai Road, Shanghai, 200030, China.; Department of Radiology, Shanghai Chest Hospital, Shanghai Jiao Tong University,  No. 241 West Huaihai Road, Shanghai, 200030, China.; Department of Radiology, Second Affiliated Hospital of Soochow University, No. 1055 Sanxiang Road, Gusu District, Suzhou, 215000, Jiangsu, China.; GE Healthcare China, Pudong New Town, No. 1, Huatuo Road, Shanghai, 210000, China.; GE Healthcare China, Pudong New Town, No. 1, Huatuo Road, Shanghai, 210000, China.; Department of Thoracic Surgery, Shanghai Chest Hospital, Shanghai Jiao Tong University, No. 241 West Huaihai Road, Shanghai, 200030, China.; Institute for Medical Imaging Technology, School of Biomedical Engineering, Shanghai Jiao Tong University, Shanghai, 200030, China.; Department of Nuclear Medicine, Shanghai Chest Hospital, Shanghai Jiao Tong University, No. 241 West Huaihai Road, Shanghai, 200030, China.; Department of Nuclear Medicine, Shanghai Chest Hospital, Shanghai Jiao Tong University, No. 241 West Huaihai Road, Shanghai, 200030, China.; Department of Nuclear Medicine, Shanghai Chest Hospital, Shanghai Jiao Tong University, No. 241 West Huaihai Road, Shanghai, 200030, China.; Clinical and Translational Center in Shanghai Chest Hospital, Shanghai Key Laboratory for Molecular Imaging, Shanghai University of Medicine and Health Sciences, Shanghai, 201318, China.; Department of Nuclear Medicine, Shanghai Chest Hospital, Shanghai Jiao Tong University, No. 241 West Huaihai Road, Shanghai, 200030, China.; Department of Nuclear Medicine, Shanghai Chest Hospital, Shanghai Jiao Tong University, No. 241 West Huaihai Road, Shanghai, 200030, China.; Department of Nuclear Medicine, Shanghai Chest Hospital, Shanghai Jiao Tong University, No. 241 West Huaihai Road, Shanghai, 200030, China.; Clinical and Translational Center in Shanghai Chest Hospital, Shanghai Key Laboratory for Molecular Imaging, Shanghai University of Medicine and Health Sciences, Shanghai, 201318, China.; Department of Nuclear Medicine, Shanghai Chest Hospital, Shanghai Jiao Tong University, No. 241 West Huaihai Road, Shanghai, 200030, China. xknuclear@163.com.; Clinical and Translational Center in Shanghai Chest Hospital, Shanghai Key Laboratory for Molecular Imaging, Shanghai University of Medicine and Health Sciences, Shanghai, 201318, China. xknuclear@163.com.&lt;/_author_adr&gt;&lt;_collection_scope&gt;SCI;SCIE&lt;/_collection_scope&gt;&lt;_created&gt;64298749&lt;/_created&gt;&lt;_date&gt;2021-08-01&lt;/_date&gt;&lt;_date_display&gt;2021 Aug&lt;/_date_display&gt;&lt;_db_updated&gt;PubMed&lt;/_db_updated&gt;&lt;_doi&gt;10.1007/s00330-020-07676-x&lt;/_doi&gt;&lt;_impact_factor&gt;   5.315&lt;/_impact_factor&gt;&lt;_isbn&gt;1432-1084 (Electronic); 0938-7994 (Linking)&lt;/_isbn&gt;&lt;_issue&gt;8&lt;/_issue&gt;&lt;_journal&gt;Eur Radiol&lt;/_journal&gt;&lt;_keywords&gt;Epidermal growth factor receptor; Lung adenocarcinoma; PET/CT; Radiomics; Risk factors&lt;/_keywords&gt;&lt;_language&gt;eng&lt;/_language&gt;&lt;_modified&gt;64330487&lt;/_modified&gt;&lt;_ori_publication&gt;(c) 2021. European Society of Radiology.&lt;/_ori_publication&gt;&lt;_pages&gt;6259-6268&lt;/_pages&gt;&lt;_subject_headings&gt;*Adenocarcinoma of Lung/diagnostic imaging/genetics; ErbB Receptors/genetics; Humans; *Lung Neoplasms/diagnostic imaging/genetics; Mutation; Nomograms; Positron Emission Tomography Computed Tomography; Retrospective Studies; Tomography, X-Ray Computed&lt;/_subject_headings&gt;&lt;_tertiary_title&gt;European radiology&lt;/_tertiary_title&gt;&lt;_type_work&gt;Journal Article&lt;/_type_work&gt;&lt;_url&gt;http://www.ncbi.nlm.nih.gov/entrez/query.fcgi?cmd=Retrieve&amp;amp;db=pubmed&amp;amp;dopt=Abstract&amp;amp;list_uids=33544167&amp;amp;query_hl=1&lt;/_url&gt;&lt;_volume&gt;31&lt;/_volume&gt;&lt;/Details&gt;&lt;Extra&gt;&lt;DBUID&gt;{F96A950B-833F-4880-A151-76DA2D6A2879}&lt;/DBUID&gt;&lt;/Extra&gt;&lt;/Item&gt;&lt;/References&gt;&lt;/Group&gt;&lt;Group&gt;&lt;References&gt;&lt;Item&gt;&lt;ID&gt;539&lt;/ID&gt;&lt;UID&gt;{D51C2464-FB97-47B9-9B1F-E3E484F1AD6F}&lt;/UID&gt;&lt;Title&gt;Performance of (18)F-FDG PET/CT Radiomics for Predicting EGFR Mutation Status in  Patients With Non-Small Cell Lung Cancer&lt;/Title&gt;&lt;Template&gt;Journal Article&lt;/Template&gt;&lt;Star&gt;0&lt;/Star&gt;&lt;Tag&gt;0&lt;/Tag&gt;&lt;Author&gt;Zhang, M; Bao, Y; Rui, W; Shangguan, C; Liu, J; Xu, J; Lin, X; Zhang, M; Huang, X; Zhou, Y; Qu, Q; Meng, H; Qian, D; Li, B&lt;/Author&gt;&lt;Year&gt;2020&lt;/Year&gt;&lt;Details&gt;&lt;_accessed&gt;64304293&lt;/_accessed&gt;&lt;_accession_num&gt;33134170&lt;/_accession_num&gt;&lt;_author_adr&gt;Department of Nuclear Medicine, Ruijin Hospital, Shanghai Jiao Tong University School of Medicine, Shanghai, China.; Institute of Medical Robotics, Shanghai Jiao Tong University, Shanghai, China.; Department of Pathology, Ruijin Hospital, Shanghai Jiao Tong University School of Medicine, Shanghai, China.; Department of Oncology, Rujin Hospital, Shanghai Jiao Tong University School of Medicine, Shanghai, China.; Department of Nuclear Medicine, Ruijin Hospital, Shanghai Jiao Tong University School of Medicine, Shanghai, China.; Institute of Medical Robotics, Shanghai Jiao Tong University, Shanghai, China.; Department of Nuclear Medicine, Ruijin Hospital, Shanghai Jiao Tong University School of Medicine, Shanghai, China.; Department of Nuclear Medicine, Ruijin Hospital, Shanghai Jiao Tong University School of Medicine, Shanghai, China.; Department of Nuclear Medicine, Ruijin Hospital, Shanghai Jiao Tong University School of Medicine, Shanghai, China.; Department of Nuclear Medicine, Ruijin Hospital, Shanghai Jiao Tong University School of Medicine, Shanghai, China.; Department of Nuclear Medicine, Ruijin Hospital, Shanghai Jiao Tong University School of Medicine, Shanghai, China.; Department of Nuclear Medicine, Ruijin Hospital, Shanghai Jiao Tong University School of Medicine, Shanghai, China.; Department of Nuclear Medicine, Ruijin Hospital, Shanghai Jiao Tong University School of Medicine, Shanghai, China.; Institute of Medical Robotics, Shanghai Jiao Tong University, Shanghai, China.; Department of Nuclear Medicine, Ruijin Hospital, Shanghai Jiao Tong University School of Medicine, Shanghai, China.&lt;/_author_adr&gt;&lt;_collection_scope&gt;SCIE&lt;/_collection_scope&gt;&lt;_created&gt;64298749&lt;/_created&gt;&lt;_date&gt;2020-01-20&lt;/_date&gt;&lt;_date_display&gt;2020&lt;/_date_display&gt;&lt;_db_updated&gt;PubMed&lt;/_db_updated&gt;&lt;_doi&gt;10.3389/fonc.2020.568857&lt;/_doi&gt;&lt;_impact_factor&gt;   6.244&lt;/_impact_factor&gt;&lt;_isbn&gt;2234-943X (Print); 2234-943X (Linking)&lt;/_isbn&gt;&lt;_journal&gt;Front Oncol&lt;/_journal&gt;&lt;_keywords&gt;18F-fluorodeoxyglucose; epidermal growth factor receptor; lung cancer; positron emission tomography/computed tomography; radiomics&lt;/_keywords&gt;&lt;_language&gt;eng&lt;/_language&gt;&lt;_modified&gt;64303924&lt;/_modified&gt;&lt;_ori_publication&gt;Copyright (c) 2020 Zhang, Bao, Rui, Shangguan, Liu, Xu, Lin, Zhang, Huang, Zhou, _x000d__x000a_      Qu, Meng, Qian and Li.&lt;/_ori_publication&gt;&lt;_pages&gt;568857&lt;/_pages&gt;&lt;_tertiary_title&gt;Frontiers in oncology&lt;/_tertiary_title&gt;&lt;_type_work&gt;Journal Article&lt;/_type_work&gt;&lt;_url&gt;http://www.ncbi.nlm.nih.gov/entrez/query.fcgi?cmd=Retrieve&amp;amp;db=pubmed&amp;amp;dopt=Abstract&amp;amp;list_uids=33134170&amp;amp;query_hl=1&lt;/_url&gt;&lt;_volume&gt;10&lt;/_volume&gt;&lt;/Details&gt;&lt;Extra&gt;&lt;DBUID&gt;{F96A950B-833F-4880-A151-76DA2D6A2879}&lt;/DBUID&gt;&lt;/Extra&gt;&lt;/Item&gt;&lt;/References&gt;&lt;/Group&gt;&lt;Group&gt;&lt;References&gt;&lt;Item&gt;&lt;ID&gt;540&lt;/ID&gt;&lt;UID&gt;{24EE4979-DC6A-4E4C-9AA4-0A5D29D87B36}&lt;/UID&gt;&lt;Title&gt;Value of pre-therapy (18)F-FDG PET/CT radiomics in predicting EGFR mutation status in patients with non-small cell lung cancer&lt;/Title&gt;&lt;Template&gt;Journal Article&lt;/Template&gt;&lt;Star&gt;0&lt;/Star&gt;&lt;Tag&gt;0&lt;/Tag&gt;&lt;Author&gt;Zhang, J; Zhao, X; Zhao, Y; Zhang, J; Zhang, Z; Wang, J; Wang, Y; Dai, M; Han, J&lt;/Author&gt;&lt;Year&gt;2020&lt;/Year&gt;&lt;Details&gt;&lt;_accession_num&gt;31728587&lt;/_accession_num&gt;&lt;_author_adr&gt;Department of Nuclear Medicine, The Fourth Hospital of Hebei Medical University,  12 Jiankang Road, Shijiazhuang, 050011, Hebei, China.; Department of Nuclear Medicine, Baoding No. 1 Central Hospital, Baoding, 071000,  Hebei, China.; Department of Nuclear Medicine, The Fourth Hospital of Hebei Medical University,  12 Jiankang Road, Shijiazhuang, 050011, Hebei, China. xinm_zhao@163.com.; Department of Medical Oncology, The Fourth Hospital of Hebei Medical University,  Shijiazhuang, 050011, Hebei, China.; Department of Nuclear Medicine, The Fourth Hospital of Hebei Medical University,  12 Jiankang Road, Shijiazhuang, 050011, Hebei, China.; Department of Nuclear Medicine, The Fourth Hospital of Hebei Medical University,  12 Jiankang Road, Shijiazhuang, 050011, Hebei, China.; Department of Nuclear Medicine, The Fourth Hospital of Hebei Medical University,  12 Jiankang Road, Shijiazhuang, 050011, Hebei, China.; Department of Nuclear Medicine, The Fourth Hospital of Hebei Medical University,  12 Jiankang Road, Shijiazhuang, 050011, Hebei, China.; Department of Nuclear Medicine, The Fourth Hospital of Hebei Medical University,  12 Jiankang Road, Shijiazhuang, 050011, Hebei, China.; Department of Nuclear Medicine, The Fourth Hospital of Hebei Medical University,  12 Jiankang Road, Shijiazhuang, 050011, Hebei, China.&lt;/_author_adr&gt;&lt;_created&gt;64298751&lt;/_created&gt;&lt;_date&gt;2020-05-01&lt;/_date&gt;&lt;_date_display&gt;2020 May&lt;/_date_display&gt;&lt;_db_updated&gt;PubMed&lt;/_db_updated&gt;&lt;_doi&gt;10.1007/s00259-019-04592-1&lt;/_doi&gt;&lt;_impact_factor&gt;   9.236&lt;/_impact_factor&gt;&lt;_isbn&gt;1619-7089 (Electronic); 1619-7070 (Linking)&lt;/_isbn&gt;&lt;_issue&gt;5&lt;/_issue&gt;&lt;_journal&gt;Eur J Nucl Med Mol Imaging&lt;/_journal&gt;&lt;_keywords&gt;*18F-FDG; *Epidermal growth factor receptor; *Non-small cell lung cancer; *PET/CT; *Radiomics&lt;/_keywords&gt;&lt;_language&gt;eng&lt;/_language&gt;&lt;_modified&gt;64298751&lt;/_modified&gt;&lt;_pages&gt;1137-1146&lt;/_pages&gt;&lt;_subject_headings&gt;*Carcinoma, Non-Small-Cell Lung/diagnostic imaging/genetics; ErbB Receptors/genetics; Fluorodeoxyglucose F18; Humans; *Lung Neoplasms/diagnostic imaging/genetics; Mutation; Positron Emission Tomography Computed Tomography&lt;/_subject_headings&gt;&lt;_tertiary_title&gt;European journal of nuclear medicine and molecular imaging&lt;/_tertiary_title&gt;&lt;_type_work&gt;Journal Article; Research Support, Non-U.S. Gov&amp;apos;t&lt;/_type_work&gt;&lt;_url&gt;http://www.ncbi.nlm.nih.gov/entrez/query.fcgi?cmd=Retrieve&amp;amp;db=pubmed&amp;amp;dopt=Abstract&amp;amp;list_uids=31728587&amp;amp;query_hl=1&lt;/_url&gt;&lt;_volume&gt;47&lt;/_volume&gt;&lt;/Details&gt;&lt;Extra&gt;&lt;DBUID&gt;{F96A950B-833F-4880-A151-76DA2D6A2879}&lt;/DBUID&gt;&lt;/Extra&gt;&lt;/Item&gt;&lt;/References&gt;&lt;/Group&gt;&lt;Group&gt;&lt;References&gt;&lt;Item&gt;&lt;ID&gt;541&lt;/ID&gt;&lt;UID&gt;{729BD2CE-6BEF-4BC6-911B-E9239A3422B0}&lt;/UID&gt;&lt;Title&gt;Role of [(1)(8)F]FDG PET in prediction of KRAS and EGFR mutation status in patients with advanced non-small-cell lung cancer&lt;/Title&gt;&lt;Template&gt;Journal Article&lt;/Template&gt;&lt;Star&gt;0&lt;/Star&gt;&lt;Tag&gt;0&lt;/Tag&gt;&lt;Author&gt;Caicedo, C; Garcia-Velloso, M J; Lozano, M D; Labiano, T; Vigil, Diaz C; Lopez-Picazo, J M; Gurpide, A; Zulueta, J J; Richter, Echevarria JA; Perez, Gracia JL&lt;/Author&gt;&lt;Year&gt;2014&lt;/Year&gt;&lt;Details&gt;&lt;_accession_num&gt;24990403&lt;/_accession_num&gt;&lt;_author_adr&gt;Nuclear Medicine Department, University Clinic of Navarra, University of Navarra, Avda. Pio XII 36, 31008, Pamplona, Spain.&lt;/_author_adr&gt;&lt;_created&gt;64298751&lt;/_created&gt;&lt;_date&gt;2014-11-01&lt;/_date&gt;&lt;_date_display&gt;2014 Nov&lt;/_date_display&gt;&lt;_db_updated&gt;PubMed&lt;/_db_updated&gt;&lt;_doi&gt;10.1007/s00259-014-2833-4&lt;/_doi&gt;&lt;_impact_factor&gt;   9.236&lt;/_impact_factor&gt;&lt;_isbn&gt;1619-7089 (Electronic); 1619-7070 (Linking)&lt;/_isbn&gt;&lt;_issue&gt;11&lt;/_issue&gt;&lt;_journal&gt;Eur J Nucl Med Mol Imaging&lt;/_journal&gt;&lt;_language&gt;eng&lt;/_language&gt;&lt;_modified&gt;64298752&lt;/_modified&gt;&lt;_pages&gt;2058-65&lt;/_pages&gt;&lt;_subject_headings&gt;Adult; Aged; Aged, 80 and over; Carcinoma, Non-Small-Cell Lung/*diagnostic imaging/genetics/pathology; ErbB Receptors/*genetics; Female; *Fluorodeoxyglucose F18; Humans; Lung Neoplasms/*diagnostic imaging/genetics/pathology; Male; Middle Aged; Multivariate Analysis; *Mutation; *Positron-Emission Tomography; Proto-Oncogene Proteins/*genetics; Proto-Oncogene Proteins p21(ras); Tomography, X-Ray Computed; ras Proteins/*genetics&lt;/_subject_headings&gt;&lt;_tertiary_title&gt;European journal of nuclear medicine and molecular imaging&lt;/_tertiary_title&gt;&lt;_type_work&gt;Journal Article; Research Support, Non-U.S. Gov&amp;apos;t&lt;/_type_work&gt;&lt;_url&gt;http://www.ncbi.nlm.nih.gov/entrez/query.fcgi?cmd=Retrieve&amp;amp;db=pubmed&amp;amp;dopt=Abstract&amp;amp;list_uids=24990403&amp;amp;query_hl=1&lt;/_url&gt;&lt;_volume&gt;41&lt;/_volume&gt;&lt;/Details&gt;&lt;Extra&gt;&lt;DBUID&gt;{F96A950B-833F-4880-A151-76DA2D6A2879}&lt;/DBUID&gt;&lt;/Extra&gt;&lt;/Item&gt;&lt;/References&gt;&lt;/Group&gt;&lt;Group&gt;&lt;References&gt;&lt;Item&gt;&lt;ID&gt;542&lt;/ID&gt;&lt;UID&gt;{A66864CE-C8BB-4959-85AD-D64F54598C43}&lt;/UID&gt;&lt;Title&gt;FDG uptake in non-small cell lung cancer is not an independent predictor of EGFR  or KRAS mutation status: a retrospective analysis of 206 patients&lt;/Title&gt;&lt;Template&gt;Journal Article&lt;/Template&gt;&lt;Star&gt;0&lt;/Star&gt;&lt;Tag&gt;0&lt;/Tag&gt;&lt;Author&gt;Lee, S M; Bae, S K; Jung, S J; Kim, C K&lt;/Author&gt;&lt;Year&gt;2015&lt;/Year&gt;&lt;Details&gt;&lt;_accession_num&gt;26359571&lt;/_accession_num&gt;&lt;_author_adr&gt;From the *Department of Nuclear Medicine, Busan Paik Hospital, Inje University College of Medicine, Busan, South Korea; daggerDivision of Nuclear Medicine and Molecular Imaging, Department of Radiology, Brigham and Women&amp;apos;s Hospital, Harvard Medical School, Boston, MA; and double daggerDepartment of Pathology, Busan Paik  Hospital, Inje University College of Medicine, Busan, South Korea.&lt;/_author_adr&gt;&lt;_collection_scope&gt;SCIE&lt;/_collection_scope&gt;&lt;_created&gt;64298752&lt;/_created&gt;&lt;_date&gt;2015-12-01&lt;/_date&gt;&lt;_date_display&gt;2015 Dec&lt;/_date_display&gt;&lt;_db_updated&gt;PubMed&lt;/_db_updated&gt;&lt;_doi&gt;10.1097/RLU.0000000000000975&lt;/_doi&gt;&lt;_impact_factor&gt;   7.794&lt;/_impact_factor&gt;&lt;_isbn&gt;1536-0229 (Electronic); 0363-9762 (Linking)&lt;/_isbn&gt;&lt;_issue&gt;12&lt;/_issue&gt;&lt;_journal&gt;Clin Nucl Med&lt;/_journal&gt;&lt;_language&gt;eng&lt;/_language&gt;&lt;_modified&gt;64298753&lt;/_modified&gt;&lt;_pages&gt;950-8&lt;/_pages&gt;&lt;_subject_headings&gt;Adult; Aged; Aged, 80 and over; Carcinoma, Non-Small-Cell Lung/*diagnostic imaging/genetics; ErbB Receptors/*genetics; Female; *Fluorodeoxyglucose F18; Humans; Lung Neoplasms/*diagnostic imaging/genetics; Male; Middle Aged; *Mutation; Positron-Emission Tomography; Proto-Oncogene Proteins p21(ras)/*genetics; *Radiopharmaceuticals&lt;/_subject_headings&gt;&lt;_tertiary_title&gt;Clinical nuclear medicine&lt;/_tertiary_title&gt;&lt;_type_work&gt;Journal Article; Research Support, Non-U.S. Gov&amp;apos;t&lt;/_type_work&gt;&lt;_url&gt;http://www.ncbi.nlm.nih.gov/entrez/query.fcgi?cmd=Retrieve&amp;amp;db=pubmed&amp;amp;dopt=Abstract&amp;amp;list_uids=26359571&amp;amp;query_hl=1&lt;/_url&gt;&lt;_volume&gt;40&lt;/_volume&gt;&lt;/Details&gt;&lt;Extra&gt;&lt;DBUID&gt;{F96A950B-833F-4880-A151-76DA2D6A2879}&lt;/DBUID&gt;&lt;/Extra&gt;&lt;/Item&gt;&lt;/References&gt;&lt;/Group&gt;&lt;Group&gt;&lt;References&gt;&lt;Item&gt;&lt;ID&gt;543&lt;/ID&gt;&lt;UID&gt;{E6E39345-00B3-4664-8FAE-57E7922544AA}&lt;/UID&gt;&lt;Title&gt;Correlation between EGFR gene mutation, cytologic tumor markers, 18F-FDG uptake in non-small cell lung cancer&lt;/Title&gt;&lt;Template&gt;Journal Article&lt;/Template&gt;&lt;Star&gt;0&lt;/Star&gt;&lt;Tag&gt;0&lt;/Tag&gt;&lt;Author&gt;Cho, A; Hur, J; Moon, Y W; Hong, S R; Suh, Y J; Kim, Y J; Im, D J; Hong, Y J; Lee, H J; Kim, Y J; Shim, H S; Lee, J S; Kim, J H; Choi, B W&lt;/Author&gt;&lt;Year&gt;2016&lt;/Year&gt;&lt;Details&gt;&lt;_accession_num&gt;26979333&lt;/_accession_num&gt;&lt;_author_adr&gt;Department of Nuclear Medicine, Severance Hospital, Yonsei University College of  Medicine, Seoul, Korea.; Department of Radiology, Severance Hospital, Yonsei University College of Medicine, 50 Yonsei-ro, Seodaemun-gu, Seoul, 120-752, Korea.; Department of Radiology and Research Institute of Radiological Science, Severance Hospital, Yonsei University College of Medicine, Seoul, Korea. khuhz@yuhs.ac.; Yonsei Cancer Center, Division of Medical Oncology, Department of Internal Medicine, Yonsei University College of Medicine, Seoul, Korea.; Medical Oncology, Department of Internal Medicine, CHA Bundang Medical Center, CHA University, Seongnam, Korea.; Department of Radiology and Research Institute of Radiological Science, Severance Hospital, Yonsei University College of Medicine, Seoul, Korea.; Department of Radiology and Research Institute of Radiological Science, Severance Hospital, Yonsei University College of Medicine, Seoul, Korea.; Department of Radiology and Research Institute of Radiological Science, Severance Hospital, Yonsei University College of Medicine, Seoul, Korea.; Department of Radiology and Research Institute of Radiological Science, Severance Hospital, Yonsei University College of Medicine, Seoul, Korea.; Department of Radiology and Research Institute of Radiological Science, Severance Hospital, Yonsei University College of Medicine, Seoul, Korea.; Department of Radiology and Research Institute of Radiological Science, Severance Hospital, Yonsei University College of Medicine, Seoul, Korea.; Department of Radiology and Research Institute of Radiological Science, Severance Hospital, Yonsei University College of Medicine, Seoul, Korea.; Department of Pathology, Severance Hospital, Yonsei University College of Medicine, Seoul, Korea.; Department of Pathology, Severance Hospital, Yonsei University College of Medicine, Seoul, Korea.; Department of Pathology, Dongguk University Ilsan Hospital, Dongguk University College of Medicine, Goyang, Korea.; Yonsei Cancer Center, Division of Medical Oncology, Department of Internal Medicine, Yonsei University College of Medicine, Seoul, Korea.; Medical Oncology, Department of Internal Medicine, CHA Bundang Medical Center, CHA University, Seongnam, Korea.; Department of Radiology and Research Institute of Radiological Science, Severance Hospital, Yonsei University College of Medicine, Seoul, Korea.&lt;/_author_adr&gt;&lt;_collection_scope&gt;SCIE&lt;/_collection_scope&gt;&lt;_created&gt;64298753&lt;/_created&gt;&lt;_date&gt;2016-03-16&lt;/_date&gt;&lt;_date_display&gt;2016 Mar 16&lt;/_date_display&gt;&lt;_db_updated&gt;PubMed&lt;/_db_updated&gt;&lt;_doi&gt;10.1186/s12885-016-2251-z&lt;/_doi&gt;&lt;_impact_factor&gt;   4.430&lt;/_impact_factor&gt;&lt;_isbn&gt;1471-2407 (Electronic); 1471-2407 (Linking)&lt;/_isbn&gt;&lt;_journal&gt;BMC Cancer&lt;/_journal&gt;&lt;_keywords&gt;18F-FDG PET/CT; Cytologic CYFRA 21-1; Cytologic tumor marker; EGFR mutation&lt;/_keywords&gt;&lt;_language&gt;eng&lt;/_language&gt;&lt;_modified&gt;64298754&lt;/_modified&gt;&lt;_pages&gt;224&lt;/_pages&gt;&lt;_subject_headings&gt;Adult; Aged; Antigens, Neoplasm/*blood; Biomarkers, Tumor/blood/*genetics; Carcinoembryonic Antigen/blood; Carcinoma, Non-Small-Cell Lung/blood/*genetics/pathology; Cell Proliferation; Cytological Techniques; ErbB Receptors/*genetics; Female; Fluorodeoxyglucose F18/administration &amp;amp; dosage/metabolism; Humans; Keratin-19/*blood; Male; Middle Aged; Mutation; Positron-Emission Tomography; Serpins/blood; Tomography, X-Ray Computed&lt;/_subject_headings&gt;&lt;_tertiary_title&gt;BMC cancer&lt;/_tertiary_title&gt;&lt;_type_work&gt;Journal Article; Research Support, Non-U.S. Gov&amp;apos;t&lt;/_type_work&gt;&lt;_url&gt;http://www.ncbi.nlm.nih.gov/entrez/query.fcgi?cmd=Retrieve&amp;amp;db=pubmed&amp;amp;dopt=Abstract&amp;amp;list_uids=26979333&amp;amp;query_hl=1&lt;/_url&gt;&lt;_volume&gt;16&lt;/_volume&gt;&lt;/Details&gt;&lt;Extra&gt;&lt;DBUID&gt;{F96A950B-833F-4880-A151-76DA2D6A2879}&lt;/DBUID&gt;&lt;/Extra&gt;&lt;/Item&gt;&lt;/References&gt;&lt;/Group&gt;&lt;Group&gt;&lt;References&gt;&lt;Item&gt;&lt;ID&gt;544&lt;/ID&gt;&lt;UID&gt;{2E7CF3B9-12D4-4914-B239-3C729F2AC253}&lt;/UID&gt;&lt;Title&gt;Value of (18)F-FDG PET/CT for predicting EGFR mutations and positive ALK expression in patients with non-small cell lung cancer: a retrospective analysis  of 849 Chinese patients&lt;/Title&gt;&lt;Template&gt;Journal Article&lt;/Template&gt;&lt;Star&gt;0&lt;/Star&gt;&lt;Tag&gt;0&lt;/Tag&gt;&lt;Author&gt;Lv, Z; Fan, J; Xu, J; Wu, F; Huang, Q; Guo, M; Liao, T; Liu, S; Lan, X; Liao, S; Geng, W; Jin, Y&lt;/Author&gt;&lt;Year&gt;2018&lt;/Year&gt;&lt;Details&gt;&lt;_accession_num&gt;29164298&lt;/_accession_num&gt;&lt;_author_adr&gt;Key Laboratory of Respiratory Diseases of the Ministry of health, Department of Respiratory and Critical Care Medicine, Union Hospital, Tongji Medical College, Huazhong University of Science and Technology, 1277 Jiefang Avenue, Wuhan, 430022, China.; Key Laboratory of Respiratory Diseases of the Ministry of health, Department of Respiratory and Critical Care Medicine, Union Hospital, Tongji Medical College, Huazhong University of Science and Technology, 1277 Jiefang Avenue, Wuhan, 430022, China.; Key Laboratory of Respiratory Diseases of the Ministry of health, Department of Respiratory and Critical Care Medicine, Union Hospital, Tongji Medical College, Huazhong University of Science and Technology, 1277 Jiefang Avenue, Wuhan, 430022, China.; Key Laboratory of Respiratory Diseases of the Ministry of health, Department of Respiratory and Critical Care Medicine, Union Hospital, Tongji Medical College, Huazhong University of Science and Technology, 1277 Jiefang Avenue, Wuhan, 430022, China.; Key Laboratory of Respiratory Diseases of the Ministry of health, Department of Respiratory and Critical Care Medicine, Union Hospital, Tongji Medical College, Huazhong University of Science and Technology, 1277 Jiefang Avenue, Wuhan, 430022, China.; Key Laboratory of Respiratory Diseases of the Ministry of health, Department of Respiratory and Critical Care Medicine, Union Hospital, Tongji Medical College, Huazhong University of Science and Technology, 1277 Jiefang Avenue, Wuhan, 430022, China.; Key Laboratory of Respiratory Diseases of the Ministry of health, Department of Respiratory and Critical Care Medicine, Union Hospital, Tongji Medical College, Huazhong University of Science and Technology, 1277 Jiefang Avenue, Wuhan, 430022, China.; Key Laboratory of Respiratory Diseases of the Ministry of health, Department of Respiratory and Critical Care Medicine, Union Hospital, Tongji Medical College, Huazhong University of Science and Technology, 1277 Jiefang Avenue, Wuhan, 430022, China.; Department of Nuclear Medicine, Union Hospital, Tongji Medical College, Huazhong  University of Science and Technology, Wuhan, 430022, China.; Hubei Key Laboratory of Molecular Imaging, Union Hospital, Tongji Medical College, Huazhong University of Science and Technology, Wuhan, 430022, China.; Department of Nuclear Medicine, Union Hospital, Tongji Medical College, Huazhong  University of Science and Technology, Wuhan, 430022, China.; Hubei Key Laboratory of Molecular Imaging, Union Hospital, Tongji Medical College, Huazhong University of Science and Technology, Wuhan, 430022, China.; Biobank, Union Hospital, Tongji Medical College, Huazhong University of Science and Technology, Wuhan, 430022, China.; Key Laboratory of Respiratory Diseases of the Ministry of health, Department of Respiratory and Critical Care Medicine, Union Hospital, Tongji Medical College, Huazhong University of Science and Technology, 1277 Jiefang Avenue, Wuhan, 430022, China. whuhjy@126.com.&lt;/_author_adr&gt;&lt;_created&gt;64298756&lt;/_created&gt;&lt;_date&gt;2018-05-01&lt;/_date&gt;&lt;_date_display&gt;2018 May&lt;/_date_display&gt;&lt;_db_updated&gt;PubMed&lt;/_db_updated&gt;&lt;_doi&gt;10.1007/s00259-017-3885-z&lt;/_doi&gt;&lt;_impact_factor&gt;   9.236&lt;/_impact_factor&gt;&lt;_isbn&gt;1619-7089 (Electronic); 1619-7070 (Linking)&lt;/_isbn&gt;&lt;_issue&gt;5&lt;/_issue&gt;&lt;_journal&gt;Eur J Nucl Med Mol Imaging&lt;/_journal&gt;&lt;_keywords&gt;*Anaplastic lymphoma kinase; *Epidermal growth factor receptor; *Mutation; *Non-small cell lung cancer; *Positron emission tomography; *Standard uptake value&lt;/_keywords&gt;&lt;_language&gt;eng&lt;/_language&gt;&lt;_modified&gt;64298756&lt;/_modified&gt;&lt;_pages&gt;735-750&lt;/_pages&gt;&lt;_subject_headings&gt;Adaptor Proteins, Signal Transducing; Aged; Anaplastic Lymphoma Kinase/*metabolism; Carcinoma, Non-Small-Cell Lung/*diagnostic imaging/genetics; ErbB Receptors/*genetics; Female; Fluorodeoxyglucose F18; Humans; Lung Neoplasms/*diagnostic imaging/genetics; Male; Middle Aged; Mutation; *Positron Emission Tomography Computed Tomography; Retrospective Studies; Tomography, X-Ray Computed&lt;/_subject_headings&gt;&lt;_tertiary_title&gt;European journal of nuclear medicine and molecular imaging&lt;/_tertiary_title&gt;&lt;_type_work&gt;Journal Article&lt;/_type_work&gt;&lt;_url&gt;http://www.ncbi.nlm.nih.gov/entrez/query.fcgi?cmd=Retrieve&amp;amp;db=pubmed&amp;amp;dopt=Abstract&amp;amp;list_uids=29164298&amp;amp;query_hl=1&lt;/_url&gt;&lt;_volume&gt;45&lt;/_volume&gt;&lt;/Details&gt;&lt;Extra&gt;&lt;DBUID&gt;{F96A950B-833F-4880-A151-76DA2D6A2879}&lt;/DBUID&gt;&lt;/Extra&gt;&lt;/Item&gt;&lt;/References&gt;&lt;/Group&gt;&lt;Group&gt;&lt;References&gt;&lt;Item&gt;&lt;ID&gt;545&lt;/ID&gt;&lt;UID&gt;{F2BBD769-97F0-4DA0-B223-987C802159CB}&lt;/UID&gt;&lt;Title&gt;Value of combining serum carcinoembryonic antigen and PET/CT in predicting EGFR mutation in non-small cell lung cancer&lt;/Title&gt;&lt;Template&gt;Journal Article&lt;/Template&gt;&lt;Star&gt;0&lt;/Star&gt;&lt;Tag&gt;0&lt;/Tag&gt;&lt;Author&gt;Gu, J; Xu, S; Huang, L; Li, S; Wu, J; Xu, J; Feng, J; Liu, B; Zhou, Y&lt;/Author&gt;&lt;Year&gt;2018&lt;/Year&gt;&lt;Details&gt;&lt;_accessed&gt;64331208&lt;/_accessed&gt;&lt;_accession_num&gt;29607142&lt;/_accession_num&gt;&lt;_author_adr&gt;Department of Respiratory Medicine, The First Affiliated Hospital of Sun Yat-sen  University, Guangzhou 510080, China.; Department of Respiratory Medicine, The First Affiliated Hospital of Sun Yat-sen  University, Guangzhou 510080, China.; Department of Respiratory Medicine, The First Affiliated Hospital of Sun Yat-sen  University, Guangzhou 510080, China.; Department of Respiratory Medicine, The First Affiliated Hospital of Sun Yat-sen  University, Guangzhou 510080, China.; Department of Respiratory Medicine, The First Affiliated Hospital of Sun Yat-sen  University, Guangzhou 510080, China.; Department of Respiratory Medicine, The First Affiliated Hospital of Sun Yat-sen  University, Guangzhou 510080, China.; Department of Respiratory Medicine, The First Affiliated Hospital of Sun Yat-sen  University, Guangzhou 510080, China.; Department of Respiratory Medicine, The First Affiliated Hospital of Sun Yat-sen  University, Guangzhou 510080, China.; Department of Respiratory Medicine, The First Affiliated Hospital of Sun Yat-sen  University, Guangzhou 510080, China.&lt;/_author_adr&gt;&lt;_collection_scope&gt;SCIE&lt;/_collection_scope&gt;&lt;_created&gt;64298756&lt;/_created&gt;&lt;_date&gt;2018-02-01&lt;/_date&gt;&lt;_date_display&gt;2018 Feb&lt;/_date_display&gt;&lt;_db_updated&gt;PubMed&lt;/_db_updated&gt;&lt;_doi&gt;10.21037/jtd.2017.12.143&lt;/_doi&gt;&lt;_impact_factor&gt;   2.895&lt;/_impact_factor&gt;&lt;_isbn&gt;2072-1439 (Print); 2072-1439 (Linking)&lt;/_isbn&gt;&lt;_issue&gt;2&lt;/_issue&gt;&lt;_journal&gt;J Thorac Dis&lt;/_journal&gt;&lt;_keywords&gt;Non-small cell lung cancer (NSCLC); carcinoembryonic antigen; epidermal growth factor receptor (EGFR); maximal standard uptake value; positron emission tomography/computed tomography (PET/CT)&lt;/_keywords&gt;&lt;_language&gt;eng&lt;/_language&gt;&lt;_modified&gt;64331208&lt;/_modified&gt;&lt;_pages&gt;723-731&lt;/_pages&gt;&lt;_tertiary_title&gt;Journal of thoracic disease&lt;/_tertiary_title&gt;&lt;_type_work&gt;Journal Article&lt;/_type_work&gt;&lt;_url&gt;http://www.ncbi.nlm.nih.gov/entrez/query.fcgi?cmd=Retrieve&amp;amp;db=pubmed&amp;amp;dopt=Abstract&amp;amp;list_uids=29607142&amp;amp;query_hl=1&lt;/_url&gt;&lt;_volume&gt;10&lt;/_volume&gt;&lt;/Details&gt;&lt;Extra&gt;&lt;DBUID&gt;{F96A950B-833F-4880-A151-76DA2D6A2879}&lt;/DBUID&gt;&lt;/Extra&gt;&lt;/Item&gt;&lt;/References&gt;&lt;/Group&gt;&lt;Group&gt;&lt;References&gt;&lt;Item&gt;&lt;ID&gt;546&lt;/ID&gt;&lt;UID&gt;{97B673DF-995E-4F9C-AD97-BFF91E9878D3}&lt;/UID&gt;&lt;Title&gt;Usefulness of gradient tree boosting for predicting histological subtype and EGFR mutation status of non-small cell lung cancer on (18)F FDG-PET/CT&lt;/Title&gt;&lt;Template&gt;Journal Article&lt;/Template&gt;&lt;Star&gt;0&lt;/Star&gt;&lt;Tag&gt;0&lt;/Tag&gt;&lt;Author&gt;Koyasu, S; Nishio, M; Isoda, H; Nakamoto, Y; Togashi, K&lt;/Author&gt;&lt;Year&gt;2020&lt;/Year&gt;&lt;Details&gt;&lt;_accessed&gt;64330461&lt;/_accessed&gt;&lt;_accession_num&gt;31659591&lt;/_accession_num&gt;&lt;_author_adr&gt;Department of Diagnostic Imaging and Nuclear Medicine, Graduate School of Medicine, Kyoto University, 54 Kawahara-cho, Shogoin, Sakyo-ku, Kyoto, Kyoto, 606-8507, Japan.; Research Center for Advanced Science and Technology, The University of Tokyo, 4-6-1 Komaba, Meguro-ku, Tokyo, 153-8904, Japan.; Department of Diagnostic Imaging and Nuclear Medicine, Graduate School of Medicine, Kyoto University, 54 Kawahara-cho, Shogoin, Sakyo-ku, Kyoto, Kyoto, 606-8507, Japan. nmizuho@kuhp.kyoto-u.ac.jp.; Preemptive Medicine and Lifestyle-related Disease Research Center, Kyoto University Hospital, 53 Kawahara-cho, Shogoin, Sakyo-ku, Kyoto, Kyoto, 606-8507,  Japan. nmizuho@kuhp.kyoto-u.ac.jp.; Department of Diagnostic Imaging and Nuclear Medicine, Graduate School of Medicine, Kyoto University, 54 Kawahara-cho, Shogoin, Sakyo-ku, Kyoto, Kyoto, 606-8507, Japan.; Preemptive Medicine and Lifestyle-related Disease Research Center, Kyoto University Hospital, 53 Kawahara-cho, Shogoin, Sakyo-ku, Kyoto, Kyoto, 606-8507,  Japan.; Department of Diagnostic Imaging and Nuclear Medicine, Graduate School of Medicine, Kyoto University, 54 Kawahara-cho, Shogoin, Sakyo-ku, Kyoto, Kyoto, 606-8507, Japan.; Department of Diagnostic Imaging and Nuclear Medicine, Graduate School of Medicine, Kyoto University, 54 Kawahara-cho, Shogoin, Sakyo-ku, Kyoto, Kyoto, 606-8507, Japan.&lt;/_author_adr&gt;&lt;_collection_scope&gt;SCIE&lt;/_collection_scope&gt;&lt;_created&gt;64298757&lt;/_created&gt;&lt;_date&gt;2020-01-01&lt;/_date&gt;&lt;_date_display&gt;2020 Jan&lt;/_date_display&gt;&lt;_db_updated&gt;PubMed&lt;/_db_updated&gt;&lt;_doi&gt;10.1007/s12149-019-01414-0&lt;/_doi&gt;&lt;_impact_factor&gt;   2.668&lt;/_impact_factor&gt;&lt;_isbn&gt;1864-6433 (Electronic); 0914-7187 (Linking)&lt;/_isbn&gt;&lt;_issue&gt;1&lt;/_issue&gt;&lt;_journal&gt;Ann Nucl Med&lt;/_journal&gt;&lt;_keywords&gt;Adenocarcinoma; EGFR mutation; Gradient tree boosting; Lung cancer; Radiomics; Squamous cell carcinoma&lt;/_keywords&gt;&lt;_language&gt;eng&lt;/_language&gt;&lt;_modified&gt;64330461&lt;/_modified&gt;&lt;_pages&gt;49-57&lt;/_pages&gt;&lt;_subject_headings&gt;Aged; Carcinoma, Non-Small-Cell Lung/*diagnostic imaging/genetics/pathology; ErbB Receptors/*genetics; Female; *Fluorodeoxyglucose F18; Humans; Image Processing, Computer-Assisted/*methods; Lung Neoplasms/*diagnostic imaging/genetics/pathology; Male; *Mutation; *Positron Emission Tomography Computed Tomography; ROC Curve&lt;/_subject_headings&gt;&lt;_tertiary_title&gt;Annals of nuclear medicine&lt;/_tertiary_title&gt;&lt;_type_work&gt;Journal Article&lt;/_type_work&gt;&lt;_url&gt;http://www.ncbi.nlm.nih.gov/entrez/query.fcgi?cmd=Retrieve&amp;amp;db=pubmed&amp;amp;dopt=Abstract&amp;amp;list_uids=31659591&amp;amp;query_hl=1&lt;/_url&gt;&lt;_volume&gt;34&lt;/_volume&gt;&lt;/Details&gt;&lt;Extra&gt;&lt;DBUID&gt;{F96A950B-833F-4880-A151-76DA2D6A2879}&lt;/DBUID&gt;&lt;/Extra&gt;&lt;/Item&gt;&lt;/References&gt;&lt;/Group&gt;&lt;/Citation&gt;_x000a_"/>
    <w:docVar w:name="NE.Ref{17210A2D-4CA8-4AC0-966A-9FA237629727}" w:val=" ADDIN NE.Ref.{17210A2D-4CA8-4AC0-966A-9FA237629727}&lt;Citation&gt;&lt;Group&gt;&lt;References&gt;&lt;Item&gt;&lt;ID&gt;546&lt;/ID&gt;&lt;UID&gt;{97B673DF-995E-4F9C-AD97-BFF91E9878D3}&lt;/UID&gt;&lt;Title&gt;Usefulness of gradient tree boosting for predicting histological subtype and EGFR mutation status of non-small cell lung cancer on (18)F FDG-PET/CT&lt;/Title&gt;&lt;Template&gt;Journal Article&lt;/Template&gt;&lt;Star&gt;0&lt;/Star&gt;&lt;Tag&gt;0&lt;/Tag&gt;&lt;Author&gt;Koyasu, S; Nishio, M; Isoda, H; Nakamoto, Y; Togashi, K&lt;/Author&gt;&lt;Year&gt;2020&lt;/Year&gt;&lt;Details&gt;&lt;_accessed&gt;64330461&lt;/_accessed&gt;&lt;_accession_num&gt;31659591&lt;/_accession_num&gt;&lt;_author_adr&gt;Department of Diagnostic Imaging and Nuclear Medicine, Graduate School of Medicine, Kyoto University, 54 Kawahara-cho, Shogoin, Sakyo-ku, Kyoto, Kyoto, 606-8507, Japan.; Research Center for Advanced Science and Technology, The University of Tokyo, 4-6-1 Komaba, Meguro-ku, Tokyo, 153-8904, Japan.; Department of Diagnostic Imaging and Nuclear Medicine, Graduate School of Medicine, Kyoto University, 54 Kawahara-cho, Shogoin, Sakyo-ku, Kyoto, Kyoto, 606-8507, Japan. nmizuho@kuhp.kyoto-u.ac.jp.; Preemptive Medicine and Lifestyle-related Disease Research Center, Kyoto University Hospital, 53 Kawahara-cho, Shogoin, Sakyo-ku, Kyoto, Kyoto, 606-8507,  Japan. nmizuho@kuhp.kyoto-u.ac.jp.; Department of Diagnostic Imaging and Nuclear Medicine, Graduate School of Medicine, Kyoto University, 54 Kawahara-cho, Shogoin, Sakyo-ku, Kyoto, Kyoto, 606-8507, Japan.; Preemptive Medicine and Lifestyle-related Disease Research Center, Kyoto University Hospital, 53 Kawahara-cho, Shogoin, Sakyo-ku, Kyoto, Kyoto, 606-8507,  Japan.; Department of Diagnostic Imaging and Nuclear Medicine, Graduate School of Medicine, Kyoto University, 54 Kawahara-cho, Shogoin, Sakyo-ku, Kyoto, Kyoto, 606-8507, Japan.; Department of Diagnostic Imaging and Nuclear Medicine, Graduate School of Medicine, Kyoto University, 54 Kawahara-cho, Shogoin, Sakyo-ku, Kyoto, Kyoto, 606-8507, Japan.&lt;/_author_adr&gt;&lt;_collection_scope&gt;SCIE&lt;/_collection_scope&gt;&lt;_created&gt;64298757&lt;/_created&gt;&lt;_date&gt;2020-01-01&lt;/_date&gt;&lt;_date_display&gt;2020 Jan&lt;/_date_display&gt;&lt;_db_updated&gt;PubMed&lt;/_db_updated&gt;&lt;_doi&gt;10.1007/s12149-019-01414-0&lt;/_doi&gt;&lt;_impact_factor&gt;   2.668&lt;/_impact_factor&gt;&lt;_isbn&gt;1864-6433 (Electronic); 0914-7187 (Linking)&lt;/_isbn&gt;&lt;_issue&gt;1&lt;/_issue&gt;&lt;_journal&gt;Ann Nucl Med&lt;/_journal&gt;&lt;_keywords&gt;Adenocarcinoma; EGFR mutation; Gradient tree boosting; Lung cancer; Radiomics; Squamous cell carcinoma&lt;/_keywords&gt;&lt;_language&gt;eng&lt;/_language&gt;&lt;_modified&gt;64330461&lt;/_modified&gt;&lt;_pages&gt;49-57&lt;/_pages&gt;&lt;_subject_headings&gt;Aged; Carcinoma, Non-Small-Cell Lung/*diagnostic imaging/genetics/pathology; ErbB Receptors/*genetics; Female; *Fluorodeoxyglucose F18; Humans; Image Processing, Computer-Assisted/*methods; Lung Neoplasms/*diagnostic imaging/genetics/pathology; Male; *Mutation; *Positron Emission Tomography Computed Tomography; ROC Curve&lt;/_subject_headings&gt;&lt;_tertiary_title&gt;Annals of nuclear medicine&lt;/_tertiary_title&gt;&lt;_type_work&gt;Journal Article&lt;/_type_work&gt;&lt;_url&gt;http://www.ncbi.nlm.nih.gov/entrez/query.fcgi?cmd=Retrieve&amp;amp;db=pubmed&amp;amp;dopt=Abstract&amp;amp;list_uids=31659591&amp;amp;query_hl=1&lt;/_url&gt;&lt;_volume&gt;34&lt;/_volume&gt;&lt;/Details&gt;&lt;Extra&gt;&lt;DBUID&gt;{F96A950B-833F-4880-A151-76DA2D6A2879}&lt;/DBUID&gt;&lt;/Extra&gt;&lt;/Item&gt;&lt;/References&gt;&lt;/Group&gt;&lt;/Citation&gt;_x000a_"/>
    <w:docVar w:name="NE.Ref{1CF303CF-47AB-4568-B917-7CDA0D450698}" w:val=" ADDIN NE.Ref.{1CF303CF-47AB-4568-B917-7CDA0D450698}&lt;Citation&gt;&lt;Group&gt;&lt;References&gt;&lt;Item&gt;&lt;ID&gt;549&lt;/ID&gt;&lt;UID&gt;{2A5F64DC-7FF2-4038-AB82-056C79BEA8CE}&lt;/UID&gt;&lt;Title&gt;A Postreconstruction Harmonization Method for Multicenter Radiomic Studies in PET&lt;/Title&gt;&lt;Template&gt;Journal Article&lt;/Template&gt;&lt;Star&gt;0&lt;/Star&gt;&lt;Tag&gt;0&lt;/Tag&gt;&lt;Author&gt;Orlhac, F; Boughdad, S; Philippe, C; Stalla-Bourdillon, H; Nioche, C; Champion, L; Soussan, M; Frouin, F; Frouin, V; Buvat, I&lt;/Author&gt;&lt;Year&gt;2018&lt;/Year&gt;&lt;Details&gt;&lt;_accessed&gt;64303925&lt;/_accessed&gt;&lt;_accession_num&gt;29301932&lt;/_accession_num&gt;&lt;_author_adr&gt;Imagerie Moleculaire In Vivo, CEA-SHFJ, INSERM, CNRS, Universite Paris-Sud, Universite Paris-Saclay, Orsay, France orlhacf@gmail.com.; Imagerie Moleculaire In Vivo, CEA-SHFJ, INSERM, CNRS, Universite Paris-Sud, Universite Paris-Saclay, Orsay, France.; Department of Nuclear Medicine, Institut Curie-Rene Huguenin, Saint-Cloud, France.; NeuroSpin/UNATI, CEA, Universite Paris-Saclay, Gif-sur-Yvette, France; and.; NeuroSpin/UNATI, CEA, Universite Paris-Saclay, Gif-sur-Yvette, France; and.; Imagerie Moleculaire In Vivo, CEA-SHFJ, INSERM, CNRS, Universite Paris-Sud, Universite Paris-Saclay, Orsay, France.; Department of Nuclear Medicine, Institut Curie-Rene Huguenin, Saint-Cloud, France.; Imagerie Moleculaire In Vivo, CEA-SHFJ, INSERM, CNRS, Universite Paris-Sud, Universite Paris-Saclay, Orsay, France.; Department of Nuclear Medicine, AP-HP, Hopital Avicenne, Bobigny, France.; Imagerie Moleculaire In Vivo, CEA-SHFJ, INSERM, CNRS, Universite Paris-Sud, Universite Paris-Saclay, Orsay, France.; NeuroSpin/UNATI, CEA, Universite Paris-Saclay, Gif-sur-Yvette, France; and.; Imagerie Moleculaire In Vivo, CEA-SHFJ, INSERM, CNRS, Universite Paris-Sud, Universite Paris-Saclay, Orsay, France.&lt;/_author_adr&gt;&lt;_collection_scope&gt;SCI;SCIE&lt;/_collection_scope&gt;&lt;_created&gt;64298771&lt;/_created&gt;&lt;_date&gt;2018-08-01&lt;/_date&gt;&lt;_date_display&gt;2018 Aug&lt;/_date_display&gt;&lt;_db_updated&gt;PubMed&lt;/_db_updated&gt;&lt;_doi&gt;10.2967/jnumed.117.199935&lt;/_doi&gt;&lt;_impact_factor&gt;  10.057&lt;/_impact_factor&gt;&lt;_isbn&gt;1535-5667 (Electronic); 0161-5505 (Linking)&lt;/_isbn&gt;&lt;_issue&gt;8&lt;/_issue&gt;&lt;_journal&gt;J Nucl Med&lt;/_journal&gt;&lt;_keywords&gt;*PET; *harmonization; *radiomics; *texture analysis; *tumor heterogeneity&lt;/_keywords&gt;&lt;_language&gt;eng&lt;/_language&gt;&lt;_modified&gt;64303925&lt;/_modified&gt;&lt;_ori_publication&gt;(c) 2018 by the Society of Nuclear Medicine and Molecular Imaging.&lt;/_ori_publication&gt;&lt;_pages&gt;1321-1328&lt;/_pages&gt;&lt;_subject_headings&gt;Breast Neoplasms/diagnostic imaging; Female; Humans; Image Processing, Computer-Assisted/*methods; Liver/diagnostic imaging; Middle Aged; *Positron Emission Tomography Computed Tomography&lt;/_subject_headings&gt;&lt;_tertiary_title&gt;Journal of nuclear medicine : official publication, Society of Nuclear Medicine&lt;/_tertiary_title&gt;&lt;_type_work&gt;Journal Article; Multicenter Study; Research Support, Non-U.S. Gov&amp;apos;t&lt;/_type_work&gt;&lt;_url&gt;http://www.ncbi.nlm.nih.gov/entrez/query.fcgi?cmd=Retrieve&amp;amp;db=pubmed&amp;amp;dopt=Abstract&amp;amp;list_uids=29301932&amp;amp;query_hl=1&lt;/_url&gt;&lt;_volume&gt;59&lt;/_volume&gt;&lt;/Details&gt;&lt;Extra&gt;&lt;DBUID&gt;{F96A950B-833F-4880-A151-76DA2D6A2879}&lt;/DBUID&gt;&lt;/Extra&gt;&lt;/Item&gt;&lt;/References&gt;&lt;/Group&gt;&lt;/Citation&gt;_x000a_"/>
    <w:docVar w:name="NE.Ref{229F555E-BCC1-4CC8-8C55-FF852C6A6D43}" w:val=" ADDIN NE.Ref.{229F555E-BCC1-4CC8-8C55-FF852C6A6D43}&lt;Citation&gt;&lt;Group&gt;&lt;References&gt;&lt;Item&gt;&lt;ID&gt;549&lt;/ID&gt;&lt;UID&gt;{2A5F64DC-7FF2-4038-AB82-056C79BEA8CE}&lt;/UID&gt;&lt;Title&gt;A Postreconstruction Harmonization Method for Multicenter Radiomic Studies in PET&lt;/Title&gt;&lt;Template&gt;Journal Article&lt;/Template&gt;&lt;Star&gt;0&lt;/Star&gt;&lt;Tag&gt;0&lt;/Tag&gt;&lt;Author&gt;Orlhac, F; Boughdad, S; Philippe, C; Stalla-Bourdillon, H; Nioche, C; Champion, L; Soussan, M; Frouin, F; Frouin, V; Buvat, I&lt;/Author&gt;&lt;Year&gt;2018&lt;/Year&gt;&lt;Details&gt;&lt;_accession_num&gt;29301932&lt;/_accession_num&gt;&lt;_author_adr&gt;Imagerie Moleculaire In Vivo, CEA-SHFJ, INSERM, CNRS, Universite Paris-Sud, Universite Paris-Saclay, Orsay, France orlhacf@gmail.com.; Imagerie Moleculaire In Vivo, CEA-SHFJ, INSERM, CNRS, Universite Paris-Sud, Universite Paris-Saclay, Orsay, France.; Department of Nuclear Medicine, Institut Curie-Rene Huguenin, Saint-Cloud, France.; NeuroSpin/UNATI, CEA, Universite Paris-Saclay, Gif-sur-Yvette, France; and.; NeuroSpin/UNATI, CEA, Universite Paris-Saclay, Gif-sur-Yvette, France; and.; Imagerie Moleculaire In Vivo, CEA-SHFJ, INSERM, CNRS, Universite Paris-Sud, Universite Paris-Saclay, Orsay, France.; Department of Nuclear Medicine, Institut Curie-Rene Huguenin, Saint-Cloud, France.; Imagerie Moleculaire In Vivo, CEA-SHFJ, INSERM, CNRS, Universite Paris-Sud, Universite Paris-Saclay, Orsay, France.; Department of Nuclear Medicine, AP-HP, Hopital Avicenne, Bobigny, France.; Imagerie Moleculaire In Vivo, CEA-SHFJ, INSERM, CNRS, Universite Paris-Sud, Universite Paris-Saclay, Orsay, France.; NeuroSpin/UNATI, CEA, Universite Paris-Saclay, Gif-sur-Yvette, France; and.; Imagerie Moleculaire In Vivo, CEA-SHFJ, INSERM, CNRS, Universite Paris-Sud, Universite Paris-Saclay, Orsay, France.&lt;/_author_adr&gt;&lt;_date_display&gt;2018 Aug&lt;/_date_display&gt;&lt;_date&gt;2018-08-01&lt;/_date&gt;&lt;_doi&gt;10.2967/jnumed.117.199935&lt;/_doi&gt;&lt;_isbn&gt;1535-5667 (Electronic); 0161-5505 (Linking)&lt;/_isbn&gt;&lt;_issue&gt;8&lt;/_issue&gt;&lt;_journal&gt;J Nucl Med&lt;/_journal&gt;&lt;_keywords&gt;*PET; *harmonization; *radiomics; *texture analysis; *tumor heterogeneity&lt;/_keywords&gt;&lt;_language&gt;eng&lt;/_language&gt;&lt;_ori_publication&gt;(c) 2018 by the Society of Nuclear Medicine and Molecular Imaging.&lt;/_ori_publication&gt;&lt;_pages&gt;1321-1328&lt;/_pages&gt;&lt;_subject_headings&gt;Breast Neoplasms/diagnostic imaging; Female; Humans; Image Processing, Computer-Assisted/*methods; Liver/diagnostic imaging; Middle Aged; *Positron Emission Tomography Computed Tomography&lt;/_subject_headings&gt;&lt;_tertiary_title&gt;Journal of nuclear medicine : official publication, Society of Nuclear Medicine&lt;/_tertiary_title&gt;&lt;_type_work&gt;Journal Article; Multicenter Study; Research Support, Non-U.S. Gov&amp;apos;t&lt;/_type_work&gt;&lt;_url&gt;http://www.ncbi.nlm.nih.gov/entrez/query.fcgi?cmd=Retrieve&amp;amp;db=pubmed&amp;amp;dopt=Abstract&amp;amp;list_uids=29301932&amp;amp;query_hl=1&lt;/_url&gt;&lt;_volume&gt;59&lt;/_volume&gt;&lt;_created&gt;64298771&lt;/_created&gt;&lt;_modified&gt;64298771&lt;/_modified&gt;&lt;_db_updated&gt;PubMed&lt;/_db_updated&gt;&lt;_impact_factor&gt;  10.057&lt;/_impact_factor&gt;&lt;_collection_scope&gt;SCI;SCIE&lt;/_collection_scope&gt;&lt;/Details&gt;&lt;Extra&gt;&lt;DBUID&gt;{F96A950B-833F-4880-A151-76DA2D6A2879}&lt;/DBUID&gt;&lt;/Extra&gt;&lt;/Item&gt;&lt;/References&gt;&lt;/Group&gt;&lt;/Citation&gt;_x000a_"/>
    <w:docVar w:name="NE.Ref{27EB1891-A533-4EFB-A3B2-94BE741322F4}" w:val=" ADDIN NE.Ref.{27EB1891-A533-4EFB-A3B2-94BE741322F4}&lt;Citation&gt;&lt;Group&gt;&lt;References&gt;&lt;Item&gt;&lt;ID&gt;551&lt;/ID&gt;&lt;UID&gt;{26CAC5D6-58B0-49C4-8F14-9EAF939A99B6}&lt;/UID&gt;&lt;Title&gt;(18)F-fluorodeoxyglucose positron emission tomography/computed tomography-based radiomic features for prediction of epidermal growth factor receptor mutation status and prognosis in patients with lung adenocarcinoma&lt;/Title&gt;&lt;Template&gt;Journal Article&lt;/Template&gt;&lt;Star&gt;0&lt;/Star&gt;&lt;Tag&gt;0&lt;/Tag&gt;&lt;Author&gt;Yang, B; Ji, H S; Zhou, C S; Dong, H; Ma, L; Ge, Y Q; Zhu, C H; Tian, J H; Zhang, L J; Zhu, H; Lu, G M&lt;/Author&gt;&lt;Year&gt;2020&lt;/Year&gt;&lt;Details&gt;&lt;_accessed&gt;64455327&lt;/_accessed&gt;&lt;_accession_num&gt;32676320&lt;/_accession_num&gt;&lt;_author_adr&gt;Department of Medical Imaging, Affiliated Jinling Hospital, Medical School of Nanjing University, Nanjing 210002, China.; Department of Nuclear Medicine, Affiliated Jinling Hospital, Medical School of Nanjing University, Nanjing 210002, China.; Department of Medical Imaging, Affiliated Jinling Hospital, Medical School of Nanjing University, Nanjing 210002, China.; College of Medical Imaging, Xuzhou Medical University, Xuzhou 221000, China.; Department of Medical Imaging, Affiliated Jinling Hospital, Medical School of Nanjing University, Nanjing 210002, China.; Siemens Healthineers Ltd. Shanghai 200000, China.; Department of Nuclear Medicine, Peking Union Medical College Hospital, Beijing 100730, China.; Department of Nuclear Medicine, The Chinese PLA General Hospital, Beijing 100730, China.; Department of Medical Imaging, Affiliated Jinling Hospital, Medical School of Nanjing University, Nanjing 210002, China.; Department of Nuclear Medicine, Affiliated Jinling Hospital, Medical School of Nanjing University, Nanjing 210002, China.; Department of Medical Imaging, Affiliated Jinling Hospital, Medical School of Nanjing University, Nanjing 210002, China.&lt;/_author_adr&gt;&lt;_created&gt;64298773&lt;/_created&gt;&lt;_date&gt;2020-06-01&lt;/_date&gt;&lt;_date_display&gt;2020 Jun&lt;/_date_display&gt;&lt;_db_updated&gt;PubMed&lt;/_db_updated&gt;&lt;_doi&gt;10.21037/tlcr-19-592&lt;/_doi&gt;&lt;_impact_factor&gt;   6.498&lt;/_impact_factor&gt;&lt;_isbn&gt;2218-6751 (Print); 2218-6751 (Linking)&lt;/_isbn&gt;&lt;_issue&gt;3&lt;/_issue&gt;&lt;_journal&gt;Transl Lung Cancer Res&lt;/_journal&gt;&lt;_keywords&gt;Lung adenocarcinoma; epidermal growth factor receptor (EGFR); positron emission tomography; prognosis; radiomics&lt;/_keywords&gt;&lt;_language&gt;eng&lt;/_language&gt;&lt;_modified&gt;64455327&lt;/_modified&gt;&lt;_ori_publication&gt;2020 Translational Lung Cancer Research. All rights reserved.&lt;/_ori_publication&gt;&lt;_pages&gt;563-574&lt;/_pages&gt;&lt;_tertiary_title&gt;Translational lung cancer research&lt;/_tertiary_title&gt;&lt;_type_work&gt;Journal Article&lt;/_type_work&gt;&lt;_url&gt;http://www.ncbi.nlm.nih.gov/entrez/query.fcgi?cmd=Retrieve&amp;amp;db=pubmed&amp;amp;dopt=Abstract&amp;amp;list_uids=32676320&amp;amp;query_hl=1&lt;/_url&gt;&lt;_volume&gt;9&lt;/_volume&gt;&lt;/Details&gt;&lt;Extra&gt;&lt;DBUID&gt;{F96A950B-833F-4880-A151-76DA2D6A2879}&lt;/DBUID&gt;&lt;/Extra&gt;&lt;/Item&gt;&lt;/References&gt;&lt;/Group&gt;&lt;/Citation&gt;_x000a_"/>
    <w:docVar w:name="NE.Ref{2C0620D0-823A-4F7C-A987-75501FC83118}" w:val=" ADDIN NE.Ref.{2C0620D0-823A-4F7C-A987-75501FC83118}&lt;Citation&gt;&lt;Group&gt;&lt;References&gt;&lt;Item&gt;&lt;ID&gt;566&lt;/ID&gt;&lt;UID&gt;{E8769B10-F131-47F2-AE8E-7C39213CC42B}&lt;/UID&gt;&lt;Title&gt;Predictive radiogenomics modeling of EGFR mutation status in lung cancer&lt;/Title&gt;&lt;Template&gt;Journal Article&lt;/Template&gt;&lt;Star&gt;0&lt;/Star&gt;&lt;Tag&gt;0&lt;/Tag&gt;&lt;Author&gt;Gevaert, O; Echegaray, S; Khuong, A; Hoang, C D; Shrager, J B; Jensen, K C; Berry, G J; Guo, H H; Lau, C; Plevritis, S K; Rubin, D L; Napel, S; Leung, A N&lt;/Author&gt;&lt;Year&gt;2017&lt;/Year&gt;&lt;Details&gt;&lt;_accession_num&gt;28139704&lt;/_accession_num&gt;&lt;_author_adr&gt;Stanford Center for Biomedical Informatics Research, Department of Medicine &amp;amp;Department of Biomedical Data Science, Stanford University, Stanford, CA, USA.; Department of Radiology, Stanford University, Stanford, CA, USA.; Thoracic and GI Oncology Branch, CCR, National Institutes of Health, National Cancer Institute, Bethesda, MD, USA.; Thoracic and GI Oncology Branch, CCR, National Institutes of Health, National Cancer Institute, Bethesda, MD, USA.; Thoracic and GI Oncology Branch, CCR, National Institutes of Health, National Cancer Institute, Bethesda, MD, USA.; Department of Pathology, Stanford University Medical Center, Stanford, CA, USA.; Pathology and Laboratory Service of Veterans Affairs Palo Alto Health Care System, Palo Alto, CA, USA.; Department of Pathology, Stanford University Medical Center, Stanford, CA, USA.; Department of Radiology, Stanford University, Stanford, CA, USA.; Department of Radiology, Stanford University, Veterans Affairs Palo Alto Health Care System, Palo Alto, CA, USA.; Department of Radiology, Stanford University, Stanford, CA, USA.; Department of Radiology, Stanford University, Stanford, CA, USA.; Department of Radiology, Stanford University, Stanford, CA, USA.; Department of Radiology, Stanford University, Stanford, CA, USA.&lt;/_author_adr&gt;&lt;_created&gt;64298843&lt;/_created&gt;&lt;_date&gt;2017-01-31&lt;/_date&gt;&lt;_date_display&gt;2017 Jan 31&lt;/_date_display&gt;&lt;_db_updated&gt;PubMed&lt;/_db_updated&gt;&lt;_doi&gt;10.1038/srep41674&lt;/_doi&gt;&lt;_impact_factor&gt;   4.380&lt;/_impact_factor&gt;&lt;_isbn&gt;2045-2322 (Electronic); 2045-2322 (Linking)&lt;/_isbn&gt;&lt;_journal&gt;Sci Rep&lt;/_journal&gt;&lt;_language&gt;eng&lt;/_language&gt;&lt;_modified&gt;64298843&lt;/_modified&gt;&lt;_pages&gt;41674&lt;/_pages&gt;&lt;_subject_headings&gt;Area Under Curve; Biomarkers, Tumor; Decision Trees; ErbB Receptors/*genetics; Female; *Genomics/methods; Humans; Lung Neoplasms/*genetics/pathology; Male; Multivariate Analysis; *Mutation; Proto-Oncogene Proteins p21(ras)/genetics&lt;/_subject_headings&gt;&lt;_tertiary_title&gt;Scientific reports&lt;/_tertiary_title&gt;&lt;_type_work&gt;Journal Article; Research Support, N.I.H., Extramural&lt;/_type_work&gt;&lt;_url&gt;http://www.ncbi.nlm.nih.gov/entrez/query.fcgi?cmd=Retrieve&amp;amp;db=pubmed&amp;amp;dopt=Abstract&amp;amp;list_uids=28139704&amp;amp;query_hl=1&lt;/_url&gt;&lt;_volume&gt;7&lt;/_volume&gt;&lt;/Details&gt;&lt;Extra&gt;&lt;DBUID&gt;{F96A950B-833F-4880-A151-76DA2D6A2879}&lt;/DBUID&gt;&lt;/Extra&gt;&lt;/Item&gt;&lt;/References&gt;&lt;/Group&gt;&lt;/Citation&gt;_x000a_"/>
    <w:docVar w:name="NE.Ref{33EF0EBF-6571-4529-B6DB-343135CA277A}" w:val=" ADDIN NE.Ref.{33EF0EBF-6571-4529-B6DB-343135CA277A}&lt;Citation&gt;&lt;Group&gt;&lt;References&gt;&lt;Item&gt;&lt;ID&gt;764&lt;/ID&gt;&lt;UID&gt;{7F930D58-6648-4348-877E-1875E0C227DD}&lt;/UID&gt;&lt;Title&gt;Overall Survival Prognostic Modelling of Non-small Cell Lung Cancer Patients Using Positron Emission Tomography/Computed Tomography Harmonised Radiomics Features: The Quest for the Optimal Machine Learning Algorithm&lt;/Title&gt;&lt;Template&gt;Journal Article&lt;/Template&gt;&lt;Star&gt;0&lt;/Star&gt;&lt;Tag&gt;0&lt;/Tag&gt;&lt;Author&gt;Amini, M; Hajianfar, G; Hadadi, Avval A; Nazari, M; Deevband, M R; Oveisi, M; Shiri, I; Zaidi, H&lt;/Author&gt;&lt;Year&gt;2022&lt;/Year&gt;&lt;Details&gt;&lt;_accessed&gt;64454996&lt;/_accessed&gt;&lt;_accession_num&gt;34872823&lt;/_accession_num&gt;&lt;_author_adr&gt;Division of Nuclear Medicine and Molecular Imaging, Geneva University Hospital, Geneva, Switzerland.; Rajaie Cardiovascular Medical and Research Center, Iran University of Medical Science, Tehran, Iran.; School of Medicine, Mashhad University of Medical Sciences, Mashhad, Iran.; Rajaie Cardiovascular Medical and Research Center, Iran University of Medical Science, Tehran, Iran; Department of Biomedical Engineering and Medical Physics,  Shahid Beheshti University of Medical Sciences, Tehran, Iran.; Department of Biomedical Engineering and Medical Physics, Shahid Beheshti University of Medical Sciences, Tehran, Iran.; Comprehensive Cancer Centre, School of Cancer &amp;amp; Pharmaceutical Sciences, Faculty  of Life Sciences &amp;amp; Medicine, Kings College London, London, UK.; Division of Nuclear Medicine and Molecular Imaging, Geneva University Hospital, Geneva, Switzerland.; Division of Nuclear Medicine and Molecular Imaging, Geneva University Hospital, Geneva, Switzerland; Geneva University Neurocenter, Geneva University, Geneva, Switzerland; Department of Nuclear Medicine and Molecular Imaging, University of  Groningen, University Medical Center Groningen, Groningen, the Netherlands; Department of Nuclear Medicine, University of Southern Denmark, Odense, Denmark.  Electronic address: habib.zaidi@hcuge.ch.&lt;/_author_adr&gt;&lt;_created&gt;64454987&lt;/_created&gt;&lt;_date&gt;2022-02-01&lt;/_date&gt;&lt;_date_display&gt;2022 Feb&lt;/_date_display&gt;&lt;_db_updated&gt;PubMed&lt;/_db_updated&gt;&lt;_doi&gt;10.1016/j.clon.2021.11.014&lt;/_doi&gt;&lt;_impact_factor&gt;   4.126&lt;/_impact_factor&gt;&lt;_isbn&gt;1433-2981 (Electronic); 0936-6555 (Linking)&lt;/_isbn&gt;&lt;_issue&gt;2&lt;/_issue&gt;&lt;_journal&gt;Clin Oncol (R Coll Radiol)&lt;/_journal&gt;&lt;_keywords&gt;*Fusion; *PET/CT; *machine learning; *non-small cell lung cancer; *radiomics&lt;/_keywords&gt;&lt;_language&gt;eng&lt;/_language&gt;&lt;_modified&gt;64454993&lt;/_modified&gt;&lt;_ori_publication&gt;Copyright (c) 2021 The Authors. Published by Elsevier Ltd.. All rights reserved.&lt;/_ori_publication&gt;&lt;_pages&gt;114-127&lt;/_pages&gt;&lt;_subject_headings&gt;Algorithms; *Carcinoma, Non-Small-Cell Lung/diagnostic imaging; Humans; *Lung Neoplasms/diagnostic imaging; Machine Learning; Multimodal Imaging; Positron Emission Tomography Computed Tomography; Prognosis&lt;/_subject_headings&gt;&lt;_tertiary_title&gt;Clinical oncology (Royal College of Radiologists (Great Britain))&lt;/_tertiary_title&gt;&lt;_type_work&gt;Journal Article; Research Support, Non-U.S. Gov&amp;apos;t&lt;/_type_work&gt;&lt;_url&gt;http://www.ncbi.nlm.nih.gov/entrez/query.fcgi?cmd=Retrieve&amp;amp;db=pubmed&amp;amp;dopt=Abstract&amp;amp;list_uids=34872823&amp;amp;query_hl=1&lt;/_url&gt;&lt;_volume&gt;34&lt;/_volume&gt;&lt;/Details&gt;&lt;Extra&gt;&lt;DBUID&gt;{F96A950B-833F-4880-A151-76DA2D6A2879}&lt;/DBUID&gt;&lt;/Extra&gt;&lt;/Item&gt;&lt;/References&gt;&lt;/Group&gt;&lt;/Citation&gt;_x000a_"/>
    <w:docVar w:name="NE.Ref{35AE8C6E-552C-4DDB-89F0-7CE044C2F296}" w:val=" ADDIN NE.Ref.{35AE8C6E-552C-4DDB-89F0-7CE044C2F296}&lt;Citation&gt;&lt;Group&gt;&lt;References&gt;&lt;Item&gt;&lt;ID&gt;530&lt;/ID&gt;&lt;UID&gt;{4325E79F-2A1C-42EF-B922-43B1074FE91F}&lt;/UID&gt;&lt;Title&gt;Histologic subtype classification of non-small cell lung cancer using PET/CT images&lt;/Title&gt;&lt;Template&gt;Journal Article&lt;/Template&gt;&lt;Star&gt;0&lt;/Star&gt;&lt;Tag&gt;0&lt;/Tag&gt;&lt;Author&gt;Han, Y; Ma, Y; Wu, Z; Zhang, F; Zheng, D; Liu, X; Tao, L; Liang, Z; Yang, Z; Li, X; Huang, J; Guo, X&lt;/Author&gt;&lt;Year&gt;2021&lt;/Year&gt;&lt;Details&gt;&lt;_accession_num&gt;32776232&lt;/_accession_num&gt;&lt;_author_adr&gt;Department of Epidemiology and Health Statistics, School of Public Health, Capital Medical University, Beijing, China.; Beijing Municipal Key Laboratory of Clinical Epidemiology, Capital Medical University, Beijing, China.; Department of Epidemiology and Health Statistics, School of Public Health, Capital Medical University, Beijing, China.; Beijing Municipal Key Laboratory of Clinical Epidemiology, Capital Medical University, Beijing, China.; Department of Epidemiology and Health Statistics, School of Public Health, Capital Medical University, Beijing, China.; Beijing Municipal Key Laboratory of Clinical Epidemiology, Capital Medical University, Beijing, China.; Department of Epidemiology and Health Statistics, School of Public Health, Capital Medical University, Beijing, China.; Beijing Municipal Key Laboratory of Clinical Epidemiology, Capital Medical University, Beijing, China.; Department of Epidemiology and Health Statistics, School of Public Health, Capital Medical University, Beijing, China.; Beijing Municipal Key Laboratory of Clinical Epidemiology, Capital Medical University, Beijing, China.; Department of Epidemiology and Health Statistics, School of Public Health, Capital Medical University, Beijing, China.; Beijing Municipal Key Laboratory of Clinical Epidemiology, Capital Medical University, Beijing, China.; Department of Epidemiology and Health Statistics, School of Public Health, Capital Medical University, Beijing, China.; Beijing Municipal Key Laboratory of Clinical Epidemiology, Capital Medical University, Beijing, China.; Department of Nuclear Medicine, Xuanwu Hospital Capital Medical University, Beijing, China.; Key Laboratory of Carcinogenesis and Translational Research, Department of Nuclear Medicine, Peking University Cancer Hospital, Beijing, China.; Department of Mathematics and Statistics, La Trobe University, Melbourne, Victoria, Australia.; School of Mathematical Sciences, University College Cork, Cork, Ireland.; Department of Epidemiology and Health Statistics, School of Public Health, Capital Medical University, Beijing, China. statguo@ccmu.edu.cn.; Beijing Municipal Key Laboratory of Clinical Epidemiology, Capital Medical University, Beijing, China. statguo@ccmu.edu.cn.&lt;/_author_adr&gt;&lt;_created&gt;64298734&lt;/_created&gt;&lt;_date&gt;2021-02-01&lt;/_date&gt;&lt;_date_display&gt;2021 Feb&lt;/_date_display&gt;&lt;_db_updated&gt;PubMed&lt;/_db_updated&gt;&lt;_doi&gt;10.1007/s00259-020-04771-5&lt;/_doi&gt;&lt;_impact_factor&gt;   9.236&lt;/_impact_factor&gt;&lt;_isbn&gt;1619-7089 (Electronic); 1619-7070 (Linking)&lt;/_isbn&gt;&lt;_issue&gt;2&lt;/_issue&gt;&lt;_journal&gt;Eur J Nucl Med Mol Imaging&lt;/_journal&gt;&lt;_keywords&gt;*Histologic subtype; *Machine learning; *Non-small cell lung cancer; *Positron emission tomography; *Radiomics&lt;/_keywords&gt;&lt;_language&gt;eng&lt;/_language&gt;&lt;_modified&gt;64298734&lt;/_modified&gt;&lt;_pages&gt;350-360&lt;/_pages&gt;&lt;_subject_headings&gt;*Carcinoma, Non-Small-Cell Lung/diagnostic imaging; Humans; *Lung Neoplasms/diagnostic imaging; Positron Emission Tomography Computed Tomography; Retrospective Studies; Tomography, X-Ray Computed&lt;/_subject_headings&gt;&lt;_tertiary_title&gt;European journal of nuclear medicine and molecular imaging&lt;/_tertiary_title&gt;&lt;_type_work&gt;Journal Article; Research Support, Non-U.S. Gov&amp;apos;t&lt;/_type_work&gt;&lt;_url&gt;http://www.ncbi.nlm.nih.gov/entrez/query.fcgi?cmd=Retrieve&amp;amp;db=pubmed&amp;amp;dopt=Abstract&amp;amp;list_uids=32776232&amp;amp;query_hl=1&lt;/_url&gt;&lt;_volume&gt;48&lt;/_volume&gt;&lt;/Details&gt;&lt;Extra&gt;&lt;DBUID&gt;{F96A950B-833F-4880-A151-76DA2D6A2879}&lt;/DBUID&gt;&lt;/Extra&gt;&lt;/Item&gt;&lt;/References&gt;&lt;/Group&gt;&lt;Group&gt;&lt;References&gt;&lt;Item&gt;&lt;ID&gt;531&lt;/ID&gt;&lt;UID&gt;{DF50EFEE-A634-487F-8CA6-3A8BB5DA8F3A}&lt;/UID&gt;&lt;Title&gt;Machine learning based on clinico-biological features integrated (18)F-FDG PET/CT radiomics for distinguishing squamous cell carcinoma from adenocarcinoma of lung&lt;/Title&gt;&lt;Template&gt;Journal Article&lt;/Template&gt;&lt;Star&gt;0&lt;/Star&gt;&lt;Tag&gt;0&lt;/Tag&gt;&lt;Author&gt;Ren, C; Zhang, J; Qi, M; Zhang, J; Zhang, Y; Song, S; Sun, Y; Cheng, J&lt;/Author&gt;&lt;Year&gt;2021&lt;/Year&gt;&lt;Details&gt;&lt;_accession_num&gt;33057772&lt;/_accession_num&gt;&lt;_author_adr&gt;Department of Nuclear Medicine, Shanghai Proton and Heavy Ion Center, Shanghai, 201315, China.; Shanghai Engineering Research Center of Proton and Heavy Ion Radiation Therapy, Shanghai, China.; Department of Nuclear Medicine, Shanghai Proton and Heavy Ion Center, Fudan University Cancer Hospital, Shanghai, 201321, China.; Department of Oncology, Shanghai Medical College, Fudan University, Shanghai, 200032, China.; Center for Biomedical Imaging, Fudan University, Shanghai, 200032, China.; Shanghai Engineering Research Center for Molecular Imaging Probes, Shanghai, 200032, China.; Department of Nuclear Medicine, Shanghai Proton and Heavy Ion Center, Fudan University Cancer Hospital, Shanghai, 201321, China.; Department of Oncology, Shanghai Medical College, Fudan University, Shanghai, 200032, China.; Center for Biomedical Imaging, Fudan University, Shanghai, 200032, China.; Shanghai Engineering Research Center for Molecular Imaging Probes, Shanghai, 200032, China.; Department of Nuclear Medicine, Shanghai Proton and Heavy Ion Center, Shanghai, 201315, China.; Shanghai Engineering Research Center of Proton and Heavy Ion Radiation Therapy, Shanghai, China.; Department of Nuclear Medicine, Shanghai Proton and Heavy Ion Center, Fudan University Cancer Hospital, Shanghai, 201321, China.; Shanghai Engineering Research Center of Proton and Heavy Ion Radiation Therapy, Shanghai, China.; Department of Oncology, Shanghai Medical College, Fudan University, Shanghai, 200032, China.; Center for Biomedical Imaging, Fudan University, Shanghai, 200032, China.; Shanghai Engineering Research Center for Molecular Imaging Probes, Shanghai, 200032, China.; Department of Nuclear Medicine, Shanghai Proton and Heavy Ion Center, Fudan University Cancer Hospital, Shanghai, 201321, China.; Shanghai Engineering Research Center of Proton and Heavy Ion Radiation Therapy, Shanghai, China.; Department of Oncology, Shanghai Medical College, Fudan University, Shanghai, 200032, China.; Center for Biomedical Imaging, Fudan University, Shanghai, 200032, China.; Shanghai Engineering Research Center for Molecular Imaging Probes, Shanghai, 200032, China.; Department of Nuclear Medicine, Shanghai Proton and Heavy Ion Center, Shanghai, 201315, China. yun.sun@sphic.org.cn.; Shanghai Engineering Research Center of Proton and Heavy Ion Radiation Therapy, Shanghai, China. yun.sun@sphic.org.cn.; Department of Research and Development, Shanghai Proton and Heavy Ion Center, Shanghai, 201321, China. yun.sun@sphic.org.cn.; Department of Nuclear Medicine, Shanghai Proton and Heavy Ion Center, Fudan University Cancer Hospital, Shanghai, 201321, China. jcheng13@fudan.edu.cn.; Shanghai Engineering Research Center of Proton and Heavy Ion Radiation Therapy, Shanghai, China. jcheng13@fudan.edu.cn.; Department of Oncology, Shanghai Medical College, Fudan University, Shanghai, 200032, China. jcheng13@fudan.edu.cn.; Center for Biomedical Imaging, Fudan University, Shanghai, 200032, China. jcheng13@fudan.edu.cn.; Shanghai Engineering Research Center for Molecular Imaging Probes, Shanghai, 200032, China. jcheng13@fudan.edu.cn.&lt;/_author_adr&gt;&lt;_created&gt;64298734&lt;/_created&gt;&lt;_date&gt;2021-05-01&lt;/_date&gt;&lt;_date_display&gt;2021 May&lt;/_date_display&gt;&lt;_db_updated&gt;PubMed&lt;/_db_updated&gt;&lt;_doi&gt;10.1007/s00259-020-05065-6&lt;/_doi&gt;&lt;_impact_factor&gt;   9.236&lt;/_impact_factor&gt;&lt;_isbn&gt;1619-7089 (Electronic); 1619-7070 (Linking)&lt;/_isbn&gt;&lt;_issue&gt;5&lt;/_issue&gt;&lt;_journal&gt;Eur J Nucl Med Mol Imaging&lt;/_journal&gt;&lt;_keywords&gt;*18F-FDG PET/CT; *Adenocarcinoma; *Machine learning; *Nomogram; *Radiomics; *Squamous cell carcinoma&lt;/_keywords&gt;&lt;_language&gt;eng&lt;/_language&gt;&lt;_modified&gt;64298737&lt;/_modified&gt;&lt;_pages&gt;1538-1549&lt;/_pages&gt;&lt;_subject_headings&gt;*Adenocarcinoma/diagnostic imaging; *Adenocarcinoma of Lung; *Carcinoma, Non-Small-Cell Lung; *Carcinoma, Squamous Cell/diagnostic imaging; Fluorodeoxyglucose F18; Humans; *Lung Neoplasms/diagnostic imaging; Machine Learning; Positron Emission Tomography Computed Tomography; Retrospective Studies&lt;/_subject_headings&gt;&lt;_tertiary_title&gt;European journal of nuclear medicine and molecular imaging&lt;/_tertiary_title&gt;&lt;_type_work&gt;Journal Article&lt;/_type_work&gt;&lt;_url&gt;http://www.ncbi.nlm.nih.gov/entrez/query.fcgi?cmd=Retrieve&amp;amp;db=pubmed&amp;amp;dopt=Abstract&amp;amp;list_uids=33057772&amp;amp;query_hl=1&lt;/_url&gt;&lt;_volume&gt;48&lt;/_volume&gt;&lt;/Details&gt;&lt;Extra&gt;&lt;DBUID&gt;{F96A950B-833F-4880-A151-76DA2D6A2879}&lt;/DBUID&gt;&lt;/Extra&gt;&lt;/Item&gt;&lt;/References&gt;&lt;/Group&gt;&lt;Group&gt;&lt;References&gt;&lt;Item&gt;&lt;ID&gt;533&lt;/ID&gt;&lt;UID&gt;{FFFD3C95-A6B9-47D5-8975-10D45A35AE06}&lt;/UID&gt;&lt;Title&gt;Histologic subtype classification of non-small cell lung cancer using PET/CT images&lt;/Title&gt;&lt;Template&gt;Journal Article&lt;/Template&gt;&lt;Star&gt;0&lt;/Star&gt;&lt;Tag&gt;0&lt;/Tag&gt;&lt;Author&gt;Han, Y; Ma, Y; Wu, Z; Zhang, F; Zheng, D; Liu, X; Tao, L; Liang, Z; Yang, Z; Li, X; Huang, J; Guo, X&lt;/Author&gt;&lt;Year&gt;2021&lt;/Year&gt;&lt;Details&gt;&lt;_accession_num&gt;32776232&lt;/_accession_num&gt;&lt;_author_adr&gt;Department of Epidemiology and Health Statistics, School of Public Health, Capital Medical University, Beijing, China.; Beijing Municipal Key Laboratory of Clinical Epidemiology, Capital Medical University, Beijing, China.; Department of Epidemiology and Health Statistics, School of Public Health, Capital Medical University, Beijing, China.; Beijing Municipal Key Laboratory of Clinical Epidemiology, Capital Medical University, Beijing, China.; Department of Epidemiology and Health Statistics, School of Public Health, Capital Medical University, Beijing, China.; Beijing Municipal Key Laboratory of Clinical Epidemiology, Capital Medical University, Beijing, China.; Department of Epidemiology and Health Statistics, School of Public Health, Capital Medical University, Beijing, China.; Beijing Municipal Key Laboratory of Clinical Epidemiology, Capital Medical University, Beijing, China.; Department of Epidemiology and Health Statistics, School of Public Health, Capital Medical University, Beijing, China.; Beijing Municipal Key Laboratory of Clinical Epidemiology, Capital Medical University, Beijing, China.; Department of Epidemiology and Health Statistics, School of Public Health, Capital Medical University, Beijing, China.; Beijing Municipal Key Laboratory of Clinical Epidemiology, Capital Medical University, Beijing, China.; Department of Epidemiology and Health Statistics, School of Public Health, Capital Medical University, Beijing, China.; Beijing Municipal Key Laboratory of Clinical Epidemiology, Capital Medical University, Beijing, China.; Department of Nuclear Medicine, Xuanwu Hospital Capital Medical University, Beijing, China.; Key Laboratory of Carcinogenesis and Translational Research, Department of Nuclear Medicine, Peking University Cancer Hospital, Beijing, China.; Department of Mathematics and Statistics, La Trobe University, Melbourne, Victoria, Australia.; School of Mathematical Sciences, University College Cork, Cork, Ireland.; Department of Epidemiology and Health Statistics, School of Public Health, Capital Medical University, Beijing, China. statguo@ccmu.edu.cn.; Beijing Municipal Key Laboratory of Clinical Epidemiology, Capital Medical University, Beijing, China. statguo@ccmu.edu.cn.&lt;/_author_adr&gt;&lt;_created&gt;64298742&lt;/_created&gt;&lt;_date&gt;2021-02-01&lt;/_date&gt;&lt;_date_display&gt;2021 Feb&lt;/_date_display&gt;&lt;_db_updated&gt;PubMed&lt;/_db_updated&gt;&lt;_doi&gt;10.1007/s00259-020-04771-5&lt;/_doi&gt;&lt;_impact_factor&gt;   9.236&lt;/_impact_factor&gt;&lt;_isbn&gt;1619-7089 (Electronic); 1619-7070 (Linking)&lt;/_isbn&gt;&lt;_issue&gt;2&lt;/_issue&gt;&lt;_journal&gt;Eur J Nucl Med Mol Imaging&lt;/_journal&gt;&lt;_keywords&gt;*Histologic subtype; *Machine learning; *Non-small cell lung cancer; *Positron emission tomography; *Radiomics&lt;/_keywords&gt;&lt;_language&gt;eng&lt;/_language&gt;&lt;_modified&gt;64298744&lt;/_modified&gt;&lt;_pages&gt;350-360&lt;/_pages&gt;&lt;_subject_headings&gt;*Carcinoma, Non-Small-Cell Lung/diagnostic imaging; Humans; *Lung Neoplasms/diagnostic imaging; Positron Emission Tomography Computed Tomography; Retrospective Studies; Tomography, X-Ray Computed&lt;/_subject_headings&gt;&lt;_tertiary_title&gt;European journal of nuclear medicine and molecular imaging&lt;/_tertiary_title&gt;&lt;_type_work&gt;Journal Article; Research Support, Non-U.S. Gov&amp;apos;t&lt;/_type_work&gt;&lt;_url&gt;http://www.ncbi.nlm.nih.gov/entrez/query.fcgi?cmd=Retrieve&amp;amp;db=pubmed&amp;amp;dopt=Abstract&amp;amp;list_uids=32776232&amp;amp;query_hl=1&lt;/_url&gt;&lt;_volume&gt;48&lt;/_volume&gt;&lt;/Details&gt;&lt;Extra&gt;&lt;DBUID&gt;{F96A950B-833F-4880-A151-76DA2D6A2879}&lt;/DBUID&gt;&lt;/Extra&gt;&lt;/Item&gt;&lt;/References&gt;&lt;/Group&gt;&lt;/Citation&gt;_x000a_"/>
    <w:docVar w:name="NE.Ref{37EDEADF-8FB7-4EC0-8757-F93982864C9B}" w:val=" ADDIN NE.Ref.{37EDEADF-8FB7-4EC0-8757-F93982864C9B}&lt;Citation&gt;&lt;Group&gt;&lt;References&gt;&lt;Item&gt;&lt;ID&gt;534&lt;/ID&gt;&lt;UID&gt;{47628D7B-D5AF-4F0F-91F1-BA3E9D30B9B9}&lt;/UID&gt;&lt;Title&gt;[(18)F]FDG PET radiomics to predict disease-free survival in cervical cancer: a multi-scanner/center study with external validation&lt;/Title&gt;&lt;Template&gt;Journal Article&lt;/Template&gt;&lt;Star&gt;0&lt;/Star&gt;&lt;Tag&gt;0&lt;/Tag&gt;&lt;Author&gt;Ferreira, M; Lovinfosse, P; Hermesse, J; Decuypere, M; Rousseau, C; Lucia, F; Schick, U; Reinhold, C; Robin, P; Hatt, M; Visvikis, D; Bernard, C; Leijenaar, RTH; Kridelka, F; Lambin, P; Meyer, P E; Hustinx, R&lt;/Author&gt;&lt;Year&gt;2021&lt;/Year&gt;&lt;Details&gt;&lt;_accessed&gt;64330459&lt;/_accessed&gt;&lt;_accession_num&gt;33772334&lt;/_accession_num&gt;&lt;_author_adr&gt;GIGA-CRC in vivo Imaging, University of Liege, GIGA, Avenue de l&amp;apos;Hopital 11, 4000, Liege, Belgium. m.Ferreira@student.uliege.be.; Division of Nuclear Medicine and Oncological Imaging, University Hospital of Liege, Liege, Belgium.; Department of Radiation Oncology, Liege University Hospital, Liege, Belgium.; Division of Oncological Gynecology, University Hospital of Liege, Liege, Belgium.; Universite de Nantes, CNRS, Inserm, CRCINA, F-44000, Nantes, France.; ICO Rene Gauducheau, F-44800, Saint-Herblain, France.; Radiation Oncology Department, University Hospital, Brest, France.; LaTIM, INSERM, UMR 1101, Univ Brest, Brest, France.; Radiation Oncology Department, University Hospital, Brest, France.; LaTIM, INSERM, UMR 1101, Univ Brest, Brest, France.; Department of Radiology, McGill University Health Centre (MUHC), Montreal, Canada.; Department of Nuclear Medicine and EA3878, Brest University Hospital, University  of Brest, Brest, France.; LaTIM, INSERM, UMR 1101, Univ Brest, Brest, France.; LaTIM, INSERM, UMR 1101, Univ Brest, Brest, France.; Division of Nuclear Medicine and Oncological Imaging, University Hospital of Liege, Liege, Belgium.; Oncoradiomics SA, Clos Chanmurly 13, 4000, Liege, Belgium.; The-D Lab, Precision Medicine, GROW-School for Oncology and Developmental Biology, Maastricht University Medical Centre, Maastricht, Netherlands.; Division of Oncological Gynecology, University Hospital of Liege, Liege, Belgium.; The-D Lab, Precision Medicine, GROW-School for Oncology and Developmental Biology, Maastricht University Medical Centre, Maastricht, Netherlands.; Department of Radiology and Nuclear Medicine, Maastricht University Medical Centre, Maastricht, The Netherlands.; Bioinformatics and Systems Biology Lab, University of Liege, Liege, Belgium.; GIGA-CRC in vivo Imaging, University of Liege, GIGA, Avenue de l&amp;apos;Hopital 11, 4000, Liege, Belgium.&lt;/_author_adr&gt;&lt;_created&gt;64298745&lt;/_created&gt;&lt;_date&gt;2021-10-01&lt;/_date&gt;&lt;_date_display&gt;2021 Oct&lt;/_date_display&gt;&lt;_db_updated&gt;PubMed&lt;/_db_updated&gt;&lt;_doi&gt;10.1007/s00259-021-05303-5&lt;/_doi&gt;&lt;_impact_factor&gt;   9.236&lt;/_impact_factor&gt;&lt;_isbn&gt;1619-7089 (Electronic); 1619-7070 (Linking)&lt;/_isbn&gt;&lt;_issue&gt;11&lt;/_issue&gt;&lt;_journal&gt;Eur J Nucl Med Mol Imaging&lt;/_journal&gt;&lt;_keywords&gt;*Cervical cancer; *Disease-free survival; *Machine learning; *Radiomics; *[18F]FDG PET/CT&lt;/_keywords&gt;&lt;_language&gt;eng&lt;/_language&gt;&lt;_modified&gt;64330459&lt;/_modified&gt;&lt;_ori_publication&gt;(c) 2021. The Author(s), under exclusive licence to Springer-Verlag GmbH Germany,_x000d__x000a_      part of Springer Nature.&lt;/_ori_publication&gt;&lt;_pages&gt;3432-3443&lt;/_pages&gt;&lt;_subject_headings&gt;Bayes Theorem; Disease-Free Survival; Female; *Fluorodeoxyglucose F18; Humans; Neoplasm Recurrence, Local; Positron Emission Tomography Computed Tomography; Radiopharmaceuticals; Reproducibility of Results; Retrospective Studies; *Uterine Cervical Neoplasms/diagnostic imaging&lt;/_subject_headings&gt;&lt;_tertiary_title&gt;European journal of nuclear medicine and molecular imaging&lt;/_tertiary_title&gt;&lt;_type_work&gt;Journal Article&lt;/_type_work&gt;&lt;_url&gt;http://www.ncbi.nlm.nih.gov/entrez/query.fcgi?cmd=Retrieve&amp;amp;db=pubmed&amp;amp;dopt=Abstract&amp;amp;list_uids=33772334&amp;amp;query_hl=1&lt;/_url&gt;&lt;_volume&gt;48&lt;/_volume&gt;&lt;/Details&gt;&lt;Extra&gt;&lt;DBUID&gt;{F96A950B-833F-4880-A151-76DA2D6A2879}&lt;/DBUID&gt;&lt;/Extra&gt;&lt;/Item&gt;&lt;/References&gt;&lt;/Group&gt;&lt;Group&gt;&lt;References&gt;&lt;Item&gt;&lt;ID&gt;549&lt;/ID&gt;&lt;UID&gt;{2A5F64DC-7FF2-4038-AB82-056C79BEA8CE}&lt;/UID&gt;&lt;Title&gt;A Postreconstruction Harmonization Method for Multicenter Radiomic Studies in PET&lt;/Title&gt;&lt;Template&gt;Journal Article&lt;/Template&gt;&lt;Star&gt;0&lt;/Star&gt;&lt;Tag&gt;0&lt;/Tag&gt;&lt;Author&gt;Orlhac, F; Boughdad, S; Philippe, C; Stalla-Bourdillon, H; Nioche, C; Champion, L; Soussan, M; Frouin, F; Frouin, V; Buvat, I&lt;/Author&gt;&lt;Year&gt;2018&lt;/Year&gt;&lt;Details&gt;&lt;_accessed&gt;64303925&lt;/_accessed&gt;&lt;_accession_num&gt;29301932&lt;/_accession_num&gt;&lt;_author_adr&gt;Imagerie Moleculaire In Vivo, CEA-SHFJ, INSERM, CNRS, Universite Paris-Sud, Universite Paris-Saclay, Orsay, France orlhacf@gmail.com.; Imagerie Moleculaire In Vivo, CEA-SHFJ, INSERM, CNRS, Universite Paris-Sud, Universite Paris-Saclay, Orsay, France.; Department of Nuclear Medicine, Institut Curie-Rene Huguenin, Saint-Cloud, France.; NeuroSpin/UNATI, CEA, Universite Paris-Saclay, Gif-sur-Yvette, France; and.; NeuroSpin/UNATI, CEA, Universite Paris-Saclay, Gif-sur-Yvette, France; and.; Imagerie Moleculaire In Vivo, CEA-SHFJ, INSERM, CNRS, Universite Paris-Sud, Universite Paris-Saclay, Orsay, France.; Department of Nuclear Medicine, Institut Curie-Rene Huguenin, Saint-Cloud, France.; Imagerie Moleculaire In Vivo, CEA-SHFJ, INSERM, CNRS, Universite Paris-Sud, Universite Paris-Saclay, Orsay, France.; Department of Nuclear Medicine, AP-HP, Hopital Avicenne, Bobigny, France.; Imagerie Moleculaire In Vivo, CEA-SHFJ, INSERM, CNRS, Universite Paris-Sud, Universite Paris-Saclay, Orsay, France.; NeuroSpin/UNATI, CEA, Universite Paris-Saclay, Gif-sur-Yvette, France; and.; Imagerie Moleculaire In Vivo, CEA-SHFJ, INSERM, CNRS, Universite Paris-Sud, Universite Paris-Saclay, Orsay, France.&lt;/_author_adr&gt;&lt;_collection_scope&gt;SCI;SCIE&lt;/_collection_scope&gt;&lt;_created&gt;64298771&lt;/_created&gt;&lt;_date&gt;2018-08-01&lt;/_date&gt;&lt;_date_display&gt;2018 Aug&lt;/_date_display&gt;&lt;_db_updated&gt;PubMed&lt;/_db_updated&gt;&lt;_doi&gt;10.2967/jnumed.117.199935&lt;/_doi&gt;&lt;_impact_factor&gt;  10.057&lt;/_impact_factor&gt;&lt;_isbn&gt;1535-5667 (Electronic); 0161-5505 (Linking)&lt;/_isbn&gt;&lt;_issue&gt;8&lt;/_issue&gt;&lt;_journal&gt;J Nucl Med&lt;/_journal&gt;&lt;_keywords&gt;*PET; *harmonization; *radiomics; *texture analysis; *tumor heterogeneity&lt;/_keywords&gt;&lt;_language&gt;eng&lt;/_language&gt;&lt;_modified&gt;64303925&lt;/_modified&gt;&lt;_ori_publication&gt;(c) 2018 by the Society of Nuclear Medicine and Molecular Imaging.&lt;/_ori_publication&gt;&lt;_pages&gt;1321-1328&lt;/_pages&gt;&lt;_subject_headings&gt;Breast Neoplasms/diagnostic imaging; Female; Humans; Image Processing, Computer-Assisted/*methods; Liver/diagnostic imaging; Middle Aged; *Positron Emission Tomography Computed Tomography&lt;/_subject_headings&gt;&lt;_tertiary_title&gt;Journal of nuclear medicine : official publication, Society of Nuclear Medicine&lt;/_tertiary_title&gt;&lt;_type_work&gt;Journal Article; Multicenter Study; Research Support, Non-U.S. Gov&amp;apos;t&lt;/_type_work&gt;&lt;_url&gt;http://www.ncbi.nlm.nih.gov/entrez/query.fcgi?cmd=Retrieve&amp;amp;db=pubmed&amp;amp;dopt=Abstract&amp;amp;list_uids=29301932&amp;amp;query_hl=1&lt;/_url&gt;&lt;_volume&gt;59&lt;/_volume&gt;&lt;/Details&gt;&lt;Extra&gt;&lt;DBUID&gt;{F96A950B-833F-4880-A151-76DA2D6A2879}&lt;/DBUID&gt;&lt;/Extra&gt;&lt;/Item&gt;&lt;/References&gt;&lt;/Group&gt;&lt;Group&gt;&lt;References&gt;&lt;Item&gt;&lt;ID&gt;550&lt;/ID&gt;&lt;UID&gt;{7BD26A76-3132-455D-8E55-4DA3061EB098}&lt;/UID&gt;&lt;Title&gt;Whole-body uptake classification and prostate cancer staging in (68)Ga-PSMA-11 PET/CT using dual-tracer learning&lt;/Title&gt;&lt;Template&gt;Journal Article&lt;/Template&gt;&lt;Star&gt;0&lt;/Star&gt;&lt;Tag&gt;0&lt;/Tag&gt;&lt;Author&gt;Capobianco, N; Sibille, L; Chantadisai, M; Gafita, A; Langbein, T; Platsch, G; Solari, E L; Shah, V; Spottiswoode, B; Eiber, M; Weber, W A; Navab, N; Nekolla, S G&lt;/Author&gt;&lt;Year&gt;2022&lt;/Year&gt;&lt;Details&gt;&lt;_accessed&gt;64455321&lt;/_accessed&gt;&lt;_accession_num&gt;34232350&lt;/_accession_num&gt;&lt;_author_adr&gt;Technische Universitat Munchen, Munich, Germany. nicolo.capobianco@siemens-healthineers.com.; Siemens Healthcare GmbH, Erlangen, Germany. nicolo.capobianco@siemens-healthineers.com.; Siemens Medical Solutions USA, Inc., Knoxville, TN, USA.; School of Medicine, Department of Nuclear Medicine, Technische Universitat Munchen, Munich, Germany.; Faculty of Medicine, King Chulalongkorn Memorial Hospital, The Thai Red Cross Society, Chulalongkorn University, Bangkok, Thailand.; School of Medicine, Department of Nuclear Medicine, Technische Universitat Munchen, Munich, Germany.; School of Medicine, Department of Nuclear Medicine, Technische Universitat Munchen, Munich, Germany.; Siemens Healthcare GmbH, Erlangen, Germany.; School of Medicine, Department of Nuclear Medicine, Technische Universitat Munchen, Munich, Germany.; Siemens Medical Solutions USA, Inc., Knoxville, TN, USA.; Siemens Medical Solutions USA, Inc., Knoxville, TN, USA.; School of Medicine, Department of Nuclear Medicine, Technische Universitat Munchen, Munich, Germany.; School of Medicine, Department of Nuclear Medicine, Technische Universitat Munchen, Munich, Germany.; Computer Aided Medical Procedures (CAMP), Technische Universitat Munchen, Munich, Germany.; School of Medicine, Department of Nuclear Medicine, Technische Universitat Munchen, Munich, Germany.&lt;/_author_adr&gt;&lt;_created&gt;64298772&lt;/_created&gt;&lt;_date&gt;2022-01-01&lt;/_date&gt;&lt;_date_display&gt;2022 Jan&lt;/_date_display&gt;&lt;_db_updated&gt;PubMed&lt;/_db_updated&gt;&lt;_doi&gt;10.1007/s00259-021-05473-2&lt;/_doi&gt;&lt;_impact_factor&gt;   9.236&lt;/_impact_factor&gt;&lt;_isbn&gt;1619-7089 (Electronic); 1619-7070 (Linking)&lt;/_isbn&gt;&lt;_issue&gt;2&lt;/_issue&gt;&lt;_journal&gt;Eur J Nucl Med Mol Imaging&lt;/_journal&gt;&lt;_keywords&gt;*Deep learning; *PET/CT; *PSMA; *Prostate cancer; *Staging; *miTNM&lt;/_keywords&gt;&lt;_language&gt;eng&lt;/_language&gt;&lt;_modified&gt;64455321&lt;/_modified&gt;&lt;_ori_publication&gt;(c) 2021. The Author(s).&lt;/_ori_publication&gt;&lt;_pages&gt;517-526&lt;/_pages&gt;&lt;_subject_headings&gt;Edetic Acid; Gallium Isotopes; Gallium Radioisotopes; Humans; Male; *Positron Emission Tomography Computed Tomography/methods; *Prostatic Neoplasms/diagnostic imaging/pathology&lt;/_subject_headings&gt;&lt;_tertiary_title&gt;European journal of nuclear medicine and molecular imaging&lt;/_tertiary_title&gt;&lt;_type_work&gt;Journal Article&lt;/_type_work&gt;&lt;_url&gt;http://www.ncbi.nlm.nih.gov/entrez/query.fcgi?cmd=Retrieve&amp;amp;db=pubmed&amp;amp;dopt=Abstract&amp;amp;list_uids=34232350&amp;amp;query_hl=1&lt;/_url&gt;&lt;_volume&gt;49&lt;/_volume&gt;&lt;/Details&gt;&lt;Extra&gt;&lt;DBUID&gt;{F96A950B-833F-4880-A151-76DA2D6A2879}&lt;/DBUID&gt;&lt;/Extra&gt;&lt;/Item&gt;&lt;/References&gt;&lt;/Group&gt;&lt;/Citation&gt;_x000a_"/>
    <w:docVar w:name="NE.Ref{3A369AA9-DA17-4F9F-B3A0-6AB149BF44C1}" w:val=" ADDIN NE.Ref.{3A369AA9-DA17-4F9F-B3A0-6AB149BF44C1}&lt;Citation&gt;&lt;Group&gt;&lt;References&gt;&lt;Item&gt;&lt;ID&gt;519&lt;/ID&gt;&lt;UID&gt;{DC6D96DA-DD1D-4590-ACF0-85B6B4BE95E1}&lt;/UID&gt;&lt;Title&gt;The landscape of EGFR pathways and personalized management of non-small-cell lung cancer&lt;/Title&gt;&lt;Template&gt;Journal Article&lt;/Template&gt;&lt;Star&gt;0&lt;/Star&gt;&lt;Tag&gt;0&lt;/Tag&gt;&lt;Author&gt;Cheng, L; Zhang, S; Alexander, R; Yao, Y; MacLennan, G T; Pan, C X; Huang, J; Wang, M; Montironi, R; Lopez-Beltran, A&lt;/Author&gt;&lt;Year&gt;2011&lt;/Year&gt;&lt;Details&gt;&lt;_accession_num&gt;21463141&lt;/_accession_num&gt;&lt;_author_adr&gt;Department of Pathology &amp;amp; Laboratory Medicine, Indiana University School of Medicine, 350 West 11th Street, Clarian Pathology Laboratory Room 4010, Indianapolis, IN 46202, USA.&lt;/_author_adr&gt;&lt;_date_display&gt;2011 Apr&lt;/_date_display&gt;&lt;_date&gt;2011-04-01&lt;/_date&gt;&lt;_doi&gt;10.2217/fon.11.25&lt;/_doi&gt;&lt;_isbn&gt;1744-8301 (Electronic); 1479-6694 (Linking)&lt;/_isbn&gt;&lt;_issue&gt;4&lt;/_issue&gt;&lt;_journal&gt;Future Oncol&lt;/_journal&gt;&lt;_language&gt;eng&lt;/_language&gt;&lt;_pages&gt;519-41&lt;/_pages&gt;&lt;_subject_headings&gt;Antibodies, Monoclonal/*therapeutic use; Carcinoma, Non-Small-Cell Lung/*drug therapy/genetics/metabolism; ErbB Receptors/antagonists &amp;amp; inhibitors/genetics/*metabolism; Humans; Lung Neoplasms/*drug therapy/genetics/metabolism; *Molecular Targeted Therapy; Signal Transduction/*drug effects&lt;/_subject_headings&gt;&lt;_tertiary_title&gt;Future oncology (London, England)&lt;/_tertiary_title&gt;&lt;_type_work&gt;Journal Article; Review&lt;/_type_work&gt;&lt;_url&gt;http://www.ncbi.nlm.nih.gov/entrez/query.fcgi?cmd=Retrieve&amp;amp;db=pubmed&amp;amp;dopt=Abstract&amp;amp;list_uids=21463141&amp;amp;query_hl=1&lt;/_url&gt;&lt;_volume&gt;7&lt;/_volume&gt;&lt;_created&gt;64298699&lt;/_created&gt;&lt;_modified&gt;64298701&lt;/_modified&gt;&lt;_db_updated&gt;PubMed&lt;/_db_updated&gt;&lt;_impact_factor&gt;   3.404&lt;/_impact_factor&gt;&lt;_collection_scope&gt;SCIE&lt;/_collection_scope&gt;&lt;/Details&gt;&lt;Extra&gt;&lt;DBUID&gt;{F96A950B-833F-4880-A151-76DA2D6A2879}&lt;/DBUID&gt;&lt;/Extra&gt;&lt;/Item&gt;&lt;/References&gt;&lt;/Group&gt;&lt;/Citation&gt;_x000a_"/>
    <w:docVar w:name="NE.Ref{3AC5FB97-7D6A-4F7C-83B2-6C31040DDC71}" w:val=" ADDIN NE.Ref.{3AC5FB97-7D6A-4F7C-83B2-6C31040DDC71}&lt;Citation&gt;&lt;Group&gt;&lt;References&gt;&lt;Item&gt;&lt;ID&gt;523&lt;/ID&gt;&lt;UID&gt;{D04C042E-8A19-4197-9C81-31FDE32FE915}&lt;/UID&gt;&lt;Title&gt;EGFR Mutation Subtypes Influence Survival Outcomes following First-Line Gefitinib Therapy in Advanced Asian NSCLC Patients&lt;/Title&gt;&lt;Template&gt;Journal Article&lt;/Template&gt;&lt;Star&gt;0&lt;/Star&gt;&lt;Tag&gt;0&lt;/Tag&gt;&lt;Author&gt;Sutiman, N; Tan, S W; Tan, E H; Lim, W T; Kanesvaran, R; Ng, Q S; Jain, A; Ang, M K; Tan, W L; Toh, C K; Chowbay, B&lt;/Author&gt;&lt;Year&gt;2017&lt;/Year&gt;&lt;Details&gt;&lt;_accessed&gt;64455245&lt;/_accessed&gt;&lt;_accession_num&gt;27908825&lt;/_accession_num&gt;&lt;_author_adr&gt;Clinical Pharmacology, SingHealth, Singapore.; Division of Medical Oncology, National Cancer Centre, Singapore.; Division of Medical Oncology, National Cancer Centre, Singapore.; Division of Medical Oncology, National Cancer Centre, Singapore.; Division of Medical Oncology, National Cancer Centre, Singapore.; Division of Medical Oncology, National Cancer Centre, Singapore.; Division of Medical Oncology, National Cancer Centre, Singapore.; Division of Medical Oncology, National Cancer Centre, Singapore.; Division of Medical Oncology, National Cancer Centre, Singapore.; Division of Medical Oncology, National Cancer Centre, Singapore.; Clinical Pharmacology, SingHealth, Singapore; Laboratory of Clinical Pharmacology, Division of Medical Sciences, Humphrey Oei Institute of Cancer Research, National Cancer Centre, Singapore; Office of Clinical Sciences, Duke-National University of Singapore Medical School, Singapore. Electronic address: ctebal@nccs.com.sg.&lt;/_author_adr&gt;&lt;_collection_scope&gt;SCI;SCIE&lt;/_collection_scope&gt;&lt;_created&gt;64298713&lt;/_created&gt;&lt;_date&gt;2017-03-01&lt;/_date&gt;&lt;_date_display&gt;2017 Mar&lt;/_date_display&gt;&lt;_db_updated&gt;PubMed&lt;/_db_updated&gt;&lt;_doi&gt;10.1016/j.jtho.2016.11.2225&lt;/_doi&gt;&lt;_impact_factor&gt;  15.609&lt;/_impact_factor&gt;&lt;_isbn&gt;1556-1380 (Electronic); 1556-0864 (Linking)&lt;/_isbn&gt;&lt;_issue&gt;3&lt;/_issue&gt;&lt;_journal&gt;J Thorac Oncol&lt;/_journal&gt;&lt;_keywords&gt;*Asians; *EGFR mutation subtypes; *NSCLC; *Survival&lt;/_keywords&gt;&lt;_language&gt;eng&lt;/_language&gt;&lt;_modified&gt;64455245&lt;/_modified&gt;&lt;_ori_publication&gt;Copyright (c) 2016 International Association for the Study of Lung Cancer._x000d__x000a_      Published by Elsevier Inc. All rights reserved.&lt;/_ori_publication&gt;&lt;_pages&gt;529-538&lt;/_pages&gt;&lt;_subject_headings&gt;Adenocarcinoma/genetics/*mortality/secondary; Adult; Aged; Aged, 80 and over; Asians/genetics; Biomarkers, Tumor/genetics; Carcinoma, Non-Small-Cell Lung/genetics/*mortality/secondary; ErbB Receptors/*genetics; Female; Follow-Up Studies; Gefitinib; Humans; Lung Neoplasms/genetics/*mortality/pathology; Lymphatic Metastasis; Male; Middle Aged; *Mutation; Neoplasm Staging; Prognosis; Protein Kinase Inhibitors/therapeutic use; Quinazolines/*therapeutic use; Retrospective Studies; Survival Rate&lt;/_subject_headings&gt;&lt;_tertiary_title&gt;Journal of thoracic oncology : official publication of the International_x000d__x000a_      Association for the Study of Lung Cancer&lt;/_tertiary_title&gt;&lt;_type_work&gt;Journal Article; Observational Study&lt;/_type_work&gt;&lt;_url&gt;http://www.ncbi.nlm.nih.gov/entrez/query.fcgi?cmd=Retrieve&amp;amp;db=pubmed&amp;amp;dopt=Abstract&amp;amp;list_uids=27908825&amp;amp;query_hl=1&lt;/_url&gt;&lt;_volume&gt;12&lt;/_volume&gt;&lt;/Details&gt;&lt;Extra&gt;&lt;DBUID&gt;{F96A950B-833F-4880-A151-76DA2D6A2879}&lt;/DBUID&gt;&lt;/Extra&gt;&lt;/Item&gt;&lt;/References&gt;&lt;/Group&gt;&lt;/Citation&gt;_x000a_"/>
    <w:docVar w:name="NE.Ref{3B40461C-94A2-479D-99BB-61EEF48E98FD}" w:val=" ADDIN NE.Ref.{3B40461C-94A2-479D-99BB-61EEF48E98FD}&lt;Citation&gt;&lt;Group&gt;&lt;References&gt;&lt;Item&gt;&lt;ID&gt;553&lt;/ID&gt;&lt;UID&gt;{D332BD82-06FA-4587-96A0-B87C502E3766}&lt;/UID&gt;&lt;Title&gt;From Handcrafted to Deep-Learning-Based Cancer Radiomics: Challenges and Opportunities&lt;/Title&gt;&lt;Template&gt;Journal Article&lt;/Template&gt;&lt;Star&gt;0&lt;/Star&gt;&lt;Tag&gt;0&lt;/Tag&gt;&lt;Author&gt;Parnian, Afshar; Arash, Mohammadi; Konstantinos, N Plataniotis; Anastasia, Oikonomou; Habib, Benali&lt;/Author&gt;&lt;Year&gt;2019&lt;/Year&gt;&lt;Details&gt;&lt;_accessed&gt;64455315&lt;/_accessed&gt;&lt;_author_aff&gt;Concordia Institute for Information System Engineering, Montreal, Quebec, Canada;Concordia Institute for Information System Engineering, Montreal, Quebec, Canada;Electrical and Computer Engineering, University of Toronto, Ontario, Canada;Cardiothoracic Imaging Division, Sunnybrook Health Science Centre, Toronto, Ontario, Canada;Electrical and Computer Engineering, Concordia University, Montreal, Quebec, Canada&lt;/_author_aff&gt;&lt;_collection_scope&gt;SCI;SCIE;EI&lt;/_collection_scope&gt;&lt;_created&gt;64298781&lt;/_created&gt;&lt;_date&gt;2019-07-01&lt;/_date&gt;&lt;_db_updated&gt;CNKI - Reference&lt;/_db_updated&gt;&lt;_impact_factor&gt;  12.551&lt;/_impact_factor&gt;&lt;_issue&gt;4&lt;/_issue&gt;&lt;_journal&gt;IEEE Signal Processing Magazine&lt;/_journal&gt;&lt;_modified&gt;64455315&lt;/_modified&gt;&lt;_url&gt;https://kns.cnki.net/kcms/detail/detail.aspx?FileName=SJIE397CF7EC42AEDECCCCD42655BE22D82A&amp;amp;DbName=GARJ2019&lt;/_url&gt;&lt;_volume&gt;36&lt;/_volume&gt;&lt;/Details&gt;&lt;Extra&gt;&lt;DBUID&gt;{F96A950B-833F-4880-A151-76DA2D6A2879}&lt;/DBUID&gt;&lt;/Extra&gt;&lt;/Item&gt;&lt;/References&gt;&lt;/Group&gt;&lt;/Citation&gt;_x000a_"/>
    <w:docVar w:name="NE.Ref{3BFD2589-EC5C-4208-A805-43B4168437E7}" w:val=" ADDIN NE.Ref.{3BFD2589-EC5C-4208-A805-43B4168437E7}&lt;Citation&gt;&lt;Group&gt;&lt;References&gt;&lt;Item&gt;&lt;ID&gt;559&lt;/ID&gt;&lt;UID&gt;{F308D1ED-B0D3-4F96-84D0-DB603C62C981}&lt;/UID&gt;&lt;Title&gt;Benchmarking Various Radiomic Toolkit Features While Applying the Image Biomarker Standardization Initiative toward Clinical Translation of Radiomic Analysis&lt;/Title&gt;&lt;Template&gt;Journal Article&lt;/Template&gt;&lt;Star&gt;0&lt;/Star&gt;&lt;Tag&gt;0&lt;/Tag&gt;&lt;Author&gt;Lei, M; Varghese, B; Hwang, D; Cen, S; Lei, X; Desai, B; Azadikhah, A; Oberai, A; Duddalwar, V&lt;/Author&gt;&lt;Year&gt;2021&lt;/Year&gt;&lt;Details&gt;&lt;_accession_num&gt;34545475&lt;/_accession_num&gt;&lt;_author_adr&gt;Ming Hsieh Department of Electrical and Computer Engineering, University of Southern California, 3740 McClintock Avenue, Los Angeles, CA, 90089, USA. mingxile@usc.edu.; Department of Radiology, University of Southern California, 1500 San Pablo Street, Los Angeles, CA, 90033, USA.; Department of Radiology, University of Southern California, 1500 San Pablo Street, Los Angeles, CA, 90033, USA.; Ming Hsieh Department of Electrical and Computer Engineering, University of Southern California, 3740 McClintock Avenue, Los Angeles, CA, 90089, USA.; Department of Radiology, University of Southern California, 1500 San Pablo Street, Los Angeles, CA, 90033, USA.; Department of Radiology, University of Southern California, 1500 San Pablo Street, Los Angeles, CA, 90033, USA.; Department of Radiology, University of Southern California, 1500 San Pablo Street, Los Angeles, CA, 90033, USA.; Department of Aerospace and Mechanical Engineering, University of Southern California, 854 Downey Way, Los Angeles, CA, 90089, USA.; Department of Radiology, University of Southern California, 1500 San Pablo Street, Los Angeles, CA, 90033, USA.&lt;/_author_adr&gt;&lt;_collection_scope&gt;SCI;SCIE;EI&lt;/_collection_scope&gt;&lt;_created&gt;64298794&lt;/_created&gt;&lt;_date&gt;2021-10-01&lt;/_date&gt;&lt;_date_display&gt;2021 Oct&lt;/_date_display&gt;&lt;_db_updated&gt;PubMed&lt;/_db_updated&gt;&lt;_doi&gt;10.1007/s10278-021-00506-6&lt;/_doi&gt;&lt;_impact_factor&gt;   4.056&lt;/_impact_factor&gt;&lt;_isbn&gt;1618-727X (Electronic); 0897-1889 (Linking)&lt;/_isbn&gt;&lt;_issue&gt;5&lt;/_issue&gt;&lt;_journal&gt;J Digit Imaging&lt;/_journal&gt;&lt;_keywords&gt;*Feature extraction; *Image biomarker standardization initiative; *Radiomics; *Texture analysis&lt;/_keywords&gt;&lt;_language&gt;eng&lt;/_language&gt;&lt;_modified&gt;64298802&lt;/_modified&gt;&lt;_ori_publication&gt;(c) 2021. Society for Imaging Informatics in Medicine.&lt;/_ori_publication&gt;&lt;_pages&gt;1156-1170&lt;/_pages&gt;&lt;_subject_headings&gt;*Benchmarking; Biomarkers; Humans; *Image Processing, Computer-Assisted; Phantoms, Imaging; Reference Standards&lt;/_subject_headings&gt;&lt;_tertiary_title&gt;Journal of digital imaging&lt;/_tertiary_title&gt;&lt;_type_work&gt;Journal Article&lt;/_type_work&gt;&lt;_url&gt;http://www.ncbi.nlm.nih.gov/entrez/query.fcgi?cmd=Retrieve&amp;amp;db=pubmed&amp;amp;dopt=Abstract&amp;amp;list_uids=34545475&amp;amp;query_hl=1&lt;/_url&gt;&lt;_volume&gt;34&lt;/_volume&gt;&lt;/Details&gt;&lt;Extra&gt;&lt;DBUID&gt;{F96A950B-833F-4880-A151-76DA2D6A2879}&lt;/DBUID&gt;&lt;/Extra&gt;&lt;/Item&gt;&lt;/References&gt;&lt;/Group&gt;&lt;/Citation&gt;_x000a_"/>
    <w:docVar w:name="NE.Ref{41808013-94CF-4FD7-B849-A5B50C08DFE2}" w:val=" ADDIN NE.Ref.{41808013-94CF-4FD7-B849-A5B50C08DFE2}&lt;Citation&gt;&lt;Group&gt;&lt;References&gt;&lt;Item&gt;&lt;ID&gt;537&lt;/ID&gt;&lt;UID&gt;{6365AE25-40CF-42AB-B9DA-74DCDA043070}&lt;/UID&gt;&lt;Title&gt;Predicting EGFR mutation subtypes in lung adenocarcinoma using (18)F-FDG PET/CT radiomic features&lt;/Title&gt;&lt;Template&gt;Journal Article&lt;/Template&gt;&lt;Star&gt;0&lt;/Star&gt;&lt;Tag&gt;0&lt;/Tag&gt;&lt;Author&gt;Liu, Q; Sun, D; Li, N; Kim, J; Feng, D; Huang, G; Wang, L; Song, S&lt;/Author&gt;&lt;Year&gt;2020&lt;/Year&gt;&lt;Details&gt;&lt;_accession_num&gt;32676319&lt;/_accession_num&gt;&lt;_author_adr&gt;Department of Nuclear Medicine, Fudan University Shanghai Cancer Center, Shanghai Medical College, Fudan University, Shanghai 200032, China.; Department of Oncology, Shanghai Medical College, Fudan University, Shanghai 200032, China.; SJTU-USYD Joint Research Alliance for Translational Medicine, Shanghai Jiao Tong  University, Shanghai 200240, China.; SJTU-USYD Joint Research Alliance for Translational Medicine, Shanghai Jiao Tong  University, Shanghai 200240, China.; Department of Automation, Shanghai Jiao Tong University, Shanghai 200240, China.; Department of Nuclear Medicine, Fudan University Shanghai Cancer Center, Shanghai Medical College, Fudan University, Shanghai 200032, China.; Department of Oncology, Shanghai Medical College, Fudan University, Shanghai 200032, China.; SJTU-USYD Joint Research Alliance for Translational Medicine, Shanghai Jiao Tong  University, Shanghai 200240, China.; Biomedical and Multimedia Information Technology Research Group, School of Computer Science, University of Sydney, Sydney, Australia.; Shanghai Key Laboratory for Molecular Imaging, Shanghai University of Medicine and Health Sciences, Shanghai 201318, China.; SJTU-USYD Joint Research Alliance for Translational Medicine, Shanghai Jiao Tong  University, Shanghai 200240, China.; Biomedical and Multimedia Information Technology Research Group, School of Computer Science, University of Sydney, Sydney, Australia.; Shanghai Key Laboratory for Molecular Imaging, Shanghai University of Medicine and Health Sciences, Shanghai 201318, China.; SJTU-USYD Joint Research Alliance for Translational Medicine, Shanghai Jiao Tong  University, Shanghai 200240, China.; Shanghai Key Laboratory for Molecular Imaging, Shanghai University of Medicine and Health Sciences, Shanghai 201318, China.; Department of Nuclear Medicine, Renji Hospital, School of Medicine, Shanghai Jiao Tong University, Shanghai 200127, China.; SJTU-USYD Joint Research Alliance for Translational Medicine, Shanghai Jiao Tong  University, Shanghai 200240, China.; Department of Automation, Shanghai Jiao Tong University, Shanghai 200240, China.; Shanghai Key Laboratory for Molecular Imaging, Shanghai University of Medicine and Health Sciences, Shanghai 201318, China.; Department of Nuclear Medicine, Fudan University Shanghai Cancer Center, Shanghai Medical College, Fudan University, Shanghai 200032, China.; Department of Oncology, Shanghai Medical College, Fudan University, Shanghai 200032, China.; SJTU-USYD Joint Research Alliance for Translational Medicine, Shanghai Jiao Tong  University, Shanghai 200240, China.; Shanghai Key Laboratory for Molecular Imaging, Shanghai University of Medicine and Health Sciences, Shanghai 201318, China.&lt;/_author_adr&gt;&lt;_created&gt;64298748&lt;/_created&gt;&lt;_date&gt;2020-06-01&lt;/_date&gt;&lt;_date_display&gt;2020 Jun&lt;/_date_display&gt;&lt;_db_updated&gt;PubMed&lt;/_db_updated&gt;&lt;_doi&gt;10.21037/tlcr.2020.04.17&lt;/_doi&gt;&lt;_impact_factor&gt;   6.498&lt;/_impact_factor&gt;&lt;_isbn&gt;2218-6751 (Print); 2218-6751 (Linking)&lt;/_isbn&gt;&lt;_issue&gt;3&lt;/_issue&gt;&lt;_journal&gt;Transl Lung Cancer Res&lt;/_journal&gt;&lt;_keywords&gt;18F-FDG PET/CT; EGFR mutation subtypes; Lung adenocarcinoma; prediction; radiomic features&lt;/_keywords&gt;&lt;_language&gt;eng&lt;/_language&gt;&lt;_modified&gt;64298748&lt;/_modified&gt;&lt;_ori_publication&gt;2020 Translational Lung Cancer Research. All rights reserved.&lt;/_ori_publication&gt;&lt;_pages&gt;549-562&lt;/_pages&gt;&lt;_tertiary_title&gt;Translational lung cancer research&lt;/_tertiary_title&gt;&lt;_type_work&gt;Journal Article&lt;/_type_work&gt;&lt;_url&gt;http://www.ncbi.nlm.nih.gov/entrez/query.fcgi?cmd=Retrieve&amp;amp;db=pubmed&amp;amp;dopt=Abstract&amp;amp;list_uids=32676319&amp;amp;query_hl=1&lt;/_url&gt;&lt;_volume&gt;9&lt;/_volume&gt;&lt;/Details&gt;&lt;Extra&gt;&lt;DBUID&gt;{F96A950B-833F-4880-A151-76DA2D6A2879}&lt;/DBUID&gt;&lt;/Extra&gt;&lt;/Item&gt;&lt;/References&gt;&lt;/Group&gt;&lt;/Citation&gt;_x000a_"/>
    <w:docVar w:name="NE.Ref{42480CEE-E330-4549-960A-23A53D913D44}" w:val=" ADDIN NE.Ref.{42480CEE-E330-4549-960A-23A53D913D44}&lt;Citation&gt;&lt;Group&gt;&lt;References&gt;&lt;Item&gt;&lt;ID&gt;537&lt;/ID&gt;&lt;UID&gt;{6365AE25-40CF-42AB-B9DA-74DCDA043070}&lt;/UID&gt;&lt;Title&gt;Predicting EGFR mutation subtypes in lung adenocarcinoma using (18)F-FDG PET/CT radiomic features&lt;/Title&gt;&lt;Template&gt;Journal Article&lt;/Template&gt;&lt;Star&gt;0&lt;/Star&gt;&lt;Tag&gt;0&lt;/Tag&gt;&lt;Author&gt;Liu, Q; Sun, D; Li, N; Kim, J; Feng, D; Huang, G; Wang, L; Song, S&lt;/Author&gt;&lt;Year&gt;2020&lt;/Year&gt;&lt;Details&gt;&lt;_accessed&gt;64331190&lt;/_accessed&gt;&lt;_accession_num&gt;32676319&lt;/_accession_num&gt;&lt;_author_adr&gt;Department of Nuclear Medicine, Fudan University Shanghai Cancer Center, Shanghai Medical College, Fudan University, Shanghai 200032, China.; Department of Oncology, Shanghai Medical College, Fudan University, Shanghai 200032, China.; SJTU-USYD Joint Research Alliance for Translational Medicine, Shanghai Jiao Tong  University, Shanghai 200240, China.; SJTU-USYD Joint Research Alliance for Translational Medicine, Shanghai Jiao Tong  University, Shanghai 200240, China.; Department of Automation, Shanghai Jiao Tong University, Shanghai 200240, China.; Department of Nuclear Medicine, Fudan University Shanghai Cancer Center, Shanghai Medical College, Fudan University, Shanghai 200032, China.; Department of Oncology, Shanghai Medical College, Fudan University, Shanghai 200032, China.; SJTU-USYD Joint Research Alliance for Translational Medicine, Shanghai Jiao Tong  University, Shanghai 200240, China.; Biomedical and Multimedia Information Technology Research Group, School of Computer Science, University of Sydney, Sydney, Australia.; Shanghai Key Laboratory for Molecular Imaging, Shanghai University of Medicine and Health Sciences, Shanghai 201318, China.; SJTU-USYD Joint Research Alliance for Translational Medicine, Shanghai Jiao Tong  University, Shanghai 200240, China.; Biomedical and Multimedia Information Technology Research Group, School of Computer Science, University of Sydney, Sydney, Australia.; Shanghai Key Laboratory for Molecular Imaging, Shanghai University of Medicine and Health Sciences, Shanghai 201318, China.; SJTU-USYD Joint Research Alliance for Translational Medicine, Shanghai Jiao Tong  University, Shanghai 200240, China.; Shanghai Key Laboratory for Molecular Imaging, Shanghai University of Medicine and Health Sciences, Shanghai 201318, China.; Department of Nuclear Medicine, Renji Hospital, School of Medicine, Shanghai Jiao Tong University, Shanghai 200127, China.; SJTU-USYD Joint Research Alliance for Translational Medicine, Shanghai Jiao Tong  University, Shanghai 200240, China.; Department of Automation, Shanghai Jiao Tong University, Shanghai 200240, China.; Shanghai Key Laboratory for Molecular Imaging, Shanghai University of Medicine and Health Sciences, Shanghai 201318, China.; Department of Nuclear Medicine, Fudan University Shanghai Cancer Center, Shanghai Medical College, Fudan University, Shanghai 200032, China.; Department of Oncology, Shanghai Medical College, Fudan University, Shanghai 200032, China.; SJTU-USYD Joint Research Alliance for Translational Medicine, Shanghai Jiao Tong  University, Shanghai 200240, China.; Shanghai Key Laboratory for Molecular Imaging, Shanghai University of Medicine and Health Sciences, Shanghai 201318, China.&lt;/_author_adr&gt;&lt;_created&gt;64298748&lt;/_created&gt;&lt;_date&gt;2020-06-01&lt;/_date&gt;&lt;_date_display&gt;2020 Jun&lt;/_date_display&gt;&lt;_db_updated&gt;PubMed&lt;/_db_updated&gt;&lt;_doi&gt;10.21037/tlcr.2020.04.17&lt;/_doi&gt;&lt;_impact_factor&gt;   6.498&lt;/_impact_factor&gt;&lt;_isbn&gt;2218-6751 (Print); 2218-6751 (Linking)&lt;/_isbn&gt;&lt;_issue&gt;3&lt;/_issue&gt;&lt;_journal&gt;Transl Lung Cancer Res&lt;/_journal&gt;&lt;_keywords&gt;18F-FDG PET/CT; EGFR mutation subtypes; Lung adenocarcinoma; prediction; radiomic features&lt;/_keywords&gt;&lt;_language&gt;eng&lt;/_language&gt;&lt;_modified&gt;64331190&lt;/_modified&gt;&lt;_ori_publication&gt;2020 Translational Lung Cancer Research. All rights reserved.&lt;/_ori_publication&gt;&lt;_pages&gt;549-562&lt;/_pages&gt;&lt;_tertiary_title&gt;Translational lung cancer research&lt;/_tertiary_title&gt;&lt;_type_work&gt;Journal Article&lt;/_type_work&gt;&lt;_url&gt;http://www.ncbi.nlm.nih.gov/entrez/query.fcgi?cmd=Retrieve&amp;amp;db=pubmed&amp;amp;dopt=Abstract&amp;amp;list_uids=32676319&amp;amp;query_hl=1&lt;/_url&gt;&lt;_volume&gt;9&lt;/_volume&gt;&lt;/Details&gt;&lt;Extra&gt;&lt;DBUID&gt;{F96A950B-833F-4880-A151-76DA2D6A2879}&lt;/DBUID&gt;&lt;/Extra&gt;&lt;/Item&gt;&lt;/References&gt;&lt;/Group&gt;&lt;/Citation&gt;_x000a_"/>
    <w:docVar w:name="NE.Ref{470659B1-5081-422F-82B4-6412B13B4DA2}" w:val=" ADDIN NE.Ref.{470659B1-5081-422F-82B4-6412B13B4DA2}&lt;Citation&gt;&lt;Group&gt;&lt;References&gt;&lt;Item&gt;&lt;ID&gt;540&lt;/ID&gt;&lt;UID&gt;{24EE4979-DC6A-4E4C-9AA4-0A5D29D87B36}&lt;/UID&gt;&lt;Title&gt;Value of pre-therapy (18)F-FDG PET/CT radiomics in predicting EGFR mutation status in patients with non-small cell lung cancer&lt;/Title&gt;&lt;Template&gt;Journal Article&lt;/Template&gt;&lt;Star&gt;0&lt;/Star&gt;&lt;Tag&gt;0&lt;/Tag&gt;&lt;Author&gt;Zhang, J; Zhao, X; Zhao, Y; Zhang, J; Zhang, Z; Wang, J; Wang, Y; Dai, M; Han, J&lt;/Author&gt;&lt;Year&gt;2020&lt;/Year&gt;&lt;Details&gt;&lt;_accession_num&gt;31728587&lt;/_accession_num&gt;&lt;_author_adr&gt;Department of Nuclear Medicine, The Fourth Hospital of Hebei Medical University,  12 Jiankang Road, Shijiazhuang, 050011, Hebei, China.; Department of Nuclear Medicine, Baoding No. 1 Central Hospital, Baoding, 071000,  Hebei, China.; Department of Nuclear Medicine, The Fourth Hospital of Hebei Medical University,  12 Jiankang Road, Shijiazhuang, 050011, Hebei, China. xinm_zhao@163.com.; Department of Medical Oncology, The Fourth Hospital of Hebei Medical University,  Shijiazhuang, 050011, Hebei, China.; Department of Nuclear Medicine, The Fourth Hospital of Hebei Medical University,  12 Jiankang Road, Shijiazhuang, 050011, Hebei, China.; Department of Nuclear Medicine, The Fourth Hospital of Hebei Medical University,  12 Jiankang Road, Shijiazhuang, 050011, Hebei, China.; Department of Nuclear Medicine, The Fourth Hospital of Hebei Medical University,  12 Jiankang Road, Shijiazhuang, 050011, Hebei, China.; Department of Nuclear Medicine, The Fourth Hospital of Hebei Medical University,  12 Jiankang Road, Shijiazhuang, 050011, Hebei, China.; Department of Nuclear Medicine, The Fourth Hospital of Hebei Medical University,  12 Jiankang Road, Shijiazhuang, 050011, Hebei, China.; Department of Nuclear Medicine, The Fourth Hospital of Hebei Medical University,  12 Jiankang Road, Shijiazhuang, 050011, Hebei, China.&lt;/_author_adr&gt;&lt;_created&gt;64298751&lt;/_created&gt;&lt;_date&gt;2020-05-01&lt;/_date&gt;&lt;_date_display&gt;2020 May&lt;/_date_display&gt;&lt;_db_updated&gt;PubMed&lt;/_db_updated&gt;&lt;_doi&gt;10.1007/s00259-019-04592-1&lt;/_doi&gt;&lt;_impact_factor&gt;   9.236&lt;/_impact_factor&gt;&lt;_isbn&gt;1619-7089 (Electronic); 1619-7070 (Linking)&lt;/_isbn&gt;&lt;_issue&gt;5&lt;/_issue&gt;&lt;_journal&gt;Eur J Nucl Med Mol Imaging&lt;/_journal&gt;&lt;_keywords&gt;*18F-FDG; *Epidermal growth factor receptor; *Non-small cell lung cancer; *PET/CT; *Radiomics&lt;/_keywords&gt;&lt;_language&gt;eng&lt;/_language&gt;&lt;_modified&gt;64298751&lt;/_modified&gt;&lt;_pages&gt;1137-1146&lt;/_pages&gt;&lt;_subject_headings&gt;*Carcinoma, Non-Small-Cell Lung/diagnostic imaging/genetics; ErbB Receptors/genetics; Fluorodeoxyglucose F18; Humans; *Lung Neoplasms/diagnostic imaging/genetics; Mutation; Positron Emission Tomography Computed Tomography&lt;/_subject_headings&gt;&lt;_tertiary_title&gt;European journal of nuclear medicine and molecular imaging&lt;/_tertiary_title&gt;&lt;_type_work&gt;Journal Article; Research Support, Non-U.S. Gov&amp;apos;t&lt;/_type_work&gt;&lt;_url&gt;http://www.ncbi.nlm.nih.gov/entrez/query.fcgi?cmd=Retrieve&amp;amp;db=pubmed&amp;amp;dopt=Abstract&amp;amp;list_uids=31728587&amp;amp;query_hl=1&lt;/_url&gt;&lt;_volume&gt;47&lt;/_volume&gt;&lt;/Details&gt;&lt;Extra&gt;&lt;DBUID&gt;{F96A950B-833F-4880-A151-76DA2D6A2879}&lt;/DBUID&gt;&lt;/Extra&gt;&lt;/Item&gt;&lt;/References&gt;&lt;/Group&gt;&lt;Group&gt;&lt;References&gt;&lt;Item&gt;&lt;ID&gt;543&lt;/ID&gt;&lt;UID&gt;{E6E39345-00B3-4664-8FAE-57E7922544AA}&lt;/UID&gt;&lt;Title&gt;Correlation between EGFR gene mutation, cytologic tumor markers, 18F-FDG uptake in non-small cell lung cancer&lt;/Title&gt;&lt;Template&gt;Journal Article&lt;/Template&gt;&lt;Star&gt;0&lt;/Star&gt;&lt;Tag&gt;0&lt;/Tag&gt;&lt;Author&gt;Cho, A; Hur, J; Moon, Y W; Hong, S R; Suh, Y J; Kim, Y J; Im, D J; Hong, Y J; Lee, H J; Kim, Y J; Shim, H S; Lee, J S; Kim, J H; Choi, B W&lt;/Author&gt;&lt;Year&gt;2016&lt;/Year&gt;&lt;Details&gt;&lt;_accession_num&gt;26979333&lt;/_accession_num&gt;&lt;_author_adr&gt;Department of Nuclear Medicine, Severance Hospital, Yonsei University College of  Medicine, Seoul, Korea.; Department of Radiology, Severance Hospital, Yonsei University College of Medicine, 50 Yonsei-ro, Seodaemun-gu, Seoul, 120-752, Korea.; Department of Radiology and Research Institute of Radiological Science, Severance Hospital, Yonsei University College of Medicine, Seoul, Korea. khuhz@yuhs.ac.; Yonsei Cancer Center, Division of Medical Oncology, Department of Internal Medicine, Yonsei University College of Medicine, Seoul, Korea.; Medical Oncology, Department of Internal Medicine, CHA Bundang Medical Center, CHA University, Seongnam, Korea.; Department of Radiology and Research Institute of Radiological Science, Severance Hospital, Yonsei University College of Medicine, Seoul, Korea.; Department of Radiology and Research Institute of Radiological Science, Severance Hospital, Yonsei University College of Medicine, Seoul, Korea.; Department of Radiology and Research Institute of Radiological Science, Severance Hospital, Yonsei University College of Medicine, Seoul, Korea.; Department of Radiology and Research Institute of Radiological Science, Severance Hospital, Yonsei University College of Medicine, Seoul, Korea.; Department of Radiology and Research Institute of Radiological Science, Severance Hospital, Yonsei University College of Medicine, Seoul, Korea.; Department of Radiology and Research Institute of Radiological Science, Severance Hospital, Yonsei University College of Medicine, Seoul, Korea.; Department of Radiology and Research Institute of Radiological Science, Severance Hospital, Yonsei University College of Medicine, Seoul, Korea.; Department of Pathology, Severance Hospital, Yonsei University College of Medicine, Seoul, Korea.; Department of Pathology, Severance Hospital, Yonsei University College of Medicine, Seoul, Korea.; Department of Pathology, Dongguk University Ilsan Hospital, Dongguk University College of Medicine, Goyang, Korea.; Yonsei Cancer Center, Division of Medical Oncology, Department of Internal Medicine, Yonsei University College of Medicine, Seoul, Korea.; Medical Oncology, Department of Internal Medicine, CHA Bundang Medical Center, CHA University, Seongnam, Korea.; Department of Radiology and Research Institute of Radiological Science, Severance Hospital, Yonsei University College of Medicine, Seoul, Korea.&lt;/_author_adr&gt;&lt;_collection_scope&gt;SCIE&lt;/_collection_scope&gt;&lt;_created&gt;64298753&lt;/_created&gt;&lt;_date&gt;2016-03-16&lt;/_date&gt;&lt;_date_display&gt;2016 Mar 16&lt;/_date_display&gt;&lt;_db_updated&gt;PubMed&lt;/_db_updated&gt;&lt;_doi&gt;10.1186/s12885-016-2251-z&lt;/_doi&gt;&lt;_impact_factor&gt;   4.430&lt;/_impact_factor&gt;&lt;_isbn&gt;1471-2407 (Electronic); 1471-2407 (Linking)&lt;/_isbn&gt;&lt;_journal&gt;BMC Cancer&lt;/_journal&gt;&lt;_keywords&gt;18F-FDG PET/CT; Cytologic CYFRA 21-1; Cytologic tumor marker; EGFR mutation&lt;/_keywords&gt;&lt;_language&gt;eng&lt;/_language&gt;&lt;_modified&gt;64298754&lt;/_modified&gt;&lt;_pages&gt;224&lt;/_pages&gt;&lt;_subject_headings&gt;Adult; Aged; Antigens, Neoplasm/*blood; Biomarkers, Tumor/blood/*genetics; Carcinoembryonic Antigen/blood; Carcinoma, Non-Small-Cell Lung/blood/*genetics/pathology; Cell Proliferation; Cytological Techniques; ErbB Receptors/*genetics; Female; Fluorodeoxyglucose F18/administration &amp;amp; dosage/metabolism; Humans; Keratin-19/*blood; Male; Middle Aged; Mutation; Positron-Emission Tomography; Serpins/blood; Tomography, X-Ray Computed&lt;/_subject_headings&gt;&lt;_tertiary_title&gt;BMC cancer&lt;/_tertiary_title&gt;&lt;_type_work&gt;Journal Article; Research Support, Non-U.S. Gov&amp;apos;t&lt;/_type_work&gt;&lt;_url&gt;http://www.ncbi.nlm.nih.gov/entrez/query.fcgi?cmd=Retrieve&amp;amp;db=pubmed&amp;amp;dopt=Abstract&amp;amp;list_uids=26979333&amp;amp;query_hl=1&lt;/_url&gt;&lt;_volume&gt;16&lt;/_volume&gt;&lt;/Details&gt;&lt;Extra&gt;&lt;DBUID&gt;{F96A950B-833F-4880-A151-76DA2D6A2879}&lt;/DBUID&gt;&lt;/Extra&gt;&lt;/Item&gt;&lt;/References&gt;&lt;/Group&gt;&lt;Group&gt;&lt;References&gt;&lt;Item&gt;&lt;ID&gt;544&lt;/ID&gt;&lt;UID&gt;{2E7CF3B9-12D4-4914-B239-3C729F2AC253}&lt;/UID&gt;&lt;Title&gt;Value of (18)F-FDG PET/CT for predicting EGFR mutations and positive ALK expression in patients with non-small cell lung cancer: a retrospective analysis  of 849 Chinese patients&lt;/Title&gt;&lt;Template&gt;Journal Article&lt;/Template&gt;&lt;Star&gt;0&lt;/Star&gt;&lt;Tag&gt;0&lt;/Tag&gt;&lt;Author&gt;Lv, Z; Fan, J; Xu, J; Wu, F; Huang, Q; Guo, M; Liao, T; Liu, S; Lan, X; Liao, S; Geng, W; Jin, Y&lt;/Author&gt;&lt;Year&gt;2018&lt;/Year&gt;&lt;Details&gt;&lt;_accession_num&gt;29164298&lt;/_accession_num&gt;&lt;_author_adr&gt;Key Laboratory of Respiratory Diseases of the Ministry of health, Department of Respiratory and Critical Care Medicine, Union Hospital, Tongji Medical College, Huazhong University of Science and Technology, 1277 Jiefang Avenue, Wuhan, 430022, China.; Key Laboratory of Respiratory Diseases of the Ministry of health, Department of Respiratory and Critical Care Medicine, Union Hospital, Tongji Medical College, Huazhong University of Science and Technology, 1277 Jiefang Avenue, Wuhan, 430022, China.; Key Laboratory of Respiratory Diseases of the Ministry of health, Department of Respiratory and Critical Care Medicine, Union Hospital, Tongji Medical College, Huazhong University of Science and Technology, 1277 Jiefang Avenue, Wuhan, 430022, China.; Key Laboratory of Respiratory Diseases of the Ministry of health, Department of Respiratory and Critical Care Medicine, Union Hospital, Tongji Medical College, Huazhong University of Science and Technology, 1277 Jiefang Avenue, Wuhan, 430022, China.; Key Laboratory of Respiratory Diseases of the Ministry of health, Department of Respiratory and Critical Care Medicine, Union Hospital, Tongji Medical College, Huazhong University of Science and Technology, 1277 Jiefang Avenue, Wuhan, 430022, China.; Key Laboratory of Respiratory Diseases of the Ministry of health, Department of Respiratory and Critical Care Medicine, Union Hospital, Tongji Medical College, Huazhong University of Science and Technology, 1277 Jiefang Avenue, Wuhan, 430022, China.; Key Laboratory of Respiratory Diseases of the Ministry of health, Department of Respiratory and Critical Care Medicine, Union Hospital, Tongji Medical College, Huazhong University of Science and Technology, 1277 Jiefang Avenue, Wuhan, 430022, China.; Key Laboratory of Respiratory Diseases of the Ministry of health, Department of Respiratory and Critical Care Medicine, Union Hospital, Tongji Medical College, Huazhong University of Science and Technology, 1277 Jiefang Avenue, Wuhan, 430022, China.; Department of Nuclear Medicine, Union Hospital, Tongji Medical College, Huazhong  University of Science and Technology, Wuhan, 430022, China.; Hubei Key Laboratory of Molecular Imaging, Union Hospital, Tongji Medical College, Huazhong University of Science and Technology, Wuhan, 430022, China.; Department of Nuclear Medicine, Union Hospital, Tongji Medical College, Huazhong  University of Science and Technology, Wuhan, 430022, China.; Hubei Key Laboratory of Molecular Imaging, Union Hospital, Tongji Medical College, Huazhong University of Science and Technology, Wuhan, 430022, China.; Biobank, Union Hospital, Tongji Medical College, Huazhong University of Science and Technology, Wuhan, 430022, China.; Key Laboratory of Respiratory Diseases of the Ministry of health, Department of Respiratory and Critical Care Medicine, Union Hospital, Tongji Medical College, Huazhong University of Science and Technology, 1277 Jiefang Avenue, Wuhan, 430022, China. whuhjy@126.com.&lt;/_author_adr&gt;&lt;_created&gt;64298756&lt;/_created&gt;&lt;_date&gt;2018-05-01&lt;/_date&gt;&lt;_date_display&gt;2018 May&lt;/_date_display&gt;&lt;_db_updated&gt;PubMed&lt;/_db_updated&gt;&lt;_doi&gt;10.1007/s00259-017-3885-z&lt;/_doi&gt;&lt;_impact_factor&gt;   9.236&lt;/_impact_factor&gt;&lt;_isbn&gt;1619-7089 (Electronic); 1619-7070 (Linking)&lt;/_isbn&gt;&lt;_issue&gt;5&lt;/_issue&gt;&lt;_journal&gt;Eur J Nucl Med Mol Imaging&lt;/_journal&gt;&lt;_keywords&gt;*Anaplastic lymphoma kinase; *Epidermal growth factor receptor; *Mutation; *Non-small cell lung cancer; *Positron emission tomography; *Standard uptake value&lt;/_keywords&gt;&lt;_language&gt;eng&lt;/_language&gt;&lt;_modified&gt;64298756&lt;/_modified&gt;&lt;_pages&gt;735-750&lt;/_pages&gt;&lt;_subject_headings&gt;Adaptor Proteins, Signal Transducing; Aged; Anaplastic Lymphoma Kinase/*metabolism; Carcinoma, Non-Small-Cell Lung/*diagnostic imaging/genetics; ErbB Receptors/*genetics; Female; Fluorodeoxyglucose F18; Humans; Lung Neoplasms/*diagnostic imaging/genetics; Male; Middle Aged; Mutation; *Positron Emission Tomography Computed Tomography; Retrospective Studies; Tomography, X-Ray Computed&lt;/_subject_headings&gt;&lt;_tertiary_title&gt;European journal of nuclear medicine and molecular imaging&lt;/_tertiary_title&gt;&lt;_type_work&gt;Journal Article&lt;/_type_work&gt;&lt;_url&gt;http://www.ncbi.nlm.nih.gov/entrez/query.fcgi?cmd=Retrieve&amp;amp;db=pubmed&amp;amp;dopt=Abstract&amp;amp;list_uids=29164298&amp;amp;query_hl=1&lt;/_url&gt;&lt;_volume&gt;45&lt;/_volume&gt;&lt;/Details&gt;&lt;Extra&gt;&lt;DBUID&gt;{F96A950B-833F-4880-A151-76DA2D6A2879}&lt;/DBUID&gt;&lt;/Extra&gt;&lt;/Item&gt;&lt;/References&gt;&lt;/Group&gt;&lt;/Citation&gt;_x000a_"/>
    <w:docVar w:name="NE.Ref{483E48EB-09EC-41B9-94A5-8E7738244DE5}" w:val=" ADDIN NE.Ref.{483E48EB-09EC-41B9-94A5-8E7738244DE5}&lt;Citation&gt;&lt;Group&gt;&lt;References&gt;&lt;Item&gt;&lt;ID&gt;528&lt;/ID&gt;&lt;UID&gt;{555F1271-DC5F-4C12-9E16-5CB11DD81DFA}&lt;/UID&gt;&lt;Title&gt;Radiomics signature: A potential and incremental predictor for EGFR mutation status in NSCLC patients, comparison with CT morphology&lt;/Title&gt;&lt;Template&gt;Journal Article&lt;/Template&gt;&lt;Star&gt;0&lt;/Star&gt;&lt;Tag&gt;0&lt;/Tag&gt;&lt;Author&gt;Tu, W; Sun, G; Fan, L; Wang, Y; Xia, Y; Guan, Y; Li, Q; Zhang, D; Liu, S; Li, Z&lt;/Author&gt;&lt;Year&gt;2019&lt;/Year&gt;&lt;Details&gt;&lt;_accessed&gt;64330459&lt;/_accessed&gt;&lt;_accession_num&gt;31097090&lt;/_accession_num&gt;&lt;_author_adr&gt;Department of Radiology, Changzheng Hospital, Second Military Medical University, No. 415 Fengyang Road, Shanghai 200003, China.; Department of Thoracic and Cardiovascular Surgery, Changzheng Hospital, Second Military Medical University, No. 415 Fengyang Road, Shanghai 200003, China.; Department of Radiology, Changzheng Hospital, Second Military Medical University, No. 415 Fengyang Road, Shanghai 200003, China. Electronic address: czyxfl@smmu.edu.cn.; Department of Radiology, Changzheng Hospital, Second Military Medical University, No. 415 Fengyang Road, Shanghai 200003, China.; Department of Radiology, Changzheng Hospital, Second Military Medical University, No. 415 Fengyang Road, Shanghai 200003, China.; Department of Radiology, Changzheng Hospital, Second Military Medical University, No. 415 Fengyang Road, Shanghai 200003, China.; Department of Radiology, Changzheng Hospital, Second Military Medical University, No. 415 Fengyang Road, Shanghai 200003, China.; Department of Radiology, Changzheng Hospital, Second Military Medical University, No. 415 Fengyang Road, Shanghai 200003, China.; Department of Radiology, Changzheng Hospital, Second Military Medical University, No. 415 Fengyang Road, Shanghai 200003, China.; Department of Radiation Oncology, Shanghai Jiao Tong University Affiliated Sixth  People&amp;apos;s Hospital, No. 600 Yishan Road, Shanghai 200233, China. Electronic address: lizhaobin79@163.com.&lt;/_author_adr&gt;&lt;_collection_scope&gt;SCI;SCIE&lt;/_collection_scope&gt;&lt;_created&gt;64298728&lt;/_created&gt;&lt;_date&gt;2019-06-01&lt;/_date&gt;&lt;_date_display&gt;2019 Jun&lt;/_date_display&gt;&lt;_db_updated&gt;PubMed&lt;/_db_updated&gt;&lt;_doi&gt;10.1016/j.lungcan.2019.03.025&lt;/_doi&gt;&lt;_impact_factor&gt;   5.705&lt;/_impact_factor&gt;&lt;_isbn&gt;1872-8332 (Electronic); 0169-5002 (Linking)&lt;/_isbn&gt;&lt;_journal&gt;Lung Cancer&lt;/_journal&gt;&lt;_keywords&gt;*Epidermal growth factor receptor; *Gene mutation; *Lung neoplasms; *Radiomics; *Tomography; *X-ray computed&lt;/_keywords&gt;&lt;_language&gt;eng&lt;/_language&gt;&lt;_modified&gt;64330459&lt;/_modified&gt;&lt;_ori_publication&gt;Copyright (c) 2019 Elsevier B.V. All rights reserved.&lt;/_ori_publication&gt;&lt;_pages&gt;28-35&lt;/_pages&gt;&lt;_subject_headings&gt;Adult; Aged; Aged, 80 and over; Biomarkers, Tumor; Carcinoma, Non-Small-Cell Lung/*diagnosis/genetics; Cohort Studies; ErbB Receptors/genetics; Female; Humans; Lung Neoplasms/*diagnosis/genetics; Male; Middle Aged; Mutation/genetics; Predictive Value of Tests; Tomography, X-Ray Computed/*methods&lt;/_subject_headings&gt;&lt;_tertiary_title&gt;Lung cancer (Amsterdam, Netherlands)&lt;/_tertiary_title&gt;&lt;_type_work&gt;Journal Article; Research Support, Non-U.S. Gov&amp;apos;t&lt;/_type_work&gt;&lt;_url&gt;http://www.ncbi.nlm.nih.gov/entrez/query.fcgi?cmd=Retrieve&amp;amp;db=pubmed&amp;amp;dopt=Abstract&amp;amp;list_uids=31097090&amp;amp;query_hl=1&lt;/_url&gt;&lt;_volume&gt;132&lt;/_volume&gt;&lt;/Details&gt;&lt;Extra&gt;&lt;DBUID&gt;{F96A950B-833F-4880-A151-76DA2D6A2879}&lt;/DBUID&gt;&lt;/Extra&gt;&lt;/Item&gt;&lt;/References&gt;&lt;/Group&gt;&lt;Group&gt;&lt;References&gt;&lt;Item&gt;&lt;ID&gt;529&lt;/ID&gt;&lt;UID&gt;{8532E550-9E91-4554-B6B4-C7E33F00D399}&lt;/UID&gt;&lt;Title&gt;The Factors Predicting Concordant Epidermal Growth Factor Receptor (EGFR) Mutation Detected in Liquid/Tissue Biopsy and the Related Clinical Outcomes in Patients of Advanced Lung Adenocarcinoma with EGFR Mutations&lt;/Title&gt;&lt;Template&gt;Journal Article&lt;/Template&gt;&lt;Star&gt;0&lt;/Star&gt;&lt;Tag&gt;0&lt;/Tag&gt;&lt;Author&gt;Kuo, C Y; Lee, M H; Tsai, M J; Yang, C J; Hung, J Y; Chong, I W&lt;/Author&gt;&lt;Year&gt;2019&lt;/Year&gt;&lt;Details&gt;&lt;_accessed&gt;64331611&lt;/_accessed&gt;&lt;_accession_num&gt;31652678&lt;/_accession_num&gt;&lt;_author_adr&gt;Division of Pulmonary and Critical Care Medicine, Department of Internal Medicine, Kaohsiung Medical University Hospital, Kaohsiung 807, Taiwan. goba2356@gmail.com.; Graduate Institute of Medicine, College of Medicine, Kaohsiung Medical University, Kaohsiung 807, Taiwan. goba2356@gmail.com.; Division of Pulmonary and Critical Care Medicine, Department of Internal Medicine, Kaohsiung Medical University Hospital, Kaohsiung 807, Taiwan. mhsuan99@gmail.com.; Division of Pulmonary and Critical Care Medicine, Department of Internal Medicine, Kaohsiung Medical University Hospital, Kaohsiung 807, Taiwan. SiegfriedTsai@gmail.com.; School of Medicine, College of Medicine, Kaohsiung Medical University, Kaohsiung  807, Taiwan. SiegfriedTsai@gmail.com.; Department of Respiratory Therapy, College of Medicine, Kaohsiung Medical University, Kaohsiung 80708, Taiwan. SiegfriedTsai@gmail.com.; Division of Pulmonary and Critical Care Medicine, Department of Internal Medicine, Kaohsiung Medical University Hospital, Kaohsiung 807, Taiwan. chjeya@cc.kmu.edu.tw.; School of Medicine, College of Medicine, Kaohsiung Medical University, Kaohsiung  807, Taiwan. chjeya@cc.kmu.edu.tw.; Division of Pulmonary and Critical Care Medicine, Department of Internal Medicine, Kaohsiung Medical University Hospital, Kaohsiung 807, Taiwan. jenyuhung@gmail.com.; School of Medicine, College of Medicine, Kaohsiung Medical University, Kaohsiung  807, Taiwan. jenyuhung@gmail.com.; Division of Pulmonary and Critical Care Medicine, Department of Internal Medicine, Kaohsiung Medical University Hospital, Kaohsiung 807, Taiwan. chong@cc.kmu.edu.tw.; School of Medicine, College of Medicine, Kaohsiung Medical University, Kaohsiung  807, Taiwan. chong@cc.kmu.edu.tw.; Department of Respiratory Therapy, College of Medicine, Kaohsiung Medical University, Kaohsiung 80708, Taiwan. chong@cc.kmu.edu.tw.&lt;/_author_adr&gt;&lt;_collection_scope&gt;SCIE&lt;/_collection_scope&gt;&lt;_created&gt;64298729&lt;/_created&gt;&lt;_date&gt;2019-10-23&lt;/_date&gt;&lt;_date_display&gt;2019 Oct 23&lt;/_date_display&gt;&lt;_db_updated&gt;PubMed&lt;/_db_updated&gt;&lt;_doi&gt;10.3390/jcm8111758&lt;/_doi&gt;&lt;_impact_factor&gt;   4.242&lt;/_impact_factor&gt;&lt;_isbn&gt;2077-0383 (Print); 2077-0383 (Linking)&lt;/_isbn&gt;&lt;_issue&gt;11&lt;/_issue&gt;&lt;_journal&gt;J Clin Med&lt;/_journal&gt;&lt;_keywords&gt;EGFR; adenocarcinoma; liquid biopsy; lung cancer&lt;/_keywords&gt;&lt;_language&gt;eng&lt;/_language&gt;&lt;_modified&gt;64331611&lt;/_modified&gt;&lt;_tertiary_title&gt;Journal of clinical medicine&lt;/_tertiary_title&gt;&lt;_type_work&gt;Journal Article&lt;/_type_work&gt;&lt;_url&gt;http://www.ncbi.nlm.nih.gov/entrez/query.fcgi?cmd=Retrieve&amp;amp;db=pubmed&amp;amp;dopt=Abstract&amp;amp;list_uids=31652678&amp;amp;query_hl=1&lt;/_url&gt;&lt;_volume&gt;8&lt;/_volume&gt;&lt;/Details&gt;&lt;Extra&gt;&lt;DBUID&gt;{F96A950B-833F-4880-A151-76DA2D6A2879}&lt;/DBUID&gt;&lt;/Extra&gt;&lt;/Item&gt;&lt;/References&gt;&lt;/Group&gt;&lt;/Citation&gt;_x000a_"/>
    <w:docVar w:name="NE.Ref{4BE75E5D-04E2-47E2-B283-3B2578E8BE8A}" w:val=" ADDIN NE.Ref.{4BE75E5D-04E2-47E2-B283-3B2578E8BE8A}&lt;Citation&gt;&lt;Group&gt;&lt;References&gt;&lt;Item&gt;&lt;ID&gt;517&lt;/ID&gt;&lt;UID&gt;{409C4EBB-187D-4F70-B62C-B1C6EF12A53C}&lt;/UID&gt;&lt;Title&gt;Non-small cell lung cancer: current treatment and future advances&lt;/Title&gt;&lt;Template&gt;Journal Article&lt;/Template&gt;&lt;Star&gt;0&lt;/Star&gt;&lt;Tag&gt;0&lt;/Tag&gt;&lt;Author&gt;Zappa, C; Mousa, S A&lt;/Author&gt;&lt;Year&gt;2016&lt;/Year&gt;&lt;Details&gt;&lt;_accessed&gt;64331611&lt;/_accessed&gt;&lt;_accession_num&gt;27413711&lt;/_accession_num&gt;&lt;_author_adr&gt;The Pharmaceutical Research Institute, Albany College of Pharmacy and Health Sciences, Rensselaer, New York, USA.; The Pharmaceutical Research Institute, Albany College of Pharmacy and Health Sciences, Rensselaer, New York, USA.&lt;/_author_adr&gt;&lt;_created&gt;64298698&lt;/_created&gt;&lt;_date&gt;2016-06-01&lt;/_date&gt;&lt;_date_display&gt;2016 Jun&lt;/_date_display&gt;&lt;_db_updated&gt;PubMed&lt;/_db_updated&gt;&lt;_doi&gt;10.21037/tlcr.2016.06.07&lt;/_doi&gt;&lt;_impact_factor&gt;   6.498&lt;/_impact_factor&gt;&lt;_isbn&gt;2218-6751 (Print); 2218-6751 (Linking)&lt;/_isbn&gt;&lt;_issue&gt;3&lt;/_issue&gt;&lt;_journal&gt;Transl Lung Cancer Res&lt;/_journal&gt;&lt;_keywords&gt;Chemotherapy; immunotherapy; non-small cell lung cancer (NSCLC)&lt;/_keywords&gt;&lt;_language&gt;eng&lt;/_language&gt;&lt;_modified&gt;64331611&lt;/_modified&gt;&lt;_pages&gt;288-300&lt;/_pages&gt;&lt;_tertiary_title&gt;Translational lung cancer research&lt;/_tertiary_title&gt;&lt;_type_work&gt;Journal Article; Review&lt;/_type_work&gt;&lt;_url&gt;http://www.ncbi.nlm.nih.gov/entrez/query.fcgi?cmd=Retrieve&amp;amp;db=pubmed&amp;amp;dopt=Abstract&amp;amp;list_uids=27413711&amp;amp;query_hl=1&lt;/_url&gt;&lt;_volume&gt;5&lt;/_volume&gt;&lt;/Details&gt;&lt;Extra&gt;&lt;DBUID&gt;{F96A950B-833F-4880-A151-76DA2D6A2879}&lt;/DBUID&gt;&lt;/Extra&gt;&lt;/Item&gt;&lt;/References&gt;&lt;/Group&gt;&lt;/Citation&gt;_x000a_"/>
    <w:docVar w:name="NE.Ref{4F0DBC93-A710-4BF5-BEB7-AADCBFF37FB7}" w:val=" ADDIN NE.Ref.{4F0DBC93-A710-4BF5-BEB7-AADCBFF37FB7}&lt;Citation&gt;&lt;Group&gt;&lt;References&gt;&lt;Item&gt;&lt;ID&gt;574&lt;/ID&gt;&lt;UID&gt;{F0E41D42-C2B6-4AC0-BBA8-C6174EE07000}&lt;/UID&gt;&lt;Title&gt;Transparent Reporting of a multivariable prediction model for Individual Prognosis or Diagnosis (TRIPOD): the TRIPOD statement&lt;/Title&gt;&lt;Template&gt;Journal Article&lt;/Template&gt;&lt;Star&gt;0&lt;/Star&gt;&lt;Tag&gt;0&lt;/Tag&gt;&lt;Author&gt;Collins, G S; Reitsma, J B; Altman, D G; Moons, K G&lt;/Author&gt;&lt;Year&gt;2015&lt;/Year&gt;&lt;Details&gt;&lt;_accessed&gt;64312756&lt;/_accessed&gt;&lt;_accession_num&gt;25560714&lt;/_accession_num&gt;&lt;_collection_scope&gt;SCI;SCIE&lt;/_collection_scope&gt;&lt;_created&gt;64301006&lt;/_created&gt;&lt;_date&gt;2015-01-06&lt;/_date&gt;&lt;_date_display&gt;2015 Jan 6&lt;/_date_display&gt;&lt;_db_updated&gt;PubMed&lt;/_db_updated&gt;&lt;_doi&gt;10.7326/M14-0697&lt;/_doi&gt;&lt;_impact_factor&gt;  25.391&lt;/_impact_factor&gt;&lt;_isbn&gt;1539-3704 (Electronic); 0003-4819 (Linking)&lt;/_isbn&gt;&lt;_issue&gt;1&lt;/_issue&gt;&lt;_journal&gt;Ann Intern Med&lt;/_journal&gt;&lt;_language&gt;eng&lt;/_language&gt;&lt;_modified&gt;64312756&lt;/_modified&gt;&lt;_pages&gt;55-63&lt;/_pages&gt;&lt;_subject_headings&gt;Checklist; *Decision Support Techniques; *Diagnosis; Humans; *Models, Statistical; Multivariate Analysis; *Prognosis; Publishing/standards&lt;/_subject_headings&gt;&lt;_tertiary_title&gt;Annals of internal medicine&lt;/_tertiary_title&gt;&lt;_type_work&gt;Consensus Development Conference; Guideline; Journal Article; Research Support, Non-U.S. Gov&amp;apos;t&lt;/_type_work&gt;&lt;_url&gt;http://www.ncbi.nlm.nih.gov/entrez/query.fcgi?cmd=Retrieve&amp;amp;db=pubmed&amp;amp;dopt=Abstract&amp;amp;list_uids=25560714&amp;amp;query_hl=1&lt;/_url&gt;&lt;_volume&gt;162&lt;/_volume&gt;&lt;/Details&gt;&lt;Extra&gt;&lt;DBUID&gt;{F96A950B-833F-4880-A151-76DA2D6A2879}&lt;/DBUID&gt;&lt;/Extra&gt;&lt;/Item&gt;&lt;/References&gt;&lt;/Group&gt;&lt;/Citation&gt;_x000a_"/>
    <w:docVar w:name="NE.Ref{4F7B9D53-8BFB-4681-9B74-D8B8F20816EC}" w:val=" ADDIN NE.Ref.{4F7B9D53-8BFB-4681-9B74-D8B8F20816EC}&lt;Citation&gt;&lt;Group&gt;&lt;References&gt;&lt;Item&gt;&lt;ID&gt;568&lt;/ID&gt;&lt;UID&gt;{41B324FD-CE65-452F-96BE-09EF17557201}&lt;/UID&gt;&lt;Title&gt;Prognostic Value of Deep Learning PET/CT-Based Radiomics: Potential Role for Future Individual Induction Chemotherapy in Advanced Nasopharyngeal Carcinoma&lt;/Title&gt;&lt;Template&gt;Journal Article&lt;/Template&gt;&lt;Star&gt;0&lt;/Star&gt;&lt;Tag&gt;0&lt;/Tag&gt;&lt;Author&gt;Peng, H; Dong, D; Fang, M J; Li, L; Tang, L L; Chen, L; Li, W F; Mao, Y P; Fan, W; Liu, L Z; Tian, L; Lin, A H; Sun, Y; Tian, J; Ma, J&lt;/Author&gt;&lt;Year&gt;2019&lt;/Year&gt;&lt;Details&gt;&lt;_accessed&gt;64462372&lt;/_accessed&gt;&lt;_accession_num&gt;30975664&lt;/_accession_num&gt;&lt;_author_adr&gt;Department of Radiation Oncology, Sun Yat-sen University Cancer Center, State Key Laboratory of Oncology in Southern China, Collaborative Innovation Center for Cancer Medicine, Guangdong Key Laboratory of Nasopharyngeal Carcinoma Diagnosis and Therapy, Guangdong, P. R. China.; CAS Key Laboratory of Molecular Imaging, Institute of Automation, Chinese Academy of Sciences, Beijing, P. R. China.; University of Chinese Academy of Sciences, Beijing, P. R. China.; CAS Key Laboratory of Molecular Imaging, Institute of Automation, Chinese Academy of Sciences, Beijing, P. R. China.; University of Chinese Academy of Sciences, Beijing, P. R. China.; Department of Radiation Oncology, Nanfang Hospital, Southern Medical University,  Guangzhou, P. R. China.; Department of Nuclear Medicine, Sun Yat-sen University Cancer Center, State Key Laboratory of Oncology in South China, Collaborative Innovation Center for Cancer Medicine, Guangzhou, Guangdong, P. R. China.; Department of Radiation Oncology, Sun Yat-sen University Cancer Center, State Key Laboratory of Oncology in Southern China, Collaborative Innovation Center for Cancer Medicine, Guangdong Key Laboratory of Nasopharyngeal Carcinoma Diagnosis and Therapy, Guangdong, P. R. China.; Department of Radiation Oncology, Sun Yat-sen University Cancer Center, State Key Laboratory of Oncology in Southern China, Collaborative Innovation Center for Cancer Medicine, Guangdong Key Laboratory of Nasopharyngeal Carcinoma Diagnosis and Therapy, Guangdong, P. R. China.; Department of Radiation Oncology, Sun Yat-sen University Cancer Center, State Key Laboratory of Oncology in Southern China, Collaborative Innovation Center for Cancer Medicine, Guangdong Key Laboratory of Nasopharyngeal Carcinoma Diagnosis and Therapy, Guangdong, P. R. China.; Department of Radiation Oncology, Sun Yat-sen University Cancer Center, State Key Laboratory of Oncology in Southern China, Collaborative Innovation Center for Cancer Medicine, Guangdong Key Laboratory of Nasopharyngeal Carcinoma Diagnosis and Therapy, Guangdong, P. R. China.; Department of Nuclear Medicine, Sun Yat-sen University Cancer Center, State Key Laboratory of Oncology in South China, Collaborative Innovation Center for Cancer Medicine, Guangzhou, Guangdong, P. R. China.; Imaging Diagnosis and Interventional Center, Sun Yat-sen University Cancer Center, State Key Laboratory of Oncology in Southern China, Collaborative Innovation Center for Cancer Medicine, Guangzhou, Guangdong, P. R. China.; Imaging Diagnosis and Interventional Center, Sun Yat-sen University Cancer Center, State Key Laboratory of Oncology in Southern China, Collaborative Innovation Center for Cancer Medicine, Guangzhou, Guangdong, P. R. China.; Department of Medical Statistics and Epidemiology, School of Public Health, Sun Yat-sen University, P. R. China.; Department of Radiation Oncology, Sun Yat-sen University Cancer Center, State Key Laboratory of Oncology in Southern China, Collaborative Innovation Center for Cancer Medicine, Guangdong Key Laboratory of Nasopharyngeal Carcinoma Diagnosis and Therapy, Guangdong, P. R. China.; CAS Key Laboratory of Molecular Imaging, Institute of Automation, Chinese Academy of Sciences, Beijing, P. R. China. majun2@mail.sysu.edu.cn jie.tian@ia.ac.cn.; Beijing Advanced Innovation Center for Big Data-Based Precision Medicine, School  of Medicine, Beihang University, Beijing, P. R. China.; Engineering Research Center of Molecular and Neuro Imaging of Ministry of Education, School of Life Science and Technology, Xidian University, Xi&amp;apos;an, Shaanxi, P. R. China.; Department of Radiation Oncology, Sun Yat-sen University Cancer Center, State Key Laboratory of Oncology in Southern China, Collaborative Innovation Center for Cancer Medicine, Guangdong Key Laboratory of Nasopharyngeal Carcinoma Diagnosis and Therapy, Guangdong, P. R. China. majun2@mail.sysu.edu.cn jie.tian@ia.ac.cn.&lt;/_author_adr&gt;&lt;_collection_scope&gt;SCI;SCIE&lt;/_collection_scope&gt;&lt;_created&gt;64298884&lt;/_created&gt;&lt;_date&gt;2019-07-15&lt;/_date&gt;&lt;_date_display&gt;2019 Jul 15&lt;/_date_display&gt;&lt;_db_updated&gt;PubMed&lt;/_db_updated&gt;&lt;_doi&gt;10.1158/1078-0432.CCR-18-3065&lt;/_doi&gt;&lt;_impact_factor&gt;  12.531&lt;/_impact_factor&gt;&lt;_isbn&gt;1557-3265 (Electronic); 1078-0432 (Linking)&lt;/_isbn&gt;&lt;_issue&gt;14&lt;/_issue&gt;&lt;_journal&gt;Clin Cancer Res&lt;/_journal&gt;&lt;_language&gt;eng&lt;/_language&gt;&lt;_modified&gt;64330455&lt;/_modified&gt;&lt;_ori_publication&gt;(c)2019 American Association for Cancer Research.&lt;/_ori_publication&gt;&lt;_pages&gt;4271-4279&lt;/_pages&gt;&lt;_subject_headings&gt;Adolescent; Adult; Aged; Child; Deep Learning/*statistics &amp;amp; numerical data; Female; Humans; Induction Chemotherapy/*methods; Male; Middle Aged; Nasopharyngeal Carcinoma/diagnostic imaging/drug therapy/*pathology; Nasopharyngeal Neoplasms/diagnostic imaging/drug therapy/*pathology; *Nomograms; Positron Emission Tomography Computed Tomography/*methods; Prognosis; ROC Curve; Retrospective Studies; Risk Factors; Survival Rate; Young Adult&lt;/_subject_headings&gt;&lt;_tertiary_title&gt;Clinical cancer research : an official journal of the American Association for_x000d__x000a_      Cancer Research&lt;/_tertiary_title&gt;&lt;_type_work&gt;Journal Article; Research Support, Non-U.S. Gov&amp;apos;t&lt;/_type_work&gt;&lt;_url&gt;http://www.ncbi.nlm.nih.gov/entrez/query.fcgi?cmd=Retrieve&amp;amp;db=pubmed&amp;amp;dopt=Abstract&amp;amp;list_uids=30975664&amp;amp;query_hl=1&lt;/_url&gt;&lt;_volume&gt;25&lt;/_volume&gt;&lt;/Details&gt;&lt;Extra&gt;&lt;DBUID&gt;{F96A950B-833F-4880-A151-76DA2D6A2879}&lt;/DBUID&gt;&lt;/Extra&gt;&lt;/Item&gt;&lt;/References&gt;&lt;/Group&gt;&lt;/Citation&gt;_x000a_"/>
    <w:docVar w:name="NE.Ref{51B0B446-E130-4470-A0D3-E4B80332D1C9}" w:val=" ADDIN NE.Ref.{51B0B446-E130-4470-A0D3-E4B80332D1C9}&lt;Citation&gt;&lt;Group&gt;&lt;References&gt;&lt;Item&gt;&lt;ID&gt;516&lt;/ID&gt;&lt;UID&gt;{FE68FAA4-5FA8-4C3D-A04F-946AA417EDD6}&lt;/UID&gt;&lt;Title&gt;Cancer Statistics, 2021&lt;/Title&gt;&lt;Template&gt;Journal Article&lt;/Template&gt;&lt;Star&gt;0&lt;/Star&gt;&lt;Tag&gt;0&lt;/Tag&gt;&lt;Author&gt;Siegel, R L; Miller, K D; Fuchs, H E; Jemal, A&lt;/Author&gt;&lt;Year&gt;2021&lt;/Year&gt;&lt;Details&gt;&lt;_accessed&gt;64455326&lt;/_accessed&gt;&lt;_accession_num&gt;33433946&lt;/_accession_num&gt;&lt;_author_adr&gt;Surveillance and Health Services Research, American Cancer Society, Atlanta, Georgia.; Surveillance and Health Services Research, American Cancer Society, Atlanta, Georgia.; Surveillance and Health Services Research, American Cancer Society, Atlanta, Georgia.; Surveillance and Health Services Research, American Cancer Society, Atlanta, Georgia.&lt;/_author_adr&gt;&lt;_created&gt;64298697&lt;/_created&gt;&lt;_date&gt;2021-01-01&lt;/_date&gt;&lt;_date_display&gt;2021 Jan&lt;/_date_display&gt;&lt;_db_updated&gt;PubMed&lt;/_db_updated&gt;&lt;_doi&gt;10.3322/caac.21654&lt;/_doi&gt;&lt;_impact_factor&gt; 508.702&lt;/_impact_factor&gt;&lt;_isbn&gt;1542-4863 (Electronic); 0007-9235 (Linking)&lt;/_isbn&gt;&lt;_issue&gt;1&lt;/_issue&gt;&lt;_journal&gt;CA Cancer J Clin&lt;/_journal&gt;&lt;_keywords&gt;*cancer cases; *cancer statistics; *death rates; *incidence; *mortality&lt;/_keywords&gt;&lt;_language&gt;eng&lt;/_language&gt;&lt;_modified&gt;64455326&lt;/_modified&gt;&lt;_ori_publication&gt;(c) 2021 American Cancer Society.&lt;/_ori_publication&gt;&lt;_pages&gt;7-33&lt;/_pages&gt;&lt;_subject_headings&gt;American Cancer Society; Humans; Incidence; Mortality/*trends; Neoplasms/*epidemiology/therapy; SEER Program/*statistics &amp;amp; numerical data; United States/epidemiology&lt;/_subject_headings&gt;&lt;_tertiary_title&gt;CA: a cancer journal for clinicians&lt;/_tertiary_title&gt;&lt;_type_work&gt;Journal Article; Research Support, Non-U.S. Gov&amp;apos;t&lt;/_type_work&gt;&lt;_url&gt;http://www.ncbi.nlm.nih.gov/entrez/query.fcgi?cmd=Retrieve&amp;amp;db=pubmed&amp;amp;dopt=Abstract&amp;amp;list_uids=33433946&amp;amp;query_hl=1&lt;/_url&gt;&lt;_volume&gt;71&lt;/_volume&gt;&lt;/Details&gt;&lt;Extra&gt;&lt;DBUID&gt;{F96A950B-833F-4880-A151-76DA2D6A2879}&lt;/DBUID&gt;&lt;/Extra&gt;&lt;/Item&gt;&lt;/References&gt;&lt;/Group&gt;&lt;/Citation&gt;_x000a_"/>
    <w:docVar w:name="NE.Ref{55193839-BDBC-4CFA-ABA1-3F66D548F4AA}" w:val=" ADDIN NE.Ref.{55193839-BDBC-4CFA-ABA1-3F66D548F4AA}&lt;Citation&gt;&lt;Group&gt;&lt;References&gt;&lt;Item&gt;&lt;ID&gt;524&lt;/ID&gt;&lt;UID&gt;{01AFA47F-6E90-418B-A3F6-675CDBF2DA83}&lt;/UID&gt;&lt;Title&gt;Comparison of clinical outcomes following gefitinib and erlotinib treatment in non-small-cell lung cancer patients harboring an epidermal growth factor receptor mutation in either exon 19 or 21&lt;/Title&gt;&lt;Template&gt;Journal Article&lt;/Template&gt;&lt;Star&gt;0&lt;/Star&gt;&lt;Tag&gt;0&lt;/Tag&gt;&lt;Author&gt;Lim, S H; Lee, J Y; Sun, J M; Ahn, J S; Park, K; Ahn, M J&lt;/Author&gt;&lt;Year&gt;2014&lt;/Year&gt;&lt;Details&gt;&lt;_accessed&gt;64455071&lt;/_accessed&gt;&lt;_accession_num&gt;24736073&lt;/_accession_num&gt;&lt;_author_adr&gt;Division of Hematology-Oncology, Department of Medicine, Samsung Medical Center,  Sungkyunkwan University School of Medicine, Seoul, Korea.&lt;/_author_adr&gt;&lt;_collection_scope&gt;SCI;SCIE&lt;/_collection_scope&gt;&lt;_created&gt;64298716&lt;/_created&gt;&lt;_date&gt;2014-04-01&lt;/_date&gt;&lt;_date_display&gt;2014 Apr&lt;/_date_display&gt;&lt;_db_updated&gt;PubMed&lt;/_db_updated&gt;&lt;_doi&gt;10.1097/JTO.0000000000000095&lt;/_doi&gt;&lt;_impact_factor&gt;  15.609&lt;/_impact_factor&gt;&lt;_isbn&gt;1556-1380 (Electronic); 1556-0864 (Linking)&lt;/_isbn&gt;&lt;_issue&gt;4&lt;/_issue&gt;&lt;_journal&gt;J Thorac Oncol&lt;/_journal&gt;&lt;_language&gt;eng&lt;/_language&gt;&lt;_modified&gt;64455071&lt;/_modified&gt;&lt;_pages&gt;506-11&lt;/_pages&gt;&lt;_subject_headings&gt;Adenocarcinoma/drug therapy/genetics/mortality/pathology; Adult; Aged; Aged, 80 and over; Carcinoma, Non-Small-Cell Lung/*drug therapy/genetics/mortality/secondary; ErbB Receptors/*genetics; Erlotinib Hydrochloride; Exons/*genetics; Female; Follow-Up Studies; Gefitinib; Humans; Lung Neoplasms/*drug therapy/genetics/mortality/secondary; Male; Middle Aged; Mutation/*genetics; Neoplasm Metastasis; Neoplasm Recurrence, Local/drug therapy/genetics/mortality/pathology; Neoplasm Staging; Prognosis; Protein Kinase Inhibitors/therapeutic use; Quinazolines/*therapeutic use; Retrospective Studies; Survival Rate&lt;/_subject_headings&gt;&lt;_tertiary_title&gt;Journal of thoracic oncology : official publication of the International_x000d__x000a_      Association for the Study of Lung Cancer&lt;/_tertiary_title&gt;&lt;_type_work&gt;Comparative Study; Journal Article; Research Support, Non-U.S. Gov&amp;apos;t&lt;/_type_work&gt;&lt;_url&gt;http://www.ncbi.nlm.nih.gov/entrez/query.fcgi?cmd=Retrieve&amp;amp;db=pubmed&amp;amp;dopt=Abstract&amp;amp;list_uids=24736073&amp;amp;query_hl=1&lt;/_url&gt;&lt;_volume&gt;9&lt;/_volume&gt;&lt;/Details&gt;&lt;Extra&gt;&lt;DBUID&gt;{F96A950B-833F-4880-A151-76DA2D6A2879}&lt;/DBUID&gt;&lt;/Extra&gt;&lt;/Item&gt;&lt;/References&gt;&lt;/Group&gt;&lt;/Citation&gt;_x000a_"/>
    <w:docVar w:name="NE.Ref{58E5444F-0328-4AC4-8880-FADF0B6D785A}" w:val=" ADDIN NE.Ref.{58E5444F-0328-4AC4-8880-FADF0B6D785A}&lt;Citation&gt;&lt;Group&gt;&lt;References&gt;&lt;Item&gt;&lt;ID&gt;557&lt;/ID&gt;&lt;UID&gt;{A4C8B0EF-1B98-41EC-A2E5-2614F76548E1}&lt;/UID&gt;&lt;Title&gt;Radiomics and Machine Learning Can Differentiate Transient Osteoporosis from Avascular Necrosis of the Hip&lt;/Title&gt;&lt;Template&gt;Journal Article&lt;/Template&gt;&lt;Star&gt;0&lt;/Star&gt;&lt;Tag&gt;0&lt;/Tag&gt;&lt;Author&gt;Klontzas, M E; Manikis, G C; Nikiforaki, K; Vassalou, E E; Spanakis, K; Stathis, I; Kakkos, G A; Matthaiou, N; Zibis, A H; Marias, K; Karantanas, A H&lt;/Author&gt;&lt;Year&gt;2021&lt;/Year&gt;&lt;Details&gt;&lt;_accession_num&gt;34574027&lt;/_accession_num&gt;&lt;_author_adr&gt;Department of Medical Imaging, University Hospital of Heraklion, 71110 Heraklion, Crete, Greece.; Computational BioMedicine Laboratory, Institute of Computer Science, Foundation for Research and Technology (FORTH), 70013 Heraklion, Crete, Greece.; Advanced Hybrid Imaging Systems, Institute of Computer Science, Foundation for Research and Technology (FORTH), 70013 Heraklion, Crete, Greece.; Department of Radiology, School of Medicine, University of Crete, Voutes Campus,  71003 Heraklion, Crete, Greece.; Computational BioMedicine Laboratory, Institute of Computer Science, Foundation for Research and Technology (FORTH), 70013 Heraklion, Crete, Greece.; Advanced Hybrid Imaging Systems, Institute of Computer Science, Foundation for Research and Technology (FORTH), 70013 Heraklion, Crete, Greece.; Computational BioMedicine Laboratory, Institute of Computer Science, Foundation for Research and Technology (FORTH), 70013 Heraklion, Crete, Greece.; Advanced Hybrid Imaging Systems, Institute of Computer Science, Foundation for Research and Technology (FORTH), 70013 Heraklion, Crete, Greece.; Department of Medical Imaging, University Hospital of Heraklion, 71110 Heraklion, Crete, Greece.; Department of Medical Imaging, University Hospital of Heraklion, 71110 Heraklion, Crete, Greece.; Department of Medical Imaging, University Hospital of Heraklion, 71110 Heraklion, Crete, Greece.; Department of Medical Imaging, University Hospital of Heraklion, 71110 Heraklion, Crete, Greece.; Department of Medical Imaging, University Hospital of Heraklion, 71110 Heraklion, Crete, Greece.; Department of Anatomy, Medical School, University of Thessaly, 41334 Larissa, Greece.; Computational BioMedicine Laboratory, Institute of Computer Science, Foundation for Research and Technology (FORTH), 70013 Heraklion, Crete, Greece.; Advanced Hybrid Imaging Systems, Institute of Computer Science, Foundation for Research and Technology (FORTH), 70013 Heraklion, Crete, Greece.; Department of Electrical &amp;amp; Computer Engineering, Hellenic Mediterranean University, 71004 Heraklion, Crete, Greece.; Department of Medical Imaging, University Hospital of Heraklion, 71110 Heraklion, Crete, Greece.; Computational BioMedicine Laboratory, Institute of Computer Science, Foundation for Research and Technology (FORTH), 70013 Heraklion, Crete, Greece.; Advanced Hybrid Imaging Systems, Institute of Computer Science, Foundation for Research and Technology (FORTH), 70013 Heraklion, Crete, Greece.; Department of Radiology, School of Medicine, University of Crete, Voutes Campus,  71003 Heraklion, Crete, Greece.&lt;/_author_adr&gt;&lt;_created&gt;64298791&lt;/_created&gt;&lt;_date&gt;2021-09-15&lt;/_date&gt;&lt;_date_display&gt;2021 Sep 15&lt;/_date_display&gt;&lt;_db_updated&gt;PubMed&lt;/_db_updated&gt;&lt;_doi&gt;10.3390/diagnostics11091686&lt;/_doi&gt;&lt;_isbn&gt;2075-4418 (Print); 2075-4418 (Linking)&lt;/_isbn&gt;&lt;_issue&gt;9&lt;/_issue&gt;&lt;_journal&gt;Diagnostics (Basel)&lt;/_journal&gt;&lt;_keywords&gt;XGboost; artificial intelligence; avascular necrosis of bone; hip; machine learning; osteoporosis; radiomics; transient osteoporosis&lt;/_keywords&gt;&lt;_language&gt;eng&lt;/_language&gt;&lt;_modified&gt;64298791&lt;/_modified&gt;&lt;_tertiary_title&gt;Diagnostics (Basel, Switzerland)&lt;/_tertiary_title&gt;&lt;_type_work&gt;Journal Article&lt;/_type_work&gt;&lt;_url&gt;http://www.ncbi.nlm.nih.gov/entrez/query.fcgi?cmd=Retrieve&amp;amp;db=pubmed&amp;amp;dopt=Abstract&amp;amp;list_uids=34574027&amp;amp;query_hl=1&lt;/_url&gt;&lt;_volume&gt;11&lt;/_volume&gt;&lt;_impact_factor&gt;   3.706&lt;/_impact_factor&gt;&lt;/Details&gt;&lt;Extra&gt;&lt;DBUID&gt;{F96A950B-833F-4880-A151-76DA2D6A2879}&lt;/DBUID&gt;&lt;/Extra&gt;&lt;/Item&gt;&lt;/References&gt;&lt;/Group&gt;&lt;/Citation&gt;_x000a_"/>
    <w:docVar w:name="NE.Ref{594ACB66-E980-4AE3-AB54-3366D364AD61}" w:val=" ADDIN NE.Ref.{594ACB66-E980-4AE3-AB54-3366D364AD61}&lt;Citation&gt;&lt;Group&gt;&lt;References&gt;&lt;Item&gt;&lt;ID&gt;765&lt;/ID&gt;&lt;UID&gt;{04613F2E-4041-49A4-82A3-DA2F4F138893}&lt;/UID&gt;&lt;Title&gt;Comparison and Fusion of Machine Learning Algorithms for Prospective Validation of PET/CT Radiomic Features Prognostic Value in Stage II-III Non-Small Cell Lung  Cancer&lt;/Title&gt;&lt;Template&gt;Journal Article&lt;/Template&gt;&lt;Star&gt;0&lt;/Star&gt;&lt;Tag&gt;0&lt;/Tag&gt;&lt;Author&gt;Sepehri, S; Tankyevych, O; Upadhaya, T; Visvikis, D; Hatt, M; Cheze, Le Rest C&lt;/Author&gt;&lt;Year&gt;2021&lt;/Year&gt;&lt;Details&gt;&lt;_accessed&gt;64455327&lt;/_accessed&gt;&lt;_accession_num&gt;33918681&lt;/_accession_num&gt;&lt;_author_adr&gt;LaTIM, INSERM, UMR 1101, University Brest, 29200 Brest, France.; LaTIM, INSERM, UMR 1101, University Brest, 29200 Brest, France.; Nuclear Medicine Department, CHU Miletrie, 86021 Poitiers, France.; Nuclear Medicine Department, CHU Miletrie, 86021 Poitiers, France.; LaTIM, INSERM, UMR 1101, University Brest, 29200 Brest, France.; LaTIM, INSERM, UMR 1101, University Brest, 29200 Brest, France.; LaTIM, INSERM, UMR 1101, University Brest, 29200 Brest, France.; Nuclear Medicine Department, CHU Miletrie, 86021 Poitiers, France.&lt;/_author_adr&gt;&lt;_created&gt;64455233&lt;/_created&gt;&lt;_date&gt;2021-04-09&lt;/_date&gt;&lt;_date_display&gt;2021 Apr 9&lt;/_date_display&gt;&lt;_db_updated&gt;PubMed&lt;/_db_updated&gt;&lt;_doi&gt;10.3390/diagnostics11040675&lt;/_doi&gt;&lt;_impact_factor&gt;   3.706&lt;/_impact_factor&gt;&lt;_isbn&gt;2075-4418 (Print); 2075-4418 (Linking)&lt;/_isbn&gt;&lt;_issue&gt;4&lt;/_issue&gt;&lt;_journal&gt;Diagnostics (Basel)&lt;/_journal&gt;&lt;_keywords&gt;machine learning; non-small cell lung cancer; prognosis; prospective study; radiomics&lt;/_keywords&gt;&lt;_language&gt;eng&lt;/_language&gt;&lt;_modified&gt;64455327&lt;/_modified&gt;&lt;_tertiary_title&gt;Diagnostics (Basel, Switzerland)&lt;/_tertiary_title&gt;&lt;_type_work&gt;Journal Article&lt;/_type_work&gt;&lt;_url&gt;http://www.ncbi.nlm.nih.gov/entrez/query.fcgi?cmd=Retrieve&amp;amp;db=pubmed&amp;amp;dopt=Abstract&amp;amp;list_uids=33918681&amp;amp;query_hl=1&lt;/_url&gt;&lt;_volume&gt;11&lt;/_volume&gt;&lt;/Details&gt;&lt;Extra&gt;&lt;DBUID&gt;{F96A950B-833F-4880-A151-76DA2D6A2879}&lt;/DBUID&gt;&lt;/Extra&gt;&lt;/Item&gt;&lt;/References&gt;&lt;/Group&gt;&lt;Group&gt;&lt;References&gt;&lt;Item&gt;&lt;ID&gt;572&lt;/ID&gt;&lt;UID&gt;{79F9547B-8FD8-4298-ACD3-9A8545985B69}&lt;/UID&gt;&lt;Title&gt;Multi-level multi-modality (PET and CT) fusion radiomics: prognostic modeling for non-small cell lung carcinoma&lt;/Title&gt;&lt;Template&gt;Journal Article&lt;/Template&gt;&lt;Star&gt;0&lt;/Star&gt;&lt;Tag&gt;0&lt;/Tag&gt;&lt;Author&gt;Amini, M; Nazari, M; Shiri, I; Hajianfar, G; Deevband, M R; Abdollahi, H; Arabi, H; Rahmim, A; Zaidi, H&lt;/Author&gt;&lt;Year&gt;2021&lt;/Year&gt;&lt;Details&gt;&lt;_accessed&gt;64462618&lt;/_accessed&gt;&lt;_accession_num&gt;34544053&lt;/_accession_num&gt;&lt;_author_adr&gt;Division of Nuclear Medicine and Molecular Imaging, Geneva University Hospital, CH-1205 Geneva, Switzerland.; Department of Biomedical Engineering and Medical Physics, Shahid Beheshti University of Medical Sciences, Tehran, Iran.; Department of Biomedical Engineering and Medical Physics, Shahid Beheshti University of Medical Sciences, Tehran, Iran.; Division of Nuclear Medicine and Molecular Imaging, Geneva University Hospital, CH-1205 Geneva, Switzerland.; Rajaie Cardiovascular Medical and Research Center, Iran University of Medical Science, Tehran, Iran.; Department of Biomedical Engineering and Medical Physics, Shahid Beheshti University of Medical Sciences, Tehran, Iran.; Department of Radiologic Technology, School of Allied Medicine, Kerman University of Medical Sciences, Kerman, Iran.; Division of Nuclear Medicine and Molecular Imaging, Geneva University Hospital, CH-1205 Geneva, Switzerland.; Departments of Radiology and Physics, University of British Columbia, Vancouver BC, Canada.; Department of Integrative Oncology, BC Cancer Research Institute, Vancouver BC, Canada.; Division of Nuclear Medicine and Molecular Imaging, Geneva University Hospital, CH-1205 Geneva, Switzerland.; Geneva University Neurocenter, Geneva University, CH-1211 Geneva, Switzerland.; Department of Nuclear Medicine and Molecular Imaging, University of Groningen, University Medical Centre Groningen, Groningen, The Netherlands.; Department of Nuclear Medicine, University of Southern Denmark, Odense, Denmark.&lt;/_author_adr&gt;&lt;_collection_scope&gt;SCI;SCIE;EI&lt;/_collection_scope&gt;&lt;_created&gt;64298895&lt;/_created&gt;&lt;_date&gt;2021-10-14&lt;/_date&gt;&lt;_date_display&gt;2021 Oct 14&lt;/_date_display&gt;&lt;_db_updated&gt;PubMed&lt;/_db_updated&gt;&lt;_doi&gt;10.1088/1361-6560/ac287d&lt;/_doi&gt;&lt;_impact_factor&gt;   3.609&lt;/_impact_factor&gt;&lt;_isbn&gt;1361-6560 (Electronic); 0031-9155 (Linking)&lt;/_isbn&gt;&lt;_issue&gt;20&lt;/_issue&gt;&lt;_journal&gt;Phys Med Biol&lt;/_journal&gt;&lt;_keywords&gt;CT; PET; fusion imaging; non-small cell lung cancer; prognosis; radiomics&lt;/_keywords&gt;&lt;_language&gt;eng&lt;/_language&gt;&lt;_modified&gt;64462373&lt;/_modified&gt;&lt;_ori_publication&gt;(c) 2021 Institute of Physics and Engineering in Medicine.&lt;/_ori_publication&gt;&lt;_tertiary_title&gt;Physics in medicine and biology&lt;/_tertiary_title&gt;&lt;_type_work&gt;Journal Article&lt;/_type_work&gt;&lt;_url&gt;http://www.ncbi.nlm.nih.gov/entrez/query.fcgi?cmd=Retrieve&amp;amp;db=pubmed&amp;amp;dopt=Abstract&amp;amp;list_uids=34544053&amp;amp;query_hl=1&lt;/_url&gt;&lt;_volume&gt;66&lt;/_volume&gt;&lt;/Details&gt;&lt;Extra&gt;&lt;DBUID&gt;{F96A950B-833F-4880-A151-76DA2D6A2879}&lt;/DBUID&gt;&lt;/Extra&gt;&lt;/Item&gt;&lt;/References&gt;&lt;/Group&gt;&lt;/Citation&gt;_x000a_"/>
    <w:docVar w:name="NE.Ref{5DB00D10-AF4E-44B4-9F8C-1145F52B8A18}" w:val=" ADDIN NE.Ref.{5DB00D10-AF4E-44B4-9F8C-1145F52B8A18}&lt;Citation&gt;&lt;Group&gt;&lt;References&gt;&lt;Item&gt;&lt;ID&gt;771&lt;/ID&gt;&lt;UID&gt;{68A0D06F-6E9B-4812-A2A0-620F8B091ACD}&lt;/UID&gt;&lt;Title&gt;Comparison of 2D and 3D Local Binary Pattern in Lung Cancer Diagnosis&lt;/Title&gt;&lt;Template&gt;Journal Article&lt;/Template&gt;&lt;Star&gt;0&lt;/Star&gt;&lt;Tag&gt;0&lt;/Tag&gt;&lt;Author&gt;Kohei, Arai; Yeni, Herdiyeni; Hiroshi, Okumura&lt;/Author&gt;&lt;Year&gt;2012&lt;/Year&gt;&lt;Details&gt;&lt;_date&gt;2012-06-15&lt;/_date&gt;&lt;_issue&gt;4&lt;/_issue&gt;&lt;_journal&gt;International Journal of Advanced Computer Science and Applications&lt;/_journal&gt;&lt;_url&gt;https://kns.cnki.net/kcms/detail/detail.aspx?FileName=SJSI14121500000787&amp;amp;DbName=GARJ2012&lt;/_url&gt;&lt;_volume&gt;3&lt;/_volume&gt;&lt;_created&gt;64535974&lt;/_created&gt;&lt;_modified&gt;64535975&lt;/_modified&gt;&lt;_db_updated&gt;CNKI - Reference&lt;/_db_updated&gt;&lt;_accessed&gt;64535975&lt;/_accessed&gt;&lt;/Details&gt;&lt;Extra&gt;&lt;DBUID&gt;{F96A950B-833F-4880-A151-76DA2D6A2879}&lt;/DBUID&gt;&lt;/Extra&gt;&lt;/Item&gt;&lt;/References&gt;&lt;/Group&gt;&lt;/Citation&gt;_x000a_"/>
    <w:docVar w:name="NE.Ref{60171BE3-DCC8-4F32-A067-DB3D8FECA26A}" w:val=" ADDIN NE.Ref.{60171BE3-DCC8-4F32-A067-DB3D8FECA26A}&lt;Citation&gt;&lt;Group&gt;&lt;References&gt;&lt;Item&gt;&lt;ID&gt;575&lt;/ID&gt;&lt;UID&gt;{E8471059-E7EF-473E-AC9B-6FF2ADB8E7D4}&lt;/UID&gt;&lt;Title&gt;Radiomics in predicting treatment response in non-small-cell lung cancer: current status, challenges and future perspectives&lt;/Title&gt;&lt;Template&gt;Journal Article&lt;/Template&gt;&lt;Star&gt;0&lt;/Star&gt;&lt;Tag&gt;0&lt;/Tag&gt;&lt;Author&gt;Chetan, M R; Gleeson, F V&lt;/Author&gt;&lt;Year&gt;2021&lt;/Year&gt;&lt;Details&gt;&lt;_accessed&gt;64307126&lt;/_accessed&gt;&lt;_accession_num&gt;32809167&lt;/_accession_num&gt;&lt;_author_adr&gt;Department of Radiology, Churchill Hospital, Oxford University Hospitals NHS Foundation Trust, Old Road, Headington, Oxford, OX3 7LE, UK. madhurima.chetan@doctors.net.uk.; Nuffield Department of Surgical Sciences, John Radcliffe Hospital, University of  Oxford, Room 6607, Level 6, Oxford, OX3 9DU, UK. madhurima.chetan@doctors.net.uk.; Department of Radiology, Churchill Hospital, Oxford University Hospitals NHS Foundation Trust, Old Road, Headington, Oxford, OX3 7LE, UK.; Department of Oncology, Old Road Campus Research Building, University of Oxford,  Roosevelt Drive, Oxford, OX3 7DQ, UK.&lt;/_author_adr&gt;&lt;_collection_scope&gt;SCI;SCIE&lt;/_collection_scope&gt;&lt;_created&gt;64301646&lt;/_created&gt;&lt;_date&gt;2021-02-01&lt;/_date&gt;&lt;_date_display&gt;2021 Feb&lt;/_date_display&gt;&lt;_db_updated&gt;PubMed&lt;/_db_updated&gt;&lt;_doi&gt;10.1007/s00330-020-07141-9&lt;/_doi&gt;&lt;_impact_factor&gt;   5.315&lt;/_impact_factor&gt;&lt;_isbn&gt;1432-1084 (Electronic); 0938-7994 (Linking)&lt;/_isbn&gt;&lt;_issue&gt;2&lt;/_issue&gt;&lt;_journal&gt;Eur Radiol&lt;/_journal&gt;&lt;_keywords&gt;Biomarkers; Carcinoma, non-small-cell lung; Positron emission tomography computed tomography; Precision medicine; Tomography, X-ray computed&lt;/_keywords&gt;&lt;_language&gt;eng&lt;/_language&gt;&lt;_modified&gt;64307126&lt;/_modified&gt;&lt;_pages&gt;1049-1058&lt;/_pages&gt;&lt;_subject_headings&gt;*Carcinoma, Non-Small-Cell Lung/diagnostic imaging; Diagnostic Imaging; Humans; *Lung Neoplasms/diagnostic imaging; Prospective Studies; Reproducibility of Results&lt;/_subject_headings&gt;&lt;_tertiary_title&gt;European radiology&lt;/_tertiary_title&gt;&lt;_type_work&gt;Journal Article; Review&lt;/_type_work&gt;&lt;_url&gt;http://www.ncbi.nlm.nih.gov/entrez/query.fcgi?cmd=Retrieve&amp;amp;db=pubmed&amp;amp;dopt=Abstract&amp;amp;list_uids=32809167&amp;amp;query_hl=1&lt;/_url&gt;&lt;_volume&gt;31&lt;/_volume&gt;&lt;/Details&gt;&lt;Extra&gt;&lt;DBUID&gt;{F96A950B-833F-4880-A151-76DA2D6A2879}&lt;/DBUID&gt;&lt;/Extra&gt;&lt;/Item&gt;&lt;/References&gt;&lt;/Group&gt;&lt;Group&gt;&lt;References&gt;&lt;Item&gt;&lt;ID&gt;576&lt;/ID&gt;&lt;UID&gt;{38A846D5-5E53-4E8C-8E7B-A4BDB7C68FB5}&lt;/UID&gt;&lt;Title&gt;Radiomic phenotype features predict pathological response in non-small cell lung  cancer&lt;/Title&gt;&lt;Template&gt;Journal Article&lt;/Template&gt;&lt;Star&gt;0&lt;/Star&gt;&lt;Tag&gt;0&lt;/Tag&gt;&lt;Author&gt;Coroller, T P; Agrawal, V; Narayan, V; Hou, Y; Grossmann, P; Lee, S W; Mak, R H; Aerts, H J&lt;/Author&gt;&lt;Year&gt;2016&lt;/Year&gt;&lt;Details&gt;&lt;_accessed&gt;64303899&lt;/_accessed&gt;&lt;_accession_num&gt;27085484&lt;/_accession_num&gt;&lt;_author_adr&gt;Department of Radiation Oncology, Dana-Farber Cancer Institute, Brigham and Women&amp;apos;s Hospital, Harvard Medical School, Boston, USA. Electronic address: tcoroller@lroc.harvard.edu.; Department of Radiation Oncology, Dana-Farber Cancer Institute, Brigham and Women&amp;apos;s Hospital, Harvard Medical School, Boston, USA.; Department of Radiation Oncology, Dana-Farber Cancer Institute, Brigham and Women&amp;apos;s Hospital, Harvard Medical School, Boston, USA.; Department of Radiation Oncology, Dana-Farber Cancer Institute, Brigham and Women&amp;apos;s Hospital, Harvard Medical School, Boston, USA.; Department of Radiation Oncology, Dana-Farber Cancer Institute, Brigham and Women&amp;apos;s Hospital, Harvard Medical School, Boston, USA.; Department of Radiation Oncology, Dana-Farber Cancer Institute, Brigham and Women&amp;apos;s Hospital, Harvard Medical School, Boston, USA.; Department of Radiation Oncology, Dana-Farber Cancer Institute, Brigham and Women&amp;apos;s Hospital, Harvard Medical School, Boston, USA.; Department of Radiation Oncology, Dana-Farber Cancer Institute, Brigham and Women&amp;apos;s Hospital, Harvard Medical School, Boston, USA; Department of Radiology, Dana-Farber Cancer Institute, Brigham and Women&amp;apos;s Hospital, Harvard Medical School, Boston, USA.&lt;/_author_adr&gt;&lt;_collection_scope&gt;SCI;SCIE&lt;/_collection_scope&gt;&lt;_created&gt;64301648&lt;/_created&gt;&lt;_date&gt;2016-06-01&lt;/_date&gt;&lt;_date_display&gt;2016 Jun&lt;/_date_display&gt;&lt;_db_updated&gt;PubMed&lt;/_db_updated&gt;&lt;_doi&gt;10.1016/j.radonc.2016.04.004&lt;/_doi&gt;&lt;_impact_factor&gt;   6.280&lt;/_impact_factor&gt;&lt;_isbn&gt;1879-0887 (Electronic); 0167-8140 (Linking)&lt;/_isbn&gt;&lt;_issue&gt;3&lt;/_issue&gt;&lt;_journal&gt;Radiother Oncol&lt;/_journal&gt;&lt;_keywords&gt;*Biomarkers; *NSCLC; *Pathological response; *Quantitative imaging; *Radiomics&lt;/_keywords&gt;&lt;_language&gt;eng&lt;/_language&gt;&lt;_modified&gt;64303899&lt;/_modified&gt;&lt;_ori_publication&gt;Copyright (c) 2016 Elsevier Ireland Ltd. All rights reserved.&lt;/_ori_publication&gt;&lt;_pages&gt;480-6&lt;/_pages&gt;&lt;_subject_headings&gt;Adult; Aged; Algorithms; Area Under Curve; Carcinoma, Non-Small-Cell Lung/diagnostic imaging/pathology/*therapy; Chemoradiotherapy; Female; Humans; Lung Neoplasms/diagnostic imaging/pathology/*therapy; Male; Middle Aged; Neoadjuvant Therapy; Tomography, X-Ray Computed/*methods; Tumor Burden&lt;/_subject_headings&gt;&lt;_tertiary_title&gt;Radiotherapy and oncology : journal of the European Society for Therapeutic_x000d__x000a_      Radiology and Oncology&lt;/_tertiary_title&gt;&lt;_type_work&gt;Journal Article&lt;/_type_work&gt;&lt;_url&gt;http://www.ncbi.nlm.nih.gov/entrez/query.fcgi?cmd=Retrieve&amp;amp;db=pubmed&amp;amp;dopt=Abstract&amp;amp;list_uids=27085484&amp;amp;query_hl=1&lt;/_url&gt;&lt;_volume&gt;119&lt;/_volume&gt;&lt;/Details&gt;&lt;Extra&gt;&lt;DBUID&gt;{F96A950B-833F-4880-A151-76DA2D6A2879}&lt;/DBUID&gt;&lt;/Extra&gt;&lt;/Item&gt;&lt;/References&gt;&lt;/Group&gt;&lt;/Citation&gt;_x000a_"/>
    <w:docVar w:name="NE.Ref{6335A7FF-8B30-4BB6-A293-EDDA229FB21A}" w:val=" ADDIN NE.Ref.{6335A7FF-8B30-4BB6-A293-EDDA229FB21A}&lt;Citation&gt;&lt;Group&gt;&lt;References&gt;&lt;Item&gt;&lt;ID&gt;534&lt;/ID&gt;&lt;UID&gt;{47628D7B-D5AF-4F0F-91F1-BA3E9D30B9B9}&lt;/UID&gt;&lt;Title&gt;[(18)F]FDG PET radiomics to predict disease-free survival in cervical cancer: a multi-scanner/center study with external validation&lt;/Title&gt;&lt;Template&gt;Journal Article&lt;/Template&gt;&lt;Star&gt;0&lt;/Star&gt;&lt;Tag&gt;0&lt;/Tag&gt;&lt;Author&gt;Ferreira, M; Lovinfosse, P; Hermesse, J; Decuypere, M; Rousseau, C; Lucia, F; Schick, U; Reinhold, C; Robin, P; Hatt, M; Visvikis, D; Bernard, C; Leijenaar, RTH; Kridelka, F; Lambin, P; Meyer, P E; Hustinx, R&lt;/Author&gt;&lt;Year&gt;2021&lt;/Year&gt;&lt;Details&gt;&lt;_accessed&gt;64330459&lt;/_accessed&gt;&lt;_accession_num&gt;33772334&lt;/_accession_num&gt;&lt;_author_adr&gt;GIGA-CRC in vivo Imaging, University of Liege, GIGA, Avenue de l&amp;apos;Hopital 11, 4000, Liege, Belgium. m.Ferreira@student.uliege.be.; Division of Nuclear Medicine and Oncological Imaging, University Hospital of Liege, Liege, Belgium.; Department of Radiation Oncology, Liege University Hospital, Liege, Belgium.; Division of Oncological Gynecology, University Hospital of Liege, Liege, Belgium.; Universite de Nantes, CNRS, Inserm, CRCINA, F-44000, Nantes, France.; ICO Rene Gauducheau, F-44800, Saint-Herblain, France.; Radiation Oncology Department, University Hospital, Brest, France.; LaTIM, INSERM, UMR 1101, Univ Brest, Brest, France.; Radiation Oncology Department, University Hospital, Brest, France.; LaTIM, INSERM, UMR 1101, Univ Brest, Brest, France.; Department of Radiology, McGill University Health Centre (MUHC), Montreal, Canada.; Department of Nuclear Medicine and EA3878, Brest University Hospital, University  of Brest, Brest, France.; LaTIM, INSERM, UMR 1101, Univ Brest, Brest, France.; LaTIM, INSERM, UMR 1101, Univ Brest, Brest, France.; Division of Nuclear Medicine and Oncological Imaging, University Hospital of Liege, Liege, Belgium.; Oncoradiomics SA, Clos Chanmurly 13, 4000, Liege, Belgium.; The-D Lab, Precision Medicine, GROW-School for Oncology and Developmental Biology, Maastricht University Medical Centre, Maastricht, Netherlands.; Division of Oncological Gynecology, University Hospital of Liege, Liege, Belgium.; The-D Lab, Precision Medicine, GROW-School for Oncology and Developmental Biology, Maastricht University Medical Centre, Maastricht, Netherlands.; Department of Radiology and Nuclear Medicine, Maastricht University Medical Centre, Maastricht, The Netherlands.; Bioinformatics and Systems Biology Lab, University of Liege, Liege, Belgium.; GIGA-CRC in vivo Imaging, University of Liege, GIGA, Avenue de l&amp;apos;Hopital 11, 4000, Liege, Belgium.&lt;/_author_adr&gt;&lt;_created&gt;64298745&lt;/_created&gt;&lt;_date&gt;2021-10-01&lt;/_date&gt;&lt;_date_display&gt;2021 Oct&lt;/_date_display&gt;&lt;_db_updated&gt;PubMed&lt;/_db_updated&gt;&lt;_doi&gt;10.1007/s00259-021-05303-5&lt;/_doi&gt;&lt;_impact_factor&gt;   9.236&lt;/_impact_factor&gt;&lt;_isbn&gt;1619-7089 (Electronic); 1619-7070 (Linking)&lt;/_isbn&gt;&lt;_issue&gt;11&lt;/_issue&gt;&lt;_journal&gt;Eur J Nucl Med Mol Imaging&lt;/_journal&gt;&lt;_keywords&gt;*Cervical cancer; *Disease-free survival; *Machine learning; *Radiomics; *[18F]FDG PET/CT&lt;/_keywords&gt;&lt;_language&gt;eng&lt;/_language&gt;&lt;_modified&gt;64330459&lt;/_modified&gt;&lt;_ori_publication&gt;(c) 2021. The Author(s), under exclusive licence to Springer-Verlag GmbH Germany,_x000d__x000a_      part of Springer Nature.&lt;/_ori_publication&gt;&lt;_pages&gt;3432-3443&lt;/_pages&gt;&lt;_subject_headings&gt;Bayes Theorem; Disease-Free Survival; Female; *Fluorodeoxyglucose F18; Humans; Neoplasm Recurrence, Local; Positron Emission Tomography Computed Tomography; Radiopharmaceuticals; Reproducibility of Results; Retrospective Studies; *Uterine Cervical Neoplasms/diagnostic imaging&lt;/_subject_headings&gt;&lt;_tertiary_title&gt;European journal of nuclear medicine and molecular imaging&lt;/_tertiary_title&gt;&lt;_type_work&gt;Journal Article&lt;/_type_work&gt;&lt;_url&gt;http://www.ncbi.nlm.nih.gov/entrez/query.fcgi?cmd=Retrieve&amp;amp;db=pubmed&amp;amp;dopt=Abstract&amp;amp;list_uids=33772334&amp;amp;query_hl=1&lt;/_url&gt;&lt;_volume&gt;48&lt;/_volume&gt;&lt;/Details&gt;&lt;Extra&gt;&lt;DBUID&gt;{F96A950B-833F-4880-A151-76DA2D6A2879}&lt;/DBUID&gt;&lt;/Extra&gt;&lt;/Item&gt;&lt;/References&gt;&lt;/Group&gt;&lt;Group&gt;&lt;References&gt;&lt;Item&gt;&lt;ID&gt;549&lt;/ID&gt;&lt;UID&gt;{2A5F64DC-7FF2-4038-AB82-056C79BEA8CE}&lt;/UID&gt;&lt;Title&gt;A Postreconstruction Harmonization Method for Multicenter Radiomic Studies in PET&lt;/Title&gt;&lt;Template&gt;Journal Article&lt;/Template&gt;&lt;Star&gt;0&lt;/Star&gt;&lt;Tag&gt;0&lt;/Tag&gt;&lt;Author&gt;Orlhac, F; Boughdad, S; Philippe, C; Stalla-Bourdillon, H; Nioche, C; Champion, L; Soussan, M; Frouin, F; Frouin, V; Buvat, I&lt;/Author&gt;&lt;Year&gt;2018&lt;/Year&gt;&lt;Details&gt;&lt;_accessed&gt;64303925&lt;/_accessed&gt;&lt;_accession_num&gt;29301932&lt;/_accession_num&gt;&lt;_author_adr&gt;Imagerie Moleculaire In Vivo, CEA-SHFJ, INSERM, CNRS, Universite Paris-Sud, Universite Paris-Saclay, Orsay, France orlhacf@gmail.com.; Imagerie Moleculaire In Vivo, CEA-SHFJ, INSERM, CNRS, Universite Paris-Sud, Universite Paris-Saclay, Orsay, France.; Department of Nuclear Medicine, Institut Curie-Rene Huguenin, Saint-Cloud, France.; NeuroSpin/UNATI, CEA, Universite Paris-Saclay, Gif-sur-Yvette, France; and.; NeuroSpin/UNATI, CEA, Universite Paris-Saclay, Gif-sur-Yvette, France; and.; Imagerie Moleculaire In Vivo, CEA-SHFJ, INSERM, CNRS, Universite Paris-Sud, Universite Paris-Saclay, Orsay, France.; Department of Nuclear Medicine, Institut Curie-Rene Huguenin, Saint-Cloud, France.; Imagerie Moleculaire In Vivo, CEA-SHFJ, INSERM, CNRS, Universite Paris-Sud, Universite Paris-Saclay, Orsay, France.; Department of Nuclear Medicine, AP-HP, Hopital Avicenne, Bobigny, France.; Imagerie Moleculaire In Vivo, CEA-SHFJ, INSERM, CNRS, Universite Paris-Sud, Universite Paris-Saclay, Orsay, France.; NeuroSpin/UNATI, CEA, Universite Paris-Saclay, Gif-sur-Yvette, France; and.; Imagerie Moleculaire In Vivo, CEA-SHFJ, INSERM, CNRS, Universite Paris-Sud, Universite Paris-Saclay, Orsay, France.&lt;/_author_adr&gt;&lt;_collection_scope&gt;SCI;SCIE&lt;/_collection_scope&gt;&lt;_created&gt;64298771&lt;/_created&gt;&lt;_date&gt;2018-08-01&lt;/_date&gt;&lt;_date_display&gt;2018 Aug&lt;/_date_display&gt;&lt;_db_updated&gt;PubMed&lt;/_db_updated&gt;&lt;_doi&gt;10.2967/jnumed.117.199935&lt;/_doi&gt;&lt;_impact_factor&gt;  10.057&lt;/_impact_factor&gt;&lt;_isbn&gt;1535-5667 (Electronic); 0161-5505 (Linking)&lt;/_isbn&gt;&lt;_issue&gt;8&lt;/_issue&gt;&lt;_journal&gt;J Nucl Med&lt;/_journal&gt;&lt;_keywords&gt;*PET; *harmonization; *radiomics; *texture analysis; *tumor heterogeneity&lt;/_keywords&gt;&lt;_language&gt;eng&lt;/_language&gt;&lt;_modified&gt;64303925&lt;/_modified&gt;&lt;_ori_publication&gt;(c) 2018 by the Society of Nuclear Medicine and Molecular Imaging.&lt;/_ori_publication&gt;&lt;_pages&gt;1321-1328&lt;/_pages&gt;&lt;_subject_headings&gt;Breast Neoplasms/diagnostic imaging; Female; Humans; Image Processing, Computer-Assisted/*methods; Liver/diagnostic imaging; Middle Aged; *Positron Emission Tomography Computed Tomography&lt;/_subject_headings&gt;&lt;_tertiary_title&gt;Journal of nuclear medicine : official publication, Society of Nuclear Medicine&lt;/_tertiary_title&gt;&lt;_type_work&gt;Journal Article; Multicenter Study; Research Support, Non-U.S. Gov&amp;apos;t&lt;/_type_work&gt;&lt;_url&gt;http://www.ncbi.nlm.nih.gov/entrez/query.fcgi?cmd=Retrieve&amp;amp;db=pubmed&amp;amp;dopt=Abstract&amp;amp;list_uids=29301932&amp;amp;query_hl=1&lt;/_url&gt;&lt;_volume&gt;59&lt;/_volume&gt;&lt;/Details&gt;&lt;Extra&gt;&lt;DBUID&gt;{F96A950B-833F-4880-A151-76DA2D6A2879}&lt;/DBUID&gt;&lt;/Extra&gt;&lt;/Item&gt;&lt;/References&gt;&lt;/Group&gt;&lt;Group&gt;&lt;References&gt;&lt;Item&gt;&lt;ID&gt;579&lt;/ID&gt;&lt;UID&gt;{F7C52869-2477-4CAC-861D-52A24EED8507}&lt;/UID&gt;&lt;Title&gt;Performance comparison of modified ComBat for harmonization of radiomic features  for multicenter studies&lt;/Title&gt;&lt;Template&gt;Journal Article&lt;/Template&gt;&lt;Star&gt;0&lt;/Star&gt;&lt;Tag&gt;0&lt;/Tag&gt;&lt;Author&gt;Da-Ano, R; Masson, I; Lucia, F; Dore, M; Robin, P; Alfieri, J; Rousseau, C; Mervoyer, A; Reinhold, C; Castelli, J; De Crevoisier, R; Ramee, J F; Pradier, O; Schick, U; Visvikis, D; Hatt, M&lt;/Author&gt;&lt;Year&gt;2020&lt;/Year&gt;&lt;Details&gt;&lt;_accessed&gt;64304293&lt;/_accessed&gt;&lt;_accession_num&gt;32581221&lt;/_accession_num&gt;&lt;_author_adr&gt;INSERM, UMR 1101, LaTIM, University of Brest, Brest, France. ronrickarnaiz@gmail.com.; INSERM, UMR 1101, LaTIM, University of Brest, Brest, France.; Department of Radiation Oncology, Institut de cancerologie de l&amp;apos;Ouest Rene-Gauducheau, Saint-Herblain, France.; INSERM, UMR 1101, LaTIM, University of Brest, Brest, France.; Radiation Oncology Department, University Hospital, Brest, France.; Department of Radiation Oncology, Institut de cancerologie de l&amp;apos;Ouest Rene-Gauducheau, Saint-Herblain, France.; Department of Nuclear Medicine, University of Brest, Brest, France.; Department of Radiation Oncology, McGill University Health Centre, Montreal, Quebec, Canada.; Department of Nuclear Medicine, Institut de cancerologie de l&amp;apos;Ouest Rene-Gauducheau, Saint-Herblain, France.; CRCINA, University of Nantes, INSERM UMR1232, CNRS-ERL6001, Nantes, France.; Department of Radiation Oncology, Institut de cancerologie de l&amp;apos;Ouest Rene-Gauducheau, Saint-Herblain, France.; Department of Radiology, McGill University Health Centre, Montreal, Canada.; Radiotherapy Department Cancer, Institute Eugene Marquis, Rennes, France.; University of Rennes 1, LTSI, Rennes, France.; Radiotherapy Department Cancer, Institute Eugene Marquis, Rennes, France.; University of Rennes 1, LTSI, Rennes, France.; Department of Medical Oncology, Centre Hospitalier de Vendee, La Roche sur Yon, France.; INSERM, UMR 1101, LaTIM, University of Brest, Brest, France.; Radiation Oncology Department, University Hospital, Brest, France.; INSERM, UMR 1101, LaTIM, University of Brest, Brest, France.; Radiation Oncology Department, University Hospital, Brest, France.; INSERM, UMR 1101, LaTIM, University of Brest, Brest, France.; INSERM, UMR 1101, LaTIM, University of Brest, Brest, France.&lt;/_author_adr&gt;&lt;_created&gt;64302464&lt;/_created&gt;&lt;_date&gt;2020-06-24&lt;/_date&gt;&lt;_date_display&gt;2020 Jun 24&lt;/_date_display&gt;&lt;_db_updated&gt;PubMed&lt;/_db_updated&gt;&lt;_doi&gt;10.1038/s41598-020-66110-w&lt;/_doi&gt;&lt;_impact_factor&gt;   4.380&lt;/_impact_factor&gt;&lt;_isbn&gt;2045-2322 (Electronic); 2045-2322 (Linking)&lt;/_isbn&gt;&lt;_issue&gt;1&lt;/_issue&gt;&lt;_journal&gt;Sci Rep&lt;/_journal&gt;&lt;_language&gt;eng&lt;/_language&gt;&lt;_modified&gt;64304293&lt;/_modified&gt;&lt;_pages&gt;10248&lt;/_pages&gt;&lt;_subject_headings&gt;Female; Humans; Laryngeal Neoplasms/*diagnostic imaging; Machine Learning; Magnetic Resonance Imaging; Multicenter Studies as Topic; Positron-Emission Tomography; Prognosis; Radiographic Image Interpretation, Computer-Assisted/*methods; Uterine Cervical Neoplasms/*diagnostic imaging&lt;/_subject_headings&gt;&lt;_tertiary_title&gt;Scientific reports&lt;/_tertiary_title&gt;&lt;_type_work&gt;Comparative Study; Journal Article; Research Support, Non-U.S. Gov&amp;apos;t&lt;/_type_work&gt;&lt;_url&gt;http://www.ncbi.nlm.nih.gov/entrez/query.fcgi?cmd=Retrieve&amp;amp;db=pubmed&amp;amp;dopt=Abstract&amp;amp;list_uids=32581221&amp;amp;query_hl=1&lt;/_url&gt;&lt;_volume&gt;10&lt;/_volume&gt;&lt;/Details&gt;&lt;Extra&gt;&lt;DBUID&gt;{F96A950B-833F-4880-A151-76DA2D6A2879}&lt;/DBUID&gt;&lt;/Extra&gt;&lt;/Item&gt;&lt;/References&gt;&lt;/Group&gt;&lt;/Citation&gt;_x000a_"/>
    <w:docVar w:name="NE.Ref{686D5A06-9FC2-4E36-9C80-4B7437DE93AE}" w:val=" ADDIN NE.Ref.{686D5A06-9FC2-4E36-9C80-4B7437DE93AE}&lt;Citation&gt;&lt;Group&gt;&lt;References&gt;&lt;Item&gt;&lt;ID&gt;565&lt;/ID&gt;&lt;UID&gt;{2BEFD272-D22A-4303-9DCC-C95DF8CA8FC0}&lt;/UID&gt;&lt;Title&gt;Predicting EGFR mutation status in lung cancer:Proposal for a scoring model using imaging and demographic characteristics&lt;/Title&gt;&lt;Template&gt;Journal Article&lt;/Template&gt;&lt;Star&gt;0&lt;/Star&gt;&lt;Tag&gt;0&lt;/Tag&gt;&lt;Author&gt;Sabri, A; Batool, M; Xu, Z; Bethune, D; Abdolell, M; Manos, D&lt;/Author&gt;&lt;Year&gt;2016&lt;/Year&gt;&lt;Details&gt;&lt;_accessed&gt;64331206&lt;/_accessed&gt;&lt;_accession_num&gt;27027313&lt;/_accession_num&gt;&lt;_author_adr&gt;Department of Diagnostic Radiology, Dalhousie University, Victoria Building, room 307, 1276 South Park Street, PO BOX 9000, Halifax, Nova Scotia, B3H 2Y9, Canada.  sabri.ali@gmail.com.; Halifax Infirmary, Room 3510, 1796 Summer Street, Halifax, NS, Canada. sabri.ali@gmail.com.; Department of Diagnostic Radiology, Dalhousie University, Victoria Building, room 307, 1276 South Park Street, PO BOX 9000, Halifax, Nova Scotia, B3H 2Y9, Canada.; Department of Pathology, Dalhousie University, Halifax, Nova Scotia, Canada.; Department of Surgery, Dalhousie University, QEII Health Sciences center, Halifax, Nova Scotia, Canada.; Department of Diagnostic Radiology, Dalhousie University, Victoria Building, room 307, 1276 South Park Street, PO BOX 9000, Halifax, Nova Scotia, B3H 2Y9, Canada.; Department of Diagnostic Radiology, Dalhousie University, Victoria Building, room 307, 1276 South Park Street, PO BOX 9000, Halifax, Nova Scotia, B3H 2Y9, Canada.&lt;/_author_adr&gt;&lt;_collection_scope&gt;SCI;SCIE&lt;/_collection_scope&gt;&lt;_created&gt;64298842&lt;/_created&gt;&lt;_date&gt;2016-11-01&lt;/_date&gt;&lt;_date_display&gt;2016 Nov&lt;/_date_display&gt;&lt;_db_updated&gt;PubMed&lt;/_db_updated&gt;&lt;_doi&gt;10.1007/s00330-016-4252-3&lt;/_doi&gt;&lt;_impact_factor&gt;   5.315&lt;/_impact_factor&gt;&lt;_isbn&gt;1432-1084 (Electronic); 0938-7994 (Linking)&lt;/_isbn&gt;&lt;_issue&gt;11&lt;/_issue&gt;&lt;_journal&gt;Eur Radiol&lt;/_journal&gt;&lt;_keywords&gt;Adenocarcinoma; EGFR; Gene mutation; Lung cancer; Scoring model&lt;/_keywords&gt;&lt;_language&gt;eng&lt;/_language&gt;&lt;_modified&gt;64331206&lt;/_modified&gt;&lt;_pages&gt;4141-4147&lt;/_pages&gt;&lt;_subject_headings&gt;Adult; Aged; Carcinoma, Non-Small-Cell Lung/*genetics/pathology; Demography; ErbB Receptors/*genetics; Female; Humans; Lung Neoplasms/*genetics/pathology; Male; Middle Aged; Mutation/*genetics; Reproducibility of Results; Retrospective Studies&lt;/_subject_headings&gt;&lt;_tertiary_title&gt;European radiology&lt;/_tertiary_title&gt;&lt;_type_work&gt;Journal Article&lt;/_type_work&gt;&lt;_url&gt;http://www.ncbi.nlm.nih.gov/entrez/query.fcgi?cmd=Retrieve&amp;amp;db=pubmed&amp;amp;dopt=Abstract&amp;amp;list_uids=27027313&amp;amp;query_hl=1&lt;/_url&gt;&lt;_volume&gt;26&lt;/_volume&gt;&lt;/Details&gt;&lt;Extra&gt;&lt;DBUID&gt;{F96A950B-833F-4880-A151-76DA2D6A2879}&lt;/DBUID&gt;&lt;/Extra&gt;&lt;/Item&gt;&lt;/References&gt;&lt;/Group&gt;&lt;/Citation&gt;_x000a_"/>
    <w:docVar w:name="NE.Ref{71310E2E-F483-455C-87C8-8B36A8105405}" w:val=" ADDIN NE.Ref.{71310E2E-F483-455C-87C8-8B36A8105405}&lt;Citation&gt;&lt;Group&gt;&lt;References&gt;&lt;Item&gt;&lt;ID&gt;527&lt;/ID&gt;&lt;UID&gt;{FED4B3BE-3D97-4E67-88F1-67C45ACCCD2E}&lt;/UID&gt;&lt;Title&gt;Identifying activating mutations in the EGFR gene: prognostic and therapeutic implications in non-small cell lung cancer&lt;/Title&gt;&lt;Template&gt;Journal Article&lt;/Template&gt;&lt;Star&gt;0&lt;/Star&gt;&lt;Tag&gt;0&lt;/Tag&gt;&lt;Author&gt;Lopes, G L; Vattimo, E F; Castro, Junior Gd&lt;/Author&gt;&lt;Year&gt;2015&lt;/Year&gt;&lt;Details&gt;&lt;_accession_num&gt;26398757&lt;/_accession_num&gt;&lt;_author_adr&gt;Hospital Sirio-Libanes, Sao Paulo, SP, BR.; Faculdade de Medicina, Universidade de Sao Paulo, Sao Paulo, SP, BR.; Faculdade de Medicina, Universidade de Sao Paulo, Sao Paulo, SP, BR.&lt;/_author_adr&gt;&lt;_collection_scope&gt;SCIE&lt;/_collection_scope&gt;&lt;_created&gt;64298724&lt;/_created&gt;&lt;_date&gt;2015-07-01&lt;/_date&gt;&lt;_date_display&gt;2015 Jul-Aug&lt;/_date_display&gt;&lt;_db_updated&gt;PubMed&lt;/_db_updated&gt;&lt;_doi&gt;10.1590/S1806-37132015000004531&lt;/_doi&gt;&lt;_impact_factor&gt;   2.624&lt;/_impact_factor&gt;&lt;_isbn&gt;1806-3756 (Electronic); 1806-3713 (Linking)&lt;/_isbn&gt;&lt;_issue&gt;4&lt;/_issue&gt;&lt;_journal&gt;J Bras Pneumol&lt;/_journal&gt;&lt;_language&gt;eng; por&lt;/_language&gt;&lt;_modified&gt;64298724&lt;/_modified&gt;&lt;_pages&gt;365-75&lt;/_pages&gt;&lt;_subject_headings&gt;Afatinib; Antineoplastic Agents/*therapeutic use; Carcinoma, Non-Small-Cell Lung/drug therapy/*genetics; Disease-Free Survival; ErbB Receptors/antagonists &amp;amp; inhibitors; Erlotinib Hydrochloride/therapeutic use; Gefitinib; Gene Deletion; *Genes, erbB-1; Genetic Markers; Humans; Lung Neoplasms/drug therapy/*genetics; *Mutation; Prognosis; Quinazolines/therapeutic use; Randomized Controlled Trials as Topic; Sequence Analysis, DNA&lt;/_subject_headings&gt;&lt;_tertiary_title&gt;Jornal brasileiro de pneumologia : publicacao oficial da Sociedade Brasileira de _x000d__x000a_      Pneumologia e Tisilogia&lt;/_tertiary_title&gt;&lt;_type_work&gt;Journal Article; Review&lt;/_type_work&gt;&lt;_url&gt;http://www.ncbi.nlm.nih.gov/entrez/query.fcgi?cmd=Retrieve&amp;amp;db=pubmed&amp;amp;dopt=Abstract&amp;amp;list_uids=26398757&amp;amp;query_hl=1&lt;/_url&gt;&lt;_volume&gt;41&lt;/_volume&gt;&lt;/Details&gt;&lt;Extra&gt;&lt;DBUID&gt;{F96A950B-833F-4880-A151-76DA2D6A2879}&lt;/DBUID&gt;&lt;/Extra&gt;&lt;/Item&gt;&lt;/References&gt;&lt;/Group&gt;&lt;Group&gt;&lt;References&gt;&lt;Item&gt;&lt;ID&gt;522&lt;/ID&gt;&lt;UID&gt;{926E207D-4733-42BA-BF68-23A1684243BE}&lt;/UID&gt;&lt;Title&gt;NCCN Guidelines Insights: Non-Small Cell Lung Cancer, Version 1.2020&lt;/Title&gt;&lt;Template&gt;Journal Article&lt;/Template&gt;&lt;Star&gt;0&lt;/Star&gt;&lt;Tag&gt;0&lt;/Tag&gt;&lt;Author&gt;Ettinger, D S; Wood, D E; Aggarwal, C; Aisner, D L; Akerley, W; Bauman, J R; Bharat, A; Bruno, D S; Chang, J Y; Chirieac, L R; D&amp;apos;Amico, T A; Dilling, T J; Dobelbower, M; Gettinger, S; Govindan, R; Gubens, M A; Hennon, M; Horn, L; Lackner, R P; Lanuti, M; Leal, T A; Lin, J; Loo, BW Jr; Martins, R G; Otterson, G A; Patel, S P; Reckamp, K L; Riely, G J; Schild, S E; Shapiro, T A; Stevenson, J; Swanson, S J; Tauer, K W; Yang, S C; Gregory, K; Hughes, M&lt;/Author&gt;&lt;Year&gt;2019&lt;/Year&gt;&lt;Details&gt;&lt;_accessed&gt;64455246&lt;/_accessed&gt;&lt;_accession_num&gt;31805526&lt;/_accession_num&gt;&lt;_author_adr&gt;1The Sidney Kimmel Comprehensive Cancer Center at Johns Hopkins.; 2University of Washington/Seattle Cancer Care Alliance.; 3Abramson Cancer Center at the University of Pennsylvania.; 4University of Colorado Cancer Center.; 5Huntsman Cancer Institute at the University of Utah.; 6Fox Chase Cancer Center.; 7Robert H. Lurie Comprehensive Cancer Center of Northwestern University.; 8Case Comprehensive Cancer Center/University Hospitals Seidman Cancer Center and  Cleveland Clinic Taussig Cancer Institute.; 9The University of Texas MD Anderson Cancer Center.; 10Dana-Farber/Brigham and Women&amp;apos;s Cancer Center.; 11Duke Cancer Institute.; 12Moffitt Cancer Center.; 13O&amp;apos;Neal Comprehensive Cancer Center at UAB.; 14Yale Cancer Center/Smilow Cancer Hospital.; 15Siteman Cancer Center at Barnes-Jewish Hospital and Washington University School of Medicine.; 16UCSF Helen Diller Family Comprehensive Cancer Center.; 17Roswell Park Comprehensive Cancer Institute.; 18Vanderbilt-Ingram Cancer Center.; 19Fred &amp;amp; Pamela Buffett Cancer Center.; 20Massachusetts General Hospital Cancer Center.; 21University of Wisconsin Carbone Cancer Center.; 22University of Michigan Rogel Cancer Center.; 23Stanford Cancer Institute.; 2University of Washington/Seattle Cancer Care Alliance.; 24The Ohio State University Comprehensive Cancer Center - James Cancer Hospital and Solove Research Institute.; 25UC San Diego Moores Cancer Center.; 26City of Hope National Medical Center.; 27Memorial Sloan Kettering Cancer Center.; 28Mayo Clinic Cancer Center.; 1The Sidney Kimmel Comprehensive Cancer Center at Johns Hopkins.; 8Case Comprehensive Cancer Center/University Hospitals Seidman Cancer Center and  Cleveland Clinic Taussig Cancer Institute.; 10Dana-Farber/Brigham and Women&amp;apos;s Cancer Center.; 29St. Jude Children&amp;apos;s Research Hospital/The University of Tennessee Health Science Center; and.; 1The Sidney Kimmel Comprehensive Cancer Center at Johns Hopkins.; 30National Comprehensive Cancer Network.; 30National Comprehensive Cancer Network.&lt;/_author_adr&gt;&lt;_created&gt;64298708&lt;/_created&gt;&lt;_date&gt;2019-12-01&lt;/_date&gt;&lt;_date_display&gt;2019 Dec&lt;/_date_display&gt;&lt;_db_updated&gt;PubMed&lt;/_db_updated&gt;&lt;_doi&gt;10.6004/jnccn.2019.0059&lt;/_doi&gt;&lt;_impact_factor&gt;  11.908&lt;/_impact_factor&gt;&lt;_isbn&gt;1540-1413 (Electronic); 1540-1405 (Linking)&lt;/_isbn&gt;&lt;_issue&gt;12&lt;/_issue&gt;&lt;_journal&gt;J Natl Compr Canc Netw&lt;/_journal&gt;&lt;_language&gt;eng&lt;/_language&gt;&lt;_modified&gt;64455246&lt;/_modified&gt;&lt;_pages&gt;1464-1472&lt;/_pages&gt;&lt;_subject_headings&gt;Antineoplastic Agents/*therapeutic use; Carcinoma, Non-Small-Cell Lung/*drug therapy/immunology/pathology; Humans; Immunotherapy/*methods; Lung Neoplasms/*drug therapy/immunology/pathology; Practice Guidelines as Topic/*standards&lt;/_subject_headings&gt;&lt;_tertiary_title&gt;Journal of the National Comprehensive Cancer Network : JNCCN&lt;/_tertiary_title&gt;&lt;_type_work&gt;Journal Article&lt;/_type_work&gt;&lt;_url&gt;http://www.ncbi.nlm.nih.gov/entrez/query.fcgi?cmd=Retrieve&amp;amp;db=pubmed&amp;amp;dopt=Abstract&amp;amp;list_uids=31805526&amp;amp;query_hl=1&lt;/_url&gt;&lt;_volume&gt;17&lt;/_volume&gt;&lt;/Details&gt;&lt;Extra&gt;&lt;DBUID&gt;{F96A950B-833F-4880-A151-76DA2D6A2879}&lt;/DBUID&gt;&lt;/Extra&gt;&lt;/Item&gt;&lt;/References&gt;&lt;/Group&gt;&lt;Group&gt;&lt;References&gt;&lt;Item&gt;&lt;ID&gt;521&lt;/ID&gt;&lt;UID&gt;{C77BE5F4-7DD6-423F-8609-4358F0FA2C93}&lt;/UID&gt;&lt;Title&gt;Impact of Specific Epidermal Growth Factor Receptor (EGFR) Mutations and Clinical Characteristics on Outcomes After Treatment With EGFR Tyrosine Kinase Inhibitors  Versus Chemotherapy in EGFR-Mutant Lung Cancer: A Meta-Analysis&lt;/Title&gt;&lt;Template&gt;Journal Article&lt;/Template&gt;&lt;Star&gt;0&lt;/Star&gt;&lt;Tag&gt;0&lt;/Tag&gt;&lt;Author&gt;Lee, C K; Wu, Y L; Ding, P N; Lord, S J; Inoue, A; Zhou, C; Mitsudomi, T; Rosell, R; Pavlakis, N; Links, M; Gebski, V; Gralla, R J; Yang, J C&lt;/Author&gt;&lt;Year&gt;2015&lt;/Year&gt;&lt;Details&gt;&lt;_accession_num&gt;25897154&lt;/_accession_num&gt;&lt;_author_adr&gt;Chee Khoon Lee, Pei Ni Ding, Sarah J. Lord, and Val Gebski, National Health and Medical Research Council Clinical Trials Centre, The University of Sydney; Chee Khoon Lee and Matthew Links, Cancer Care Centre, St George Hospital; Pei Ni Ding, Liverpool Hospital; Sarah J. Lord, School of Medicine, The University of Notre Dame; Nick Pavlakis, Royal North Shore Hospital, Sydney, Australia; Yi-Long Wu, Guangdong Lung Cancer Institute, Guangdong General Hospital and Guangdong Academy of Medical Sciences, Guangdong; Caicun Zhou, Shanghai Pulmonary Hospital, School  of Medicine, Tongji University, Shanghai, China; Akira Inoue, Tohoku University Hospital, Sendai; Tetsuya Mitsudomi, Kinki University School of Medicine, Osaka-Sayama, Japan; Rafael Rosell, Catalan Institute of Oncology, Germans Trias  i Pujol Health Sciences Institute and Hospital, Barcelona, Spain; Richard J. Gralla, Albert Einstein College of Medicine, Jacobi Medical Center, Bronx, NY; James Chih-Hsin Yang, Graduate Institute of Oncology, National Taiwan University, and National Taiwan University Hospital, Taipei, Taiwan.; Chee Khoon Lee, Pei Ni Ding, Sarah J. Lord, and Val Gebski, National Health and Medical Research Council Clinical Trials Centre, The University of Sydney; Chee Khoon Lee and Matthew Links, Cancer Care Centre, St George Hospital; Pei Ni Ding, Liverpool Hospital; Sarah J. Lord, School of Medicine, The University of Notre Dame; Nick Pavlakis, Royal North Shore Hospital, Sydney, Australia; Yi-Long Wu, Guangdong Lung Cancer Institute, Guangdong General Hospital and Guangdong Academy of Medical Sciences, Guangdong; Caicun Zhou, Shanghai Pulmonary Hospital, School  of Medicine, Tongji University, Shanghai, China; Akira Inoue, Tohoku University Hospital, Sendai; Tetsuya Mitsudomi, Kinki University School of Medicine, Osaka-Sayama, Japan; Rafael Rosell, Catalan Institute of Oncology, Germans Trias  i Pujol Health Sciences Institute and Hospital, Barcelona, Spain; Richard J. Gralla, Albert Einstein College of Medicine, Jacobi Medical Center, Bronx, NY; James Chih-Hsin Yang, Graduate Institute of Oncology, National Taiwan University, and National Taiwan University Hospital, Taipei, Taiwan.; Chee Khoon Lee, Pei Ni Ding, Sarah J. Lord, and Val Gebski, National Health and Medical Research Council Clinical Trials Centre, The University of Sydney; Chee Khoon Lee and Matthew Links, Cancer Care Centre, St George Hospital; Pei Ni Ding, Liverpool Hospital; Sarah J. Lord, School of Medicine, The University of Notre Dame; Nick Pavlakis, Royal North Shore Hospital, Sydney, Australia; Yi-Long Wu, Guangdong Lung Cancer Institute, Guangdong General Hospital and Guangdong Academy of Medical Sciences, Guangdong; Caicun Zhou, Shanghai Pulmonary Hospital, School  of Medicine, Tongji University, Shanghai, China; Akira Inoue, Tohoku University Hospital, Sendai; Tetsuya Mitsudomi, Kinki University School of Medicine, Osaka-Sayama, Japan; Rafael Rosell, Catalan Institute of Oncology, Germans Trias  i Pujol Health Sciences Institute and Hospital, Barcelona, Spain; Richard J. Gralla, Albert Einstein College of Medicine, Jacobi Medical Center, Bronx, NY; James Chih-Hsin Yang, Graduate Institute of Oncology, National Taiwan University, and National Taiwan University Hospital, Taipei, Taiwan.; Chee Khoon Lee, Pei Ni Ding, Sarah J. Lord, and Val Gebski, National Health and Medical Research Council Clinical Trials Centre, The University of Sydney; Chee Khoon Lee and Matthew Links, Cancer Care Centre, St George Hospital; Pei Ni Ding, Liverpool Hospital; Sarah J. Lord, School of Medicine, The University of Notre Dame; Nick Pavlakis, Royal North Shore Hospital, Sydney, Australia; Yi-Long Wu, Guangdong Lung Cancer Institute, Guangdong General Hospital and Guangdong Academy of Medical Sciences, Guangdong; Caicun Zhou, Shanghai Pulmonary Hospital, School  of Medicine, Tongji University, Shanghai, China; Akira Inoue, Tohoku University Hospital, Sendai; Tetsuya Mitsudomi, Kinki University School of Medicine, Osaka-Sayama, Japan; Rafael Rosell, Catalan Institute of Oncology, Germans Trias  i Pujol Health Sciences Institute and Hospital, Barcelona, Spain; Richard J. Gralla, Albert Einstein College of Medicine, Jacobi Medical Center, Bronx, NY; James Chih-Hsin Yang, Graduate Institute of Oncology, National Taiwan University, and National Taiwan University Hospital, Taipei, Taiwan.; Chee Khoon Lee, Pei Ni Ding, Sarah J. Lord, and Val Gebski, National Health and Medical Research Council Clinical Trials Centre, The University of Sydney; Chee Khoon Lee and Matthew Links, Cancer Care Centre, St George Hospital; Pei Ni Ding, Liverpool Hospital; Sarah J. Lord, School of Medicine, The University of Notre Dame; Nick Pavlakis, Royal North Shore Hospital, Sydney, Australia; Yi-Long Wu, Guangdong Lung Cancer Institute, Guangdong General Hospital and Guangdong Academy of Medical Sciences, Guangdong; Caicun Zhou, Shanghai Pulmonary Hospital, School  of Medicine, Tongji University, Shanghai, China; Akira Inoue, Tohoku University Hospital, Sendai; Tetsuya Mitsudomi, Kinki University School of Medicine, Osaka-Sayama, Japan; Rafael Rosell, Catalan Institute of Oncology, Germans Trias  i Pujol Health Sciences Institute and Hospital, Barcelona, Spain; Richard J. Gralla, Albert Einstein College of Medicine, Jacobi Medical Center, Bronx, NY; James Chih-Hsin Yang, Graduate Institute of Oncology, National Taiwan University, and National Taiwan University Hospital, Taipei, Taiwan.; Chee Khoon Lee, Pei Ni Ding, Sarah J. Lord, and Val Gebski, National Health and Medical Research Council Clinical Trials Centre, The University of Sydney; Chee Khoon Lee and Matthew Links, Cancer Care Centre, St George Hospital; Pei Ni Ding, Liverpool Hospital; Sarah J. Lord, School of Medicine, The University of Notre Dame; Nick Pavlakis, Royal North Shore Hospital, Sydney, Australia; Yi-Long Wu, Guangdong Lung Cancer Institute, Guangdong General Hospital and Guangdong Academy of Medical Sciences, Guangdong; Caicun Zhou, Shanghai Pulmonary Hospital, School  of Medicine, Tongji University, Shanghai, China; Akira Inoue, Tohoku University Hospital, Sendai; Tetsuya Mitsudomi, Kinki University School of Medicine, Osaka-Sayama, Japan; Rafael Rosell, Catalan Institute of Oncology, Germans Trias  i Pujol Health Sciences Institute and Hospital, Barcelona, Spain; Richard J. Gralla, Albert Einstein College of Medicine, Jacobi Medical Center, Bronx, NY; James Chih-Hsin Yang, Graduate Institute of Oncology, National Taiwan University, and National Taiwan University Hospital, Taipei, Taiwan.; Chee Khoon Lee, Pei Ni Ding, Sarah J. Lord, and Val Gebski, National Health and Medical Research Council Clinical Trials Centre, The University of Sydney; Chee Khoon Lee and Matthew Links, Cancer Care Centre, St George Hospital; Pei Ni Ding, Liverpool Hospital; Sarah J. Lord, School of Medicine, The University of Notre Dame; Nick Pavlakis, Royal North Shore Hospital, Sydney, Australia; Yi-Long Wu, Guangdong Lung Cancer Institute, Guangdong General Hospital and Guangdong Academy of Medical Sciences, Guangdong; Caicun Zhou, Shanghai Pulmonary Hospital, School  of Medicine, Tongji University, Shanghai, China; Akira Inoue, Tohoku University Hospital, Sendai; Tetsuya Mitsudomi, Kinki University School of Medicine, Osaka-Sayama, Japan; Rafael Rosell, Catalan Institute of Oncology, Germans Trias  i Pujol Health Sciences Institute and Hospital, Barcelona, Spain; Richard J. Gralla, Albert Einstein College of Medicine, Jacobi Medical Center, Bronx, NY; James Chih-Hsin Yang, Graduate Institute of Oncology, National Taiwan University, and National Taiwan University Hospital, Taipei, Taiwan.; Chee Khoon Lee, Pei Ni Ding, Sarah J. Lord, and Val Gebski, National Health and Medical Research Council Clinical Trials Centre, The University of Sydney; Chee Khoon Lee and Matthew Links, Cancer Care Centre, St George Hospital; Pei Ni Ding, Liverpool Hospital; Sarah J. Lord, School of Medicine, The University of Notre Dame; Nick Pavlakis, Royal North Shore Hospital, Sydney, Australia; Yi-Long Wu, Guangdong Lung Cancer Institute, Guangdong General Hospital and Guangdong Academy of Medical Sciences, Guangdong; Caicun Zhou, Shanghai Pulmonary Hospital, School  of Medicine, Tongji University, Shanghai, China; Akira Inoue, Tohoku University Hospital, Sendai; Tetsuya Mitsudomi, Kinki University School of Medicine, Osaka-Sayama, Japan; Rafael Rosell, Catalan Institute of Oncology, Germans Trias  i Pujol Health Sciences Institute and Hospital, Barcelona, Spain; Richard J. Gralla, Albert Einstein College of Medicine, Jacobi Medical Center, Bronx, NY; James Chih-Hsin Yang, Graduate Institute of Oncology, National Taiwan University, and National Taiwan University Hospital, Taipei, Taiwan.; Chee Khoon Lee, Pei Ni Ding, Sarah J. Lord, and Val Gebski, National Health and Medical Research Council Clinical Trials Centre, The University of Sydney; Chee Khoon Lee and Matthew Links, Cancer Care Centre, St George Hospital; Pei Ni Ding, Liverpool Hospital; Sarah J. Lord, School of Medicine, The University of Notre Dame; Nick Pavlakis, Royal North Shore Hospital, Sydney, Australia; Yi-Long Wu, Guangdong Lung Cancer Institute, Guangdong General Hospital and Guangdong Academy of Medical Sciences, Guangdong; Caicun Zhou, Shanghai Pulmonary Hospital, School  of Medicine, Tongji University, Shanghai, China; Akira Inoue, Tohoku University Hospital, Sendai; Tetsuya Mitsudomi, Kinki University School of Medicine, Osaka-Sayama, Japan; Rafael Rosell, Catalan Institute of Oncology, Germans Trias  i Pujol Health Sciences Institute and Hospital, Barcelona, Spain; Richard J. Gralla, Albert Einstein College of Medicine, Jacobi Medical Center, Bronx, NY; James Chih-Hsin Yang, Graduate Institute of Oncology, National Taiwan University, and National Taiwan University Hospital, Taipei, Taiwan.; Chee Khoon Lee, Pei Ni Ding, Sarah J. Lord, and Val Gebski, National Health and Medical Research Council Clinical Trials Centre, The University of Sydney; Chee Khoon Lee and Matthew Links, Cancer Care Centre, St George Hospital; Pei Ni Ding, Liverpool Hospital; Sarah J. Lord, School of Medicine, The University of Notre Dame; Nick Pavlakis, Royal North Shore Hospital, Sydney, Australia; Yi-Long Wu, Guangdong Lung Cancer Institute, Guangdong General Hospital and Guangdong Academy of Medical Sciences, Guangdong; Caicun Zhou, Shanghai Pulmonary Hospital, School  of Medicine, Tongji University, Shanghai, China; Akira Inoue, Tohoku University Hospital, Sendai; Tetsuya Mitsudomi, Kinki University School of Medicine, Osaka-Sayama, Japan; Rafael Rosell, Catalan Institute of Oncology, Germans Trias  i Pujol Health Sciences Institute and Hospital, Barcelona, Spain; Richard J. Gralla, Albert Einstein College of Medicine, Jacobi Medical Center, Bronx, NY; James Chih-Hsin Yang, Graduate Institute of Oncology, National Taiwan University, and National Taiwan University Hospital, Taipei, Taiwan.; Chee Khoon Lee, Pei Ni Ding, Sarah J. Lord, and Val Gebski, National Health and Medical Research Council Clinical Trials Centre, The University of Sydney; Chee Khoon Lee and Matthew Links, Cancer Care Centre, St George Hospital; Pei Ni Ding, Liverpool Hospital; Sarah J. Lord, School of Medicine, The University of Notre Dame; Nick Pavlakis, Royal North Shore Hospital, Sydney, Australia; Yi-Long Wu, Guangdong Lung Cancer Institute, Guangdong General Hospital and Guangdong Academy of Medical Sciences, Guangdong; Caicun Zhou, Shanghai Pulmonary Hospital, School  of Medicine, Tongji University, Shanghai, China; Akira Inoue, Tohoku University Hospital, Sendai; Tetsuya Mitsudomi, Kinki University School of Medicine, Osaka-Sayama, Japan; Rafael Rosell, Catalan Institute of Oncology, Germans Trias  i Pujol Health Sciences Institute and Hospital, Barcelona, Spain; Richard J. Gralla, Albert Einstein College of Medicine, Jacobi Medical Center, Bronx, NY; James Chih-Hsin Yang, Graduate Institute of Oncology, National Taiwan University, and National Taiwan University Hospital, Taipei, Taiwan.; Chee Khoon Lee, Pei Ni Ding, Sarah J. Lord, and Val Gebski, National Health and Medical Research Council Clinical Trials Centre, The University of Sydney; Chee Khoon Lee and Matthew Links, Cancer Care Centre, St George Hospital; Pei Ni Ding, Liverpool Hospital; Sarah J. Lord, School of Medicine, The University of Notre Dame; Nick Pavlakis, Royal North Shore Hospital, Sydney, Australia; Yi-Long Wu, Guangdong Lung Cancer Institute, Guangdong General Hospital and Guangdong Academy of Medical Sciences, Guangdong; Caicun Zhou, Shanghai Pulmonary Hospital, School  of Medicine, Tongji University, Shanghai, China; Akira Inoue, Tohoku University Hospital, Sendai; Tetsuya Mitsudomi, Kinki University School of Medicine, Osaka-Sayama, Japan; Rafael Rosell, Catalan Institute of Oncology, Germans Trias  i Pujol Health Sciences Institute and Hospital, Barcelona, Spain; Richard J. Gralla, Albert Einstein College of Medicine, Jacobi Medical Center, Bronx, NY; James Chih-Hsin Yang, Graduate Institute of Oncology, National Taiwan University, and National Taiwan University Hospital, Taipei, Taiwan.; Chee Khoon Lee, Pei Ni Ding, Sarah J. Lord, and Val Gebski, National Health and Medical Research Council Clinical Trials Centre, The University of Sydney; Chee Khoon Lee and Matthew Links, Cancer Care Centre, St George Hospital; Pei Ni Ding, Liverpool Hospital; Sarah J. Lord, School of Medicine, The University of Notre Dame; Nick Pavlakis, Royal North Shore Hospital, Sydney, Australia; Yi-Long Wu, Guangdong Lung Cancer Institute, Guangdong General Hospital and Guangdong Academy of Medical Sciences, Guangdong; Caicun Zhou, Shanghai Pulmonary Hospital, School  of Medicine, Tongji University, Shanghai, China; Akira Inoue, Tohoku University Hospital, Sendai; Tetsuya Mitsudomi, Kinki University School of Medicine, Osaka-Sayama, Japan; Rafael Rosell, Catalan Institute of Oncology, Germans Trias  i Pujol Health Sciences Institute and Hospital, Barcelona, Spain; Richard J. Gralla, Albert Einstein College of Medicine, Jacobi Medical Center, Bronx, NY; James Chih-Hsin Yang, Graduate Institute of Oncology, National Taiwan University, and National Taiwan University Hospital, Taipei, Taiwan. chihyang@ntu.edu.tw.&lt;/_author_adr&gt;&lt;_collection_scope&gt;SCI;SCIE&lt;/_collection_scope&gt;&lt;_created&gt;64298706&lt;/_created&gt;&lt;_date&gt;2015-06-10&lt;/_date&gt;&lt;_date_display&gt;2015 Jun 10&lt;/_date_display&gt;&lt;_db_updated&gt;PubMed&lt;/_db_updated&gt;&lt;_doi&gt;10.1200/JCO.2014.58.1736&lt;/_doi&gt;&lt;_impact_factor&gt;  44.544&lt;/_impact_factor&gt;&lt;_isbn&gt;1527-7755 (Electronic); 0732-183X (Linking)&lt;/_isbn&gt;&lt;_issue&gt;17&lt;/_issue&gt;&lt;_journal&gt;J Clin Oncol&lt;/_journal&gt;&lt;_language&gt;eng&lt;/_language&gt;&lt;_modified&gt;64298706&lt;/_modified&gt;&lt;_ori_publication&gt;(c) 2015 by American Society of Clinical Oncology.&lt;/_ori_publication&gt;&lt;_pages&gt;1958-65&lt;/_pages&gt;&lt;_subject_headings&gt;Antineoplastic Agents/*therapeutic use; Carcinoma, Non-Small-Cell Lung/*drug therapy/*genetics; Disease-Free Survival; Enzyme Inhibitors/*therapeutic use; ErbB Receptors/*genetics; Female; Humans; Lung Neoplasms/*drug therapy/*genetics; Male; Mutation; Odds Ratio; Protein-Tyrosine Kinases/*antagonists &amp;amp; inhibitors; Risk Factors; Smoking/adverse effects; Treatment Outcome&lt;/_subject_headings&gt;&lt;_tertiary_title&gt;Journal of clinical oncology : official journal of the American Society of_x000d__x000a_      Clinical Oncology&lt;/_tertiary_title&gt;&lt;_type_work&gt;Journal Article; Meta-Analysis&lt;/_type_work&gt;&lt;_url&gt;http://www.ncbi.nlm.nih.gov/entrez/query.fcgi?cmd=Retrieve&amp;amp;db=pubmed&amp;amp;dopt=Abstract&amp;amp;list_uids=25897154&amp;amp;query_hl=1&lt;/_url&gt;&lt;_volume&gt;33&lt;/_volume&gt;&lt;/Details&gt;&lt;Extra&gt;&lt;DBUID&gt;{F96A950B-833F-4880-A151-76DA2D6A2879}&lt;/DBUID&gt;&lt;/Extra&gt;&lt;/Item&gt;&lt;/References&gt;&lt;/Group&gt;&lt;/Citation&gt;_x000a_"/>
    <w:docVar w:name="NE.Ref{7274BE4F-375D-4867-9414-8676151873B9}" w:val=" ADDIN NE.Ref.{7274BE4F-375D-4867-9414-8676151873B9}&lt;Citation&gt;&lt;Group&gt;&lt;References&gt;&lt;Item&gt;&lt;ID&gt;525&lt;/ID&gt;&lt;UID&gt;{D83AC54D-B37A-47AD-829B-68AC86BBC63B}&lt;/UID&gt;&lt;Title&gt;EGFR Exon 19 Deletion is Associated With Favorable Overall Survival After First-line Gefitinib Therapy in Advanced Non-Small Cell Lung Cancer Patients&lt;/Title&gt;&lt;Template&gt;Journal Article&lt;/Template&gt;&lt;Star&gt;0&lt;/Star&gt;&lt;Tag&gt;0&lt;/Tag&gt;&lt;Author&gt;Choi, Y W; Jeon, S Y; Jeong, G S; Lee, H W; Jeong, S H; Kang, S Y; Park, J S; Choi, J H; Koh, Y W; Han, J H; Sheen, S S&lt;/Author&gt;&lt;Year&gt;2018&lt;/Year&gt;&lt;Details&gt;&lt;_accession_num&gt;26967328&lt;/_accession_num&gt;&lt;_author_adr&gt;Department of Hematology-Oncology.; Department of Hematology-Oncology.; Department of Hematology-Oncology.; Department of Hematology-Oncology.; Department of Hematology-Oncology.; Department of Hematology-Oncology.; Department of Hematology-Oncology.; Department of Hematology-Oncology.; Department of Pathology.; Department of Pathology.; Department of Pulmonary and Critical Care Medicine, Ajou University School of Medicine, Suwon, Korea.&lt;/_author_adr&gt;&lt;_created&gt;64298718&lt;/_created&gt;&lt;_date&gt;2018-04-01&lt;/_date&gt;&lt;_date_display&gt;2018 Apr&lt;/_date_display&gt;&lt;_db_updated&gt;PubMed&lt;/_db_updated&gt;&lt;_doi&gt;10.1097/COC.0000000000000282&lt;/_doi&gt;&lt;_impact_factor&gt;   2.339&lt;/_impact_factor&gt;&lt;_isbn&gt;1537-453X (Electronic); 0277-3732 (Linking)&lt;/_isbn&gt;&lt;_issue&gt;4&lt;/_issue&gt;&lt;_journal&gt;Am J Clin Oncol&lt;/_journal&gt;&lt;_language&gt;eng&lt;/_language&gt;&lt;_modified&gt;64298718&lt;/_modified&gt;&lt;_pages&gt;385-390&lt;/_pages&gt;&lt;_subject_headings&gt;Adult; Aged; Aged, 80 and over; Antineoplastic Agents/therapeutic use; Carcinoma, Non-Small-Cell Lung/drug therapy/genetics/*mortality/pathology; ErbB Receptors/genetics; Exons/*genetics; Female; Follow-Up Studies; Gefitinib/*therapeutic use; Humans; Lung Neoplasms/drug therapy/genetics/mortality/pathology; Male; Middle Aged; *Mutation; Neoplasm Recurrence, Local/drug therapy/genetics/*mortality/pathology; Prognosis; Retrospective Studies; *Sequence Deletion; Survival Rate&lt;/_subject_headings&gt;&lt;_tertiary_title&gt;American journal of clinical oncology&lt;/_tertiary_title&gt;&lt;_type_work&gt;Journal Article&lt;/_type_work&gt;&lt;_url&gt;http://www.ncbi.nlm.nih.gov/entrez/query.fcgi?cmd=Retrieve&amp;amp;db=pubmed&amp;amp;dopt=Abstract&amp;amp;list_uids=26967328&amp;amp;query_hl=1&lt;/_url&gt;&lt;_volume&gt;41&lt;/_volume&gt;&lt;/Details&gt;&lt;Extra&gt;&lt;DBUID&gt;{F96A950B-833F-4880-A151-76DA2D6A2879}&lt;/DBUID&gt;&lt;/Extra&gt;&lt;/Item&gt;&lt;/References&gt;&lt;/Group&gt;&lt;Group&gt;&lt;References&gt;&lt;Item&gt;&lt;ID&gt;526&lt;/ID&gt;&lt;UID&gt;{0000130C-E312-425E-A693-2CAE3F1C8A5B}&lt;/UID&gt;&lt;Title&gt;Clinicoradiological features associated with epidermal growth factor receptor exon 19 and 21 mutation in lung adenocarcinoma&lt;/Title&gt;&lt;Template&gt;Journal Article&lt;/Template&gt;&lt;Star&gt;0&lt;/Star&gt;&lt;Tag&gt;0&lt;/Tag&gt;&lt;Author&gt;Zhao, F N; Zhao, Y Q; Han, L Z; Xie, Y S; Liu, Y; Ye, Z X&lt;/Author&gt;&lt;Year&gt;2019&lt;/Year&gt;&lt;Details&gt;&lt;_accession_num&gt;30591175&lt;/_accession_num&gt;&lt;_author_adr&gt;Department of Radiology, Tianjin Medical University Cancer Institute and Hospital, National Clinical Research Center, Key Laboratory of Cancer Prevention  and Therapy, Huanhuxi Road, Hexi District, Tianjin, 300060, China.; Department of Radiology, Tianjin Medical University Cancer Institute and Hospital, National Clinical Research Center, Key Laboratory of Cancer Prevention  and Therapy, Huanhuxi Road, Hexi District, Tianjin, 300060, China.; Department of Radiology, Tianjin Medical University Cancer Institute and Hospital, National Clinical Research Center, Key Laboratory of Cancer Prevention  and Therapy, Huanhuxi Road, Hexi District, Tianjin, 300060, China.; Department of Radiology, Tianjin Medical University Cancer Institute and Hospital, National Clinical Research Center, Key Laboratory of Cancer Prevention  and Therapy, Huanhuxi Road, Hexi District, Tianjin, 300060, China.; Department of Radiology, Tianjin Medical University Cancer Institute and Hospital, National Clinical Research Center, Key Laboratory of Cancer Prevention  and Therapy, Huanhuxi Road, Hexi District, Tianjin, 300060, China. Electronic address: tjliuying2009@163.com.; Department of Radiology, Tianjin Medical University Cancer Institute and Hospital, National Clinical Research Center, Key Laboratory of Cancer Prevention  and Therapy, Huanhuxi Road, Hexi District, Tianjin, 300060, China. Electronic address: yezhaoxiang@163.com.&lt;/_author_adr&gt;&lt;_collection_scope&gt;SCI;SCIE&lt;/_collection_scope&gt;&lt;_created&gt;64298722&lt;/_created&gt;&lt;_date&gt;2019-01-01&lt;/_date&gt;&lt;_date_display&gt;2019 Jan&lt;/_date_display&gt;&lt;_db_updated&gt;PubMed&lt;/_db_updated&gt;&lt;_doi&gt;10.1016/j.crad.2018.10.001&lt;/_doi&gt;&lt;_impact_factor&gt;   2.350&lt;/_impact_factor&gt;&lt;_isbn&gt;1365-229X (Electronic); 0009-9260 (Linking)&lt;/_isbn&gt;&lt;_issue&gt;1&lt;/_issue&gt;&lt;_journal&gt;Clin Radiol&lt;/_journal&gt;&lt;_language&gt;eng&lt;/_language&gt;&lt;_modified&gt;64298722&lt;/_modified&gt;&lt;_ori_publication&gt;Copyright (c) 2018 The Royal College of Radiologists. Published by Elsevier Ltd. _x000d__x000a_      All rights reserved.&lt;/_ori_publication&gt;&lt;_pages&gt;80.e7-80.e17&lt;/_pages&gt;&lt;_subject_headings&gt;Adenocarcinoma/*diagnostic imaging/genetics/pathology; ErbB Receptors/*genetics; Exons/genetics; Female; Humans; Lung/diagnostic imaging/pathology; Lung Neoplasms/*diagnostic imaging/genetics/pathology; Male; Middle Aged; Mutation/genetics; Retrospective Studies&lt;/_subject_headings&gt;&lt;_tertiary_title&gt;Clinical radiology&lt;/_tertiary_title&gt;&lt;_type_work&gt;Journal Article&lt;/_type_work&gt;&lt;_url&gt;http://www.ncbi.nlm.nih.gov/entrez/query.fcgi?cmd=Retrieve&amp;amp;db=pubmed&amp;amp;dopt=Abstract&amp;amp;list_uids=30591175&amp;amp;query_hl=1&lt;/_url&gt;&lt;_volume&gt;74&lt;/_volume&gt;&lt;/Details&gt;&lt;Extra&gt;&lt;DBUID&gt;{F96A950B-833F-4880-A151-76DA2D6A2879}&lt;/DBUID&gt;&lt;/Extra&gt;&lt;/Item&gt;&lt;/References&gt;&lt;/Group&gt;&lt;/Citation&gt;_x000a_"/>
    <w:docVar w:name="NE.Ref{742C8397-5357-4FD5-AD16-4AB11B49A06F}" w:val=" ADDIN NE.Ref.{742C8397-5357-4FD5-AD16-4AB11B49A06F} ADDIN NE.Ref.{742C8397-5357-4FD5-AD16-4AB11B49A06F}&lt;Citation&gt;&lt;Group&gt;&lt;References&gt;&lt;Item&gt;&lt;ID&gt;770&lt;/ID&gt;&lt;UID&gt;{A8834A41-62B5-46F2-A972-2DADA52D1F89}&lt;/UID&gt;&lt;Title&gt;Comparison of 2D and 3D Local Binary Pattern in Lung Cancer Diagnosis&lt;/Title&gt;&lt;Template&gt;Journal Article&lt;/Template&gt;&lt;Star&gt;0&lt;/Star&gt;&lt;Tag&gt;0&lt;/Tag&gt;&lt;Author&gt;Kohei, Arai; Yeni, Herdiyeni; Hiroshi, Okumura&lt;/Author&gt;&lt;Year&gt;2012&lt;/Year&gt;&lt;Details&gt;&lt;_accessed&gt;64533060&lt;/_accessed&gt;&lt;_created&gt;64485225&lt;/_created&gt;&lt;_date&gt;2012-06-15&lt;/_date&gt;&lt;_db_updated&gt;CNKI - Reference&lt;/_db_updated&gt;&lt;_issue&gt;4&lt;/_issue&gt;&lt;_journal&gt;International Journal of Advanced Computer Science and Applications&lt;/_journal&gt;&lt;_modified&gt;64533060&lt;/_modified&gt;&lt;_url&gt;https://kns.cnki.net/kcms/detail/detail.aspx?FileName=SJSI14121500000787&amp;amp;DbName=GARJ2012&lt;/_url&gt;&lt;_volume&gt;3&lt;/_volume&gt;&lt;/Details&gt;&lt;Extra&gt;&lt;DBUID&gt;{F96A950B-833F-4880-A151-76DA2D6A2879}&lt;/DBUID&gt;&lt;/Extra&gt;&lt;/Item&gt;&lt;/References&gt;&lt;/Group&gt;&lt;/Citation&gt;_x000a_"/>
    <w:docVar w:name="NE.Ref{748EB598-4CF4-4981-B9A8-B4D37D4B75FB}" w:val=" ADDIN NE.Ref.{748EB598-4CF4-4981-B9A8-B4D37D4B75FB}&lt;Citation&gt;&lt;Group&gt;&lt;References&gt;&lt;Item&gt;&lt;ID&gt;540&lt;/ID&gt;&lt;UID&gt;{24EE4979-DC6A-4E4C-9AA4-0A5D29D87B36}&lt;/UID&gt;&lt;Title&gt;Value of pre-therapy (18)F-FDG PET/CT radiomics in predicting EGFR mutation status in patients with non-small cell lung cancer&lt;/Title&gt;&lt;Template&gt;Journal Article&lt;/Template&gt;&lt;Star&gt;0&lt;/Star&gt;&lt;Tag&gt;0&lt;/Tag&gt;&lt;Author&gt;Zhang, J; Zhao, X; Zhao, Y; Zhang, J; Zhang, Z; Wang, J; Wang, Y; Dai, M; Han, J&lt;/Author&gt;&lt;Year&gt;2020&lt;/Year&gt;&lt;Details&gt;&lt;_accession_num&gt;31728587&lt;/_accession_num&gt;&lt;_author_adr&gt;Department of Nuclear Medicine, The Fourth Hospital of Hebei Medical University,  12 Jiankang Road, Shijiazhuang, 050011, Hebei, China.; Department of Nuclear Medicine, Baoding No. 1 Central Hospital, Baoding, 071000,  Hebei, China.; Department of Nuclear Medicine, The Fourth Hospital of Hebei Medical University,  12 Jiankang Road, Shijiazhuang, 050011, Hebei, China. xinm_zhao@163.com.; Department of Medical Oncology, The Fourth Hospital of Hebei Medical University,  Shijiazhuang, 050011, Hebei, China.; Department of Nuclear Medicine, The Fourth Hospital of Hebei Medical University,  12 Jiankang Road, Shijiazhuang, 050011, Hebei, China.; Department of Nuclear Medicine, The Fourth Hospital of Hebei Medical University,  12 Jiankang Road, Shijiazhuang, 050011, Hebei, China.; Department of Nuclear Medicine, The Fourth Hospital of Hebei Medical University,  12 Jiankang Road, Shijiazhuang, 050011, Hebei, China.; Department of Nuclear Medicine, The Fourth Hospital of Hebei Medical University,  12 Jiankang Road, Shijiazhuang, 050011, Hebei, China.; Department of Nuclear Medicine, The Fourth Hospital of Hebei Medical University,  12 Jiankang Road, Shijiazhuang, 050011, Hebei, China.; Department of Nuclear Medicine, The Fourth Hospital of Hebei Medical University,  12 Jiankang Road, Shijiazhuang, 050011, Hebei, China.&lt;/_author_adr&gt;&lt;_created&gt;64298751&lt;/_created&gt;&lt;_date&gt;2020-05-01&lt;/_date&gt;&lt;_date_display&gt;2020 May&lt;/_date_display&gt;&lt;_db_updated&gt;PubMed&lt;/_db_updated&gt;&lt;_doi&gt;10.1007/s00259-019-04592-1&lt;/_doi&gt;&lt;_impact_factor&gt;   9.236&lt;/_impact_factor&gt;&lt;_isbn&gt;1619-7089 (Electronic); 1619-7070 (Linking)&lt;/_isbn&gt;&lt;_issue&gt;5&lt;/_issue&gt;&lt;_journal&gt;Eur J Nucl Med Mol Imaging&lt;/_journal&gt;&lt;_keywords&gt;*18F-FDG; *Epidermal growth factor receptor; *Non-small cell lung cancer; *PET/CT; *Radiomics&lt;/_keywords&gt;&lt;_language&gt;eng&lt;/_language&gt;&lt;_modified&gt;64298751&lt;/_modified&gt;&lt;_pages&gt;1137-1146&lt;/_pages&gt;&lt;_subject_headings&gt;*Carcinoma, Non-Small-Cell Lung/diagnostic imaging/genetics; ErbB Receptors/genetics; Fluorodeoxyglucose F18; Humans; *Lung Neoplasms/diagnostic imaging/genetics; Mutation; Positron Emission Tomography Computed Tomography&lt;/_subject_headings&gt;&lt;_tertiary_title&gt;European journal of nuclear medicine and molecular imaging&lt;/_tertiary_title&gt;&lt;_type_work&gt;Journal Article; Research Support, Non-U.S. Gov&amp;apos;t&lt;/_type_work&gt;&lt;_url&gt;http://www.ncbi.nlm.nih.gov/entrez/query.fcgi?cmd=Retrieve&amp;amp;db=pubmed&amp;amp;dopt=Abstract&amp;amp;list_uids=31728587&amp;amp;query_hl=1&lt;/_url&gt;&lt;_volume&gt;47&lt;/_volume&gt;&lt;/Details&gt;&lt;Extra&gt;&lt;DBUID&gt;{F96A950B-833F-4880-A151-76DA2D6A2879}&lt;/DBUID&gt;&lt;/Extra&gt;&lt;/Item&gt;&lt;/References&gt;&lt;/Group&gt;&lt;Group&gt;&lt;References&gt;&lt;Item&gt;&lt;ID&gt;561&lt;/ID&gt;&lt;UID&gt;{FE1F2CC1-8883-4E33-89F1-FACEE5EA137F}&lt;/UID&gt;&lt;Title&gt;Radiomic Features Are Associated With EGFR Mutation Status in Lung Adenocarcinomas&lt;/Title&gt;&lt;Template&gt;Journal Article&lt;/Template&gt;&lt;Star&gt;0&lt;/Star&gt;&lt;Tag&gt;0&lt;/Tag&gt;&lt;Author&gt;Liu, Y; Kim, J; Balagurunathan, Y; Li, Q; Garcia, A L; Stringfield, O; Ye, Z; Gillies, R J&lt;/Author&gt;&lt;Year&gt;2016&lt;/Year&gt;&lt;Details&gt;&lt;_accessed&gt;64330461&lt;/_accessed&gt;&lt;_accession_num&gt;27017476&lt;/_accession_num&gt;&lt;_author_adr&gt;Department of Radiology, Tianjin Medical University Cancer Institute and Hospital, National Clinical Research Center of Cancer, Key Laboratory of Cancer Prevention and Therapy, Tianjin, PR China; Department of Cancer Imaging and Metabolism, H. Lee Moffitt Cancer Center and Research Institute, Tampa, FL.; Department of Biostatistics and Bioinformatics, H. Lee Moffitt Cancer Center and  Research Institute, Tampa, FL.; Department of Cancer Imaging and Metabolism, H. Lee Moffitt Cancer Center and Research Institute, Tampa, FL.; Department of Radiology, Tianjin Medical University Cancer Institute and Hospital, National Clinical Research Center of Cancer, Key Laboratory of Cancer Prevention and Therapy, Tianjin, PR China; Department of Cancer Imaging and Metabolism, H. Lee Moffitt Cancer Center and Research Institute, Tampa, FL.; Department of Cancer Imaging and Metabolism, H. Lee Moffitt Cancer Center and Research Institute, Tampa, FL.; Department of Cancer Imaging and Metabolism, H. Lee Moffitt Cancer Center and Research Institute, Tampa, FL.; Department of Radiology, Tianjin Medical University Cancer Institute and Hospital, National Clinical Research Center of Cancer, Key Laboratory of Cancer Prevention and Therapy, Tianjin, PR China. Electronic address: yezhaoxiang@163.com.; Department of Cancer Imaging and Metabolism, H. Lee Moffitt Cancer Center and Research Institute, Tampa, FL; Department of Radiology, H. Lee Moffitt Cancer Center and Research Institute, Tampa, FL. Electronic address: Robert.Gillies@moffitt.org.&lt;/_author_adr&gt;&lt;_collection_scope&gt;SCIE&lt;/_collection_scope&gt;&lt;_created&gt;64298836&lt;/_created&gt;&lt;_date&gt;2016-09-01&lt;/_date&gt;&lt;_date_display&gt;2016 Sep&lt;/_date_display&gt;&lt;_db_updated&gt;PubMed&lt;/_db_updated&gt;&lt;_doi&gt;10.1016/j.cllc.2016.02.001&lt;/_doi&gt;&lt;_impact_factor&gt;   4.785&lt;/_impact_factor&gt;&lt;_isbn&gt;1938-0690 (Electronic); 1525-7304 (Linking)&lt;/_isbn&gt;&lt;_issue&gt;5&lt;/_issue&gt;&lt;_journal&gt;Clin Lung Cancer&lt;/_journal&gt;&lt;_keywords&gt;*Epidermal growth factor receptor; *Logistic model; *Peripheral lung adenocarcinoma; *Tomography; *X-ray computed&lt;/_keywords&gt;&lt;_language&gt;eng&lt;/_language&gt;&lt;_modified&gt;64330461&lt;/_modified&gt;&lt;_ori_publication&gt;Copyright (c) 2016 The Authors. Published by Elsevier Inc. All rights reserved.&lt;/_ori_publication&gt;&lt;_pages&gt;441-448.e6&lt;/_pages&gt;&lt;_subject_headings&gt;Adenocarcinoma/*diagnostic imaging/genetics/surgery; Adenocarcinoma of Lung; Adult; Aged; Aged, 80 and over; Asians; ErbB Receptors/*genetics; Female; Humans; Logistic Models; Lung Neoplasms/*diagnostic imaging/genetics/surgery; Male; Middle Aged; Mutation; Predictive Value of Tests; Retrospective Studies; Sex Factors; Smoking/epidemiology; Tomography, X-Ray Computed/*methods&lt;/_subject_headings&gt;&lt;_tertiary_title&gt;Clinical lung cancer&lt;/_tertiary_title&gt;&lt;_type_work&gt;Journal Article&lt;/_type_work&gt;&lt;_url&gt;http://www.ncbi.nlm.nih.gov/entrez/query.fcgi?cmd=Retrieve&amp;amp;db=pubmed&amp;amp;dopt=Abstract&amp;amp;list_uids=27017476&amp;amp;query_hl=1&lt;/_url&gt;&lt;_volume&gt;17&lt;/_volume&gt;&lt;/Details&gt;&lt;Extra&gt;&lt;DBUID&gt;{F96A950B-833F-4880-A151-76DA2D6A2879}&lt;/DBUID&gt;&lt;/Extra&gt;&lt;/Item&gt;&lt;/References&gt;&lt;/Group&gt;&lt;Group&gt;&lt;References&gt;&lt;Item&gt;&lt;ID&gt;562&lt;/ID&gt;&lt;UID&gt;{2C6A5138-4784-4EE5-8D45-CD5F4598A49A}&lt;/UID&gt;&lt;Title&gt;Can CT radiomic analysis in NSCLC predict histology and EGFR mutation status?&lt;/Title&gt;&lt;Template&gt;Journal Article&lt;/Template&gt;&lt;Star&gt;0&lt;/Star&gt;&lt;Tag&gt;0&lt;/Tag&gt;&lt;Author&gt;Digumarthy, S R; Padole, A M; Gullo, R L; Sequist, L V; Kalra, M K&lt;/Author&gt;&lt;Year&gt;2019&lt;/Year&gt;&lt;Details&gt;&lt;_accession_num&gt;30608433&lt;/_accession_num&gt;&lt;_author_adr&gt;Department of Radiology.; Department of Radiology.; Department of Radiology, University of Milano, Milan, Italy.; Department of Medicine, Massachusetts General Hospital, Boston, MA.; Department of Radiology.&lt;/_author_adr&gt;&lt;_created&gt;64298837&lt;/_created&gt;&lt;_date&gt;2019-01-01&lt;/_date&gt;&lt;_date_display&gt;2019 Jan&lt;/_date_display&gt;&lt;_db_updated&gt;PubMed&lt;/_db_updated&gt;&lt;_doi&gt;10.1097/MD.0000000000013963&lt;/_doi&gt;&lt;_impact_factor&gt;   1.889&lt;/_impact_factor&gt;&lt;_isbn&gt;1536-5964 (Electronic); 0025-7974 (Linking)&lt;/_isbn&gt;&lt;_issue&gt;1&lt;/_issue&gt;&lt;_journal&gt;Medicine (Baltimore)&lt;/_journal&gt;&lt;_language&gt;eng&lt;/_language&gt;&lt;_modified&gt;64298837&lt;/_modified&gt;&lt;_pages&gt;e13963&lt;/_pages&gt;&lt;_subject_headings&gt;Adenocarcinoma of Lung/diagnostic imaging/pathology; Aged; Carcinoma, Non-Small-Cell Lung/*diagnostic imaging/*genetics/pathology; Entropy; ErbB Receptors/genetics; Female; Humans; Male; Middle Aged; Mutation/*genetics; Predictive Value of Tests; Retrospective Studies; Software; Tomography, X-Ray Computed/methods&lt;/_subject_headings&gt;&lt;_tertiary_title&gt;Medicine&lt;/_tertiary_title&gt;&lt;_type_work&gt;Journal Article&lt;/_type_work&gt;&lt;_url&gt;http://www.ncbi.nlm.nih.gov/entrez/query.fcgi?cmd=Retrieve&amp;amp;db=pubmed&amp;amp;dopt=Abstract&amp;amp;list_uids=30608433&amp;amp;query_hl=1&lt;/_url&gt;&lt;_volume&gt;98&lt;/_volume&gt;&lt;/Details&gt;&lt;Extra&gt;&lt;DBUID&gt;{F96A950B-833F-4880-A151-76DA2D6A2879}&lt;/DBUID&gt;&lt;/Extra&gt;&lt;/Item&gt;&lt;/References&gt;&lt;/Group&gt;&lt;Group&gt;&lt;References&gt;&lt;Item&gt;&lt;ID&gt;563&lt;/ID&gt;&lt;UID&gt;{6FAC0F1C-8C49-4815-A116-66D5035549A7}&lt;/UID&gt;&lt;Title&gt;CT and clinical characteristics that predict risk of EGFR mutation in non-small cell lung cancer: a systematic review and meta-analysis&lt;/Title&gt;&lt;Template&gt;Journal Article&lt;/Template&gt;&lt;Star&gt;0&lt;/Star&gt;&lt;Tag&gt;0&lt;/Tag&gt;&lt;Author&gt;Zhang, H; Cai, W; Wang, Y; Liao, M; Tian, S&lt;/Author&gt;&lt;Year&gt;2019&lt;/Year&gt;&lt;Details&gt;&lt;_accessed&gt;64307125&lt;/_accessed&gt;&lt;_accession_num&gt;30835006&lt;/_accession_num&gt;&lt;_author_adr&gt;Department of Radiology, Zhongnan Hospital of Wuhan University, No.169 Donghu Road, Wuchang District, Wuhan, 430071, Hubei, China.; Department of Radiology, Zhongnan Hospital of Wuhan University, No.169 Donghu Road, Wuchang District, Wuhan, 430071, Hubei, China.; Department of Radiology, Zhongnan Hospital of Wuhan University, No.169 Donghu Road, Wuchang District, Wuhan, 430071, Hubei, China.; Department of Radiology, Zhongnan Hospital of Wuhan University, No.169 Donghu Road, Wuchang District, Wuhan, 430071, Hubei, China. liaomy@whu.edu.cn.; Department of Pathology, Zhongnan Hospital of Wuhan University, Wuhan, China.&lt;/_author_adr&gt;&lt;_collection_scope&gt;SCIE&lt;/_collection_scope&gt;&lt;_created&gt;64298838&lt;/_created&gt;&lt;_date&gt;2019-06-01&lt;/_date&gt;&lt;_date_display&gt;2019 Jun&lt;/_date_display&gt;&lt;_db_updated&gt;PubMed&lt;/_db_updated&gt;&lt;_doi&gt;10.1007/s10147-019-01403-3&lt;/_doi&gt;&lt;_impact_factor&gt;   3.402&lt;/_impact_factor&gt;&lt;_isbn&gt;1437-7772 (Electronic); 1341-9625 (Linking)&lt;/_isbn&gt;&lt;_issue&gt;6&lt;/_issue&gt;&lt;_journal&gt;Int J Clin Oncol&lt;/_journal&gt;&lt;_keywords&gt;Epidermal growth factor receptor; Meta-analysis; Non-small cell lung carcinoma; Spiral computed tomography&lt;/_keywords&gt;&lt;_language&gt;eng&lt;/_language&gt;&lt;_modified&gt;64307125&lt;/_modified&gt;&lt;_pages&gt;649-659&lt;/_pages&gt;&lt;_subject_headings&gt;Carcinoma, Non-Small-Cell Lung/diagnostic imaging/*genetics/*pathology; ErbB Receptors/genetics; Humans; Lung Neoplasms/diagnostic imaging/*genetics/*pathology; *Mutation; ROC Curve; Tomography, X-Ray Computed/*methods&lt;/_subject_headings&gt;&lt;_tertiary_title&gt;International journal of clinical oncology&lt;/_tertiary_title&gt;&lt;_type_work&gt;Journal Article; Meta-Analysis; Systematic Review&lt;/_type_work&gt;&lt;_url&gt;http://www.ncbi.nlm.nih.gov/entrez/query.fcgi?cmd=Retrieve&amp;amp;db=pubmed&amp;amp;dopt=Abstract&amp;amp;list_uids=30835006&amp;amp;query_hl=1&lt;/_url&gt;&lt;_volume&gt;24&lt;/_volume&gt;&lt;/Details&gt;&lt;Extra&gt;&lt;DBUID&gt;{F96A950B-833F-4880-A151-76DA2D6A2879}&lt;/DBUID&gt;&lt;/Extra&gt;&lt;/Item&gt;&lt;/References&gt;&lt;/Group&gt;&lt;Group&gt;&lt;References&gt;&lt;Item&gt;&lt;ID&gt;564&lt;/ID&gt;&lt;UID&gt;{CD44FCF6-870B-40D3-8AAF-33AA79D41276}&lt;/UID&gt;&lt;Title&gt;CT Radiogenomic Characterization of EGFR, K-RAS, and ALK Mutations in Non-Small Cell Lung Cancer&lt;/Title&gt;&lt;Template&gt;Journal Article&lt;/Template&gt;&lt;Star&gt;0&lt;/Star&gt;&lt;Tag&gt;0&lt;/Tag&gt;&lt;Author&gt;Rizzo, S; Petrella, F; Buscarino, V; De Maria, F; Raimondi, S; Barberis, M; Fumagalli, C; Spitaleri, G; Rampinelli, C; De Marinis, F; Spaggiari, L; Bellomi, M&lt;/Author&gt;&lt;Year&gt;2016&lt;/Year&gt;&lt;Details&gt;&lt;_accessed&gt;64455326&lt;/_accessed&gt;&lt;_accession_num&gt;25956936&lt;/_accession_num&gt;&lt;_author_adr&gt;Department of Radiology, European Institute of Oncology, via Ripamonti 435, 20141, Milan, Italy. stefania.rizzo@ieo.it.; Department of Thoracic Surgery, European Institute of Oncology, via Ripamonti 435, 20141, Milan, Italy.; Department of Health Sciences, University of Milan, via A. di Rudini 8, 20142, Milan, Italy.; Department of Health Sciences, University of Milan, via A. di Rudini 8, 20142, Milan, Italy.; Department of Epidemiology and Biostatistics, European Institute of Oncology, via Ramusio, 1, 20141, Milan, Italy.; Department of Pathology, European Institute of Oncology, via Ripamonti 435, 20141, Milan, Italy.; Department of Pathology, European Institute of Oncology, via Ripamonti 435, 20141, Milan, Italy.; Department of Thoracic Oncology, European Institute of Oncology, via Ripamonti 435, 20141, Milan, Italy.; Department of Radiology, European Institute of Oncology, via Ripamonti 435, 20141, Milan, Italy.; Department of Thoracic Oncology, European Institute of Oncology, via Ripamonti 435, 20141, Milan, Italy.; Department of Thoracic Surgery, European Institute of Oncology, via Ripamonti 435, 20141, Milan, Italy.; Department of Radiology, European Institute of Oncology, via Ripamonti 435, 20141, Milan, Italy.; Department of Health Sciences, University of Milan, via A. di Rudini 8, 20142, Milan, Italy.&lt;/_author_adr&gt;&lt;_collection_scope&gt;SCI;SCIE&lt;/_collection_scope&gt;&lt;_created&gt;64298839&lt;/_created&gt;&lt;_date&gt;2016-01-01&lt;/_date&gt;&lt;_date_display&gt;2016 Jan&lt;/_date_display&gt;&lt;_db_updated&gt;PubMed&lt;/_db_updated&gt;&lt;_doi&gt;10.1007/s00330-015-3814-0&lt;/_doi&gt;&lt;_impact_factor&gt;   5.315&lt;/_impact_factor&gt;&lt;_isbn&gt;1432-1084 (Electronic); 0938-7994 (Linking)&lt;/_isbn&gt;&lt;_issue&gt;1&lt;/_issue&gt;&lt;_journal&gt;Eur Radiol&lt;/_journal&gt;&lt;_keywords&gt;Anaplastic lymphoma kinase (ALK); Computed Tomography (CT); Epidermal growth factor receptor (EFGR); Kirsten rat sarcoma (KRAS); Non-small cell lung carcinoma (NSCLC)&lt;/_keywords&gt;&lt;_language&gt;eng&lt;/_language&gt;&lt;_modified&gt;64455326&lt;/_modified&gt;&lt;_pages&gt;32-42&lt;/_pages&gt;&lt;_subject_headings&gt;Aged; Anaplastic Lymphoma Kinase; Carcinoma, Non-Small-Cell Lung/diagnostic imaging/*genetics; ErbB Receptors/*genetics; Female; Gene Rearrangement/genetics; Genes, ras/*genetics; Humans; Lung Neoplasms/diagnostic imaging/*genetics; Male; Mutation/*genetics; Pleural Effusion/diagnostic imaging/genetics; ROC Curve; Receptor Protein-Tyrosine Kinases/*genetics; Smoking/genetics; Tomography, X-Ray Computed&lt;/_subject_headings&gt;&lt;_tertiary_title&gt;European radiology&lt;/_tertiary_title&gt;&lt;_type_work&gt;Journal Article; Observational Study&lt;/_type_work&gt;&lt;_url&gt;http://www.ncbi.nlm.nih.gov/entrez/query.fcgi?cmd=Retrieve&amp;amp;db=pubmed&amp;amp;dopt=Abstract&amp;amp;list_uids=25956936&amp;amp;query_hl=1&lt;/_url&gt;&lt;_volume&gt;26&lt;/_volume&gt;&lt;/Details&gt;&lt;Extra&gt;&lt;DBUID&gt;{F96A950B-833F-4880-A151-76DA2D6A2879}&lt;/DBUID&gt;&lt;/Extra&gt;&lt;/Item&gt;&lt;/References&gt;&lt;/Group&gt;&lt;/Citation&gt;_x000a_"/>
    <w:docVar w:name="NE.Ref{78677105-10F9-40C9-9D75-614609F461A8}" w:val=" ADDIN NE.Ref.{78677105-10F9-40C9-9D75-614609F461A8}&lt;Citation&gt;&lt;Group&gt;&lt;References&gt;&lt;Item&gt;&lt;ID&gt;534&lt;/ID&gt;&lt;UID&gt;{47628D7B-D5AF-4F0F-91F1-BA3E9D30B9B9}&lt;/UID&gt;&lt;Title&gt;[(18)F]FDG PET radiomics to predict disease-free survival in cervical cancer: a multi-scanner/center study with external validation&lt;/Title&gt;&lt;Template&gt;Journal Article&lt;/Template&gt;&lt;Star&gt;0&lt;/Star&gt;&lt;Tag&gt;0&lt;/Tag&gt;&lt;Author&gt;Ferreira, M; Lovinfosse, P; Hermesse, J; Decuypere, M; Rousseau, C; Lucia, F; Schick, U; Reinhold, C; Robin, P; Hatt, M; Visvikis, D; Bernard, C; Leijenaar, RTH; Kridelka, F; Lambin, P; Meyer, P E; Hustinx, R&lt;/Author&gt;&lt;Year&gt;2021&lt;/Year&gt;&lt;Details&gt;&lt;_accessed&gt;64330459&lt;/_accessed&gt;&lt;_accession_num&gt;33772334&lt;/_accession_num&gt;&lt;_author_adr&gt;GIGA-CRC in vivo Imaging, University of Liege, GIGA, Avenue de l&amp;apos;Hopital 11, 4000, Liege, Belgium. m.Ferreira@student.uliege.be.; Division of Nuclear Medicine and Oncological Imaging, University Hospital of Liege, Liege, Belgium.; Department of Radiation Oncology, Liege University Hospital, Liege, Belgium.; Division of Oncological Gynecology, University Hospital of Liege, Liege, Belgium.; Universite de Nantes, CNRS, Inserm, CRCINA, F-44000, Nantes, France.; ICO Rene Gauducheau, F-44800, Saint-Herblain, France.; Radiation Oncology Department, University Hospital, Brest, France.; LaTIM, INSERM, UMR 1101, Univ Brest, Brest, France.; Radiation Oncology Department, University Hospital, Brest, France.; LaTIM, INSERM, UMR 1101, Univ Brest, Brest, France.; Department of Radiology, McGill University Health Centre (MUHC), Montreal, Canada.; Department of Nuclear Medicine and EA3878, Brest University Hospital, University  of Brest, Brest, France.; LaTIM, INSERM, UMR 1101, Univ Brest, Brest, France.; LaTIM, INSERM, UMR 1101, Univ Brest, Brest, France.; Division of Nuclear Medicine and Oncological Imaging, University Hospital of Liege, Liege, Belgium.; Oncoradiomics SA, Clos Chanmurly 13, 4000, Liege, Belgium.; The-D Lab, Precision Medicine, GROW-School for Oncology and Developmental Biology, Maastricht University Medical Centre, Maastricht, Netherlands.; Division of Oncological Gynecology, University Hospital of Liege, Liege, Belgium.; The-D Lab, Precision Medicine, GROW-School for Oncology and Developmental Biology, Maastricht University Medical Centre, Maastricht, Netherlands.; Department of Radiology and Nuclear Medicine, Maastricht University Medical Centre, Maastricht, The Netherlands.; Bioinformatics and Systems Biology Lab, University of Liege, Liege, Belgium.; GIGA-CRC in vivo Imaging, University of Liege, GIGA, Avenue de l&amp;apos;Hopital 11, 4000, Liege, Belgium.&lt;/_author_adr&gt;&lt;_created&gt;64298745&lt;/_created&gt;&lt;_date&gt;2021-10-01&lt;/_date&gt;&lt;_date_display&gt;2021 Oct&lt;/_date_display&gt;&lt;_db_updated&gt;PubMed&lt;/_db_updated&gt;&lt;_doi&gt;10.1007/s00259-021-05303-5&lt;/_doi&gt;&lt;_impact_factor&gt;   9.236&lt;/_impact_factor&gt;&lt;_isbn&gt;1619-7089 (Electronic); 1619-7070 (Linking)&lt;/_isbn&gt;&lt;_issue&gt;11&lt;/_issue&gt;&lt;_journal&gt;Eur J Nucl Med Mol Imaging&lt;/_journal&gt;&lt;_keywords&gt;*Cervical cancer; *Disease-free survival; *Machine learning; *Radiomics; *[18F]FDG PET/CT&lt;/_keywords&gt;&lt;_language&gt;eng&lt;/_language&gt;&lt;_modified&gt;64330459&lt;/_modified&gt;&lt;_ori_publication&gt;(c) 2021. The Author(s), under exclusive licence to Springer-Verlag GmbH Germany,_x000d__x000a_      part of Springer Nature.&lt;/_ori_publication&gt;&lt;_pages&gt;3432-3443&lt;/_pages&gt;&lt;_subject_headings&gt;Bayes Theorem; Disease-Free Survival; Female; *Fluorodeoxyglucose F18; Humans; Neoplasm Recurrence, Local; Positron Emission Tomography Computed Tomography; Radiopharmaceuticals; Reproducibility of Results; Retrospective Studies; *Uterine Cervical Neoplasms/diagnostic imaging&lt;/_subject_headings&gt;&lt;_tertiary_title&gt;European journal of nuclear medicine and molecular imaging&lt;/_tertiary_title&gt;&lt;_type_work&gt;Journal Article&lt;/_type_work&gt;&lt;_url&gt;http://www.ncbi.nlm.nih.gov/entrez/query.fcgi?cmd=Retrieve&amp;amp;db=pubmed&amp;amp;dopt=Abstract&amp;amp;list_uids=33772334&amp;amp;query_hl=1&lt;/_url&gt;&lt;_volume&gt;48&lt;/_volume&gt;&lt;/Details&gt;&lt;Extra&gt;&lt;DBUID&gt;{F96A950B-833F-4880-A151-76DA2D6A2879}&lt;/DBUID&gt;&lt;/Extra&gt;&lt;/Item&gt;&lt;/References&gt;&lt;/Group&gt;&lt;/Citation&gt;_x000a_"/>
    <w:docVar w:name="NE.Ref{9151CB9F-68EF-467B-8CD5-A826DBDECC01}" w:val=" ADDIN NE.Ref.{9151CB9F-68EF-467B-8CD5-A826DBDECC01}&lt;Citation&gt;&lt;Group&gt;&lt;References&gt;&lt;Item&gt;&lt;ID&gt;764&lt;/ID&gt;&lt;UID&gt;{7F930D58-6648-4348-877E-1875E0C227DD}&lt;/UID&gt;&lt;Title&gt;Overall Survival Prognostic Modelling of Non-small Cell Lung Cancer Patients Using Positron Emission Tomography/Computed Tomography Harmonised Radiomics Features: The Quest for the Optimal Machine Learning Algorithm&lt;/Title&gt;&lt;Template&gt;Journal Article&lt;/Template&gt;&lt;Star&gt;0&lt;/Star&gt;&lt;Tag&gt;0&lt;/Tag&gt;&lt;Author&gt;Amini, M; Hajianfar, G; Hadadi, Avval A; Nazari, M; Deevband, M R; Oveisi, M; Shiri, I; Zaidi, H&lt;/Author&gt;&lt;Year&gt;2022&lt;/Year&gt;&lt;Details&gt;&lt;_accessed&gt;64455320&lt;/_accessed&gt;&lt;_accession_num&gt;34872823&lt;/_accession_num&gt;&lt;_author_adr&gt;Division of Nuclear Medicine and Molecular Imaging, Geneva University Hospital, Geneva, Switzerland.; Rajaie Cardiovascular Medical and Research Center, Iran University of Medical Science, Tehran, Iran.; School of Medicine, Mashhad University of Medical Sciences, Mashhad, Iran.; Rajaie Cardiovascular Medical and Research Center, Iran University of Medical Science, Tehran, Iran; Department of Biomedical Engineering and Medical Physics,  Shahid Beheshti University of Medical Sciences, Tehran, Iran.; Department of Biomedical Engineering and Medical Physics, Shahid Beheshti University of Medical Sciences, Tehran, Iran.; Comprehensive Cancer Centre, School of Cancer &amp;amp; Pharmaceutical Sciences, Faculty  of Life Sciences &amp;amp; Medicine, Kings College London, London, UK.; Division of Nuclear Medicine and Molecular Imaging, Geneva University Hospital, Geneva, Switzerland.; Division of Nuclear Medicine and Molecular Imaging, Geneva University Hospital, Geneva, Switzerland; Geneva University Neurocenter, Geneva University, Geneva, Switzerland; Department of Nuclear Medicine and Molecular Imaging, University of  Groningen, University Medical Center Groningen, Groningen, the Netherlands; Department of Nuclear Medicine, University of Southern Denmark, Odense, Denmark.  Electronic address: habib.zaidi@hcuge.ch.&lt;/_author_adr&gt;&lt;_created&gt;64454987&lt;/_created&gt;&lt;_date&gt;2022-02-01&lt;/_date&gt;&lt;_date_display&gt;2022 Feb&lt;/_date_display&gt;&lt;_db_updated&gt;PubMed&lt;/_db_updated&gt;&lt;_doi&gt;10.1016/j.clon.2021.11.014&lt;/_doi&gt;&lt;_impact_factor&gt;   4.126&lt;/_impact_factor&gt;&lt;_isbn&gt;1433-2981 (Electronic); 0936-6555 (Linking)&lt;/_isbn&gt;&lt;_issue&gt;2&lt;/_issue&gt;&lt;_journal&gt;Clin Oncol (R Coll Radiol)&lt;/_journal&gt;&lt;_keywords&gt;*Fusion; *PET/CT; *machine learning; *non-small cell lung cancer; *radiomics&lt;/_keywords&gt;&lt;_language&gt;eng&lt;/_language&gt;&lt;_modified&gt;64455320&lt;/_modified&gt;&lt;_ori_publication&gt;Copyright (c) 2021 The Authors. Published by Elsevier Ltd.. All rights reserved.&lt;/_ori_publication&gt;&lt;_pages&gt;114-127&lt;/_pages&gt;&lt;_subject_headings&gt;Algorithms; *Carcinoma, Non-Small-Cell Lung/diagnostic imaging; Humans; *Lung Neoplasms/diagnostic imaging; Machine Learning; Multimodal Imaging; Positron Emission Tomography Computed Tomography; Prognosis&lt;/_subject_headings&gt;&lt;_tertiary_title&gt;Clinical oncology (Royal College of Radiologists (Great Britain))&lt;/_tertiary_title&gt;&lt;_type_work&gt;Journal Article; Research Support, Non-U.S. Gov&amp;apos;t&lt;/_type_work&gt;&lt;_url&gt;http://www.ncbi.nlm.nih.gov/entrez/query.fcgi?cmd=Retrieve&amp;amp;db=pubmed&amp;amp;dopt=Abstract&amp;amp;list_uids=34872823&amp;amp;query_hl=1&lt;/_url&gt;&lt;_volume&gt;34&lt;/_volume&gt;&lt;/Details&gt;&lt;Extra&gt;&lt;DBUID&gt;{F96A950B-833F-4880-A151-76DA2D6A2879}&lt;/DBUID&gt;&lt;/Extra&gt;&lt;/Item&gt;&lt;/References&gt;&lt;/Group&gt;&lt;/Citation&gt;_x000a_"/>
    <w:docVar w:name="NE.Ref{91D9AF0D-70CB-47EC-85A0-9AC763FA1DB6}" w:val=" ADDIN NE.Ref.{91D9AF0D-70CB-47EC-85A0-9AC763FA1DB6}&lt;Citation&gt;&lt;Group&gt;&lt;References&gt;&lt;Item&gt;&lt;ID&gt;577&lt;/ID&gt;&lt;UID&gt;{38232265-526B-4CD4-966B-82BCDB20AB17}&lt;/UID&gt;&lt;Title&gt;Adjusting batch effects in microarray expression data using empirical Bayes methods&lt;/Title&gt;&lt;Template&gt;Journal Article&lt;/Template&gt;&lt;Star&gt;0&lt;/Star&gt;&lt;Tag&gt;0&lt;/Tag&gt;&lt;Author&gt;Johnson, W E; Li, C; Rabinovic, A&lt;/Author&gt;&lt;Year&gt;2007&lt;/Year&gt;&lt;Details&gt;&lt;_accession_num&gt;16632515&lt;/_accession_num&gt;&lt;_author_adr&gt;Department of Biostatistics and Computational Biology, Dana-Farber Cancer Institute, Boston, MA, USA.&lt;/_author_adr&gt;&lt;_collection_scope&gt;SCIE&lt;/_collection_scope&gt;&lt;_created&gt;64302461&lt;/_created&gt;&lt;_date&gt;2007-01-01&lt;/_date&gt;&lt;_date_display&gt;2007 Jan&lt;/_date_display&gt;&lt;_db_updated&gt;PubMed&lt;/_db_updated&gt;&lt;_doi&gt;10.1093/biostatistics/kxj037&lt;/_doi&gt;&lt;_impact_factor&gt;   5.911&lt;/_impact_factor&gt;&lt;_isbn&gt;1465-4644 (Print); 1465-4644 (Linking)&lt;/_isbn&gt;&lt;_issue&gt;1&lt;/_issue&gt;&lt;_journal&gt;Biostatistics&lt;/_journal&gt;&lt;_language&gt;eng&lt;/_language&gt;&lt;_modified&gt;64303925&lt;/_modified&gt;&lt;_pages&gt;118-27&lt;/_pages&gt;&lt;_subject_headings&gt;*Bayes Theorem; *Data Interpretation, Statistical; Gene Expression Profiling/methods; Humans; Oligonucleotide Array Sequence Analysis/*methods&lt;/_subject_headings&gt;&lt;_tertiary_title&gt;Biostatistics (Oxford, England)&lt;/_tertiary_title&gt;&lt;_type_work&gt;Journal Article; Research Support, N.I.H., Extramural; Research Support, Non-U.S. Gov&amp;apos;t&lt;/_type_work&gt;&lt;_url&gt;http://www.ncbi.nlm.nih.gov/entrez/query.fcgi?cmd=Retrieve&amp;amp;db=pubmed&amp;amp;dopt=Abstract&amp;amp;list_uids=16632515&amp;amp;query_hl=1&lt;/_url&gt;&lt;_volume&gt;8&lt;/_volume&gt;&lt;/Details&gt;&lt;Extra&gt;&lt;DBUID&gt;{F96A950B-833F-4880-A151-76DA2D6A2879}&lt;/DBUID&gt;&lt;/Extra&gt;&lt;/Item&gt;&lt;/References&gt;&lt;/Group&gt;&lt;/Citation&gt;_x000a_"/>
    <w:docVar w:name="NE.Ref{9556CD75-3479-449A-A3FD-26F84D4EDC0C}" w:val=" ADDIN NE.Ref.{9556CD75-3479-449A-A3FD-26F84D4EDC0C}&lt;Citation&gt;&lt;Group&gt;&lt;References&gt;&lt;Item&gt;&lt;ID&gt;560&lt;/ID&gt;&lt;UID&gt;{312095B1-A15F-425B-8FAC-84C113D845BC}&lt;/UID&gt;&lt;Title&gt;Potential value and impact of data mining and machine learning in clinical diagnostics&lt;/Title&gt;&lt;Template&gt;Journal Article&lt;/Template&gt;&lt;Star&gt;0&lt;/Star&gt;&lt;Tag&gt;0&lt;/Tag&gt;&lt;Author&gt;Saberi-Karimian, M; Khorasanchi, Z; Ghazizadeh, H; Tayefi, M; Saffar, S; Ferns, G A; Ghayour-Mobarhan, M&lt;/Author&gt;&lt;Year&gt;2021&lt;/Year&gt;&lt;Details&gt;&lt;_accession_num&gt;33739235&lt;/_accession_num&gt;&lt;_author_adr&gt;International UNESCO Center for Health Related Basic Sciences and Human Nutrition, Mashhad University of Medical Sciences, Mashhad, Iran.; Student Research Committee, Mashhad University of Medical Sciences, Mashhad, Iran.; Department of Nutrition, Faculty of Medicine, Mashhad University of Medical Sciences, Mashhad, Iran.; International UNESCO Center for Health Related Basic Sciences and Human Nutrition, Mashhad University of Medical Sciences, Mashhad, Iran.; Student Research Committee, Mashhad University of Medical Sciences, Mashhad, Iran.; Norwegian Center for e-health Research, University Hospital of North Norway, Tromso, Norway.; International UNESCO Center for Health Related Basic Sciences and Human Nutrition, Mashhad University of Medical Sciences, Mashhad, Iran.; Division of Medical Education, Brighton and Sussex Medical School, Falmer, UK.; International UNESCO Center for Health Related Basic Sciences and Human Nutrition, Mashhad University of Medical Sciences, Mashhad, Iran.&lt;/_author_adr&gt;&lt;_created&gt;64298828&lt;/_created&gt;&lt;_date&gt;2021-06-01&lt;/_date&gt;&lt;_date_display&gt;2021 Jun&lt;/_date_display&gt;&lt;_db_updated&gt;PubMed&lt;/_db_updated&gt;&lt;_doi&gt;10.1080/10408363.2020.1857681&lt;/_doi&gt;&lt;_impact_factor&gt;   6.250&lt;/_impact_factor&gt;&lt;_isbn&gt;1549-781X (Electronic); 1040-8363 (Linking)&lt;/_isbn&gt;&lt;_issue&gt;4&lt;/_issue&gt;&lt;_journal&gt;Crit Rev Clin Lab Sci&lt;/_journal&gt;&lt;_keywords&gt;*Data mining; *decision tree; *machine learning&lt;/_keywords&gt;&lt;_language&gt;eng&lt;/_language&gt;&lt;_modified&gt;64298833&lt;/_modified&gt;&lt;_pages&gt;275-296&lt;/_pages&gt;&lt;_subject_headings&gt;Artificial Intelligence; Child; Data Mining; *Diabetes Mellitus, Type 2; Female; Humans; Infant, Newborn; Machine Learning; Pregnancy; *Premature Birth; Quality of Life&lt;/_subject_headings&gt;&lt;_tertiary_title&gt;Critical reviews in clinical laboratory sciences&lt;/_tertiary_title&gt;&lt;_type_work&gt;Journal Article; Review&lt;/_type_work&gt;&lt;_url&gt;http://www.ncbi.nlm.nih.gov/entrez/query.fcgi?cmd=Retrieve&amp;amp;db=pubmed&amp;amp;dopt=Abstract&amp;amp;list_uids=33739235&amp;amp;query_hl=1&lt;/_url&gt;&lt;_volume&gt;58&lt;/_volume&gt;&lt;/Details&gt;&lt;Extra&gt;&lt;DBUID&gt;{F96A950B-833F-4880-A151-76DA2D6A2879}&lt;/DBUID&gt;&lt;/Extra&gt;&lt;/Item&gt;&lt;/References&gt;&lt;/Group&gt;&lt;/Citation&gt;_x000a_"/>
    <w:docVar w:name="NE.Ref{995BCB1E-918D-4841-867F-4B8E428086F2}" w:val=" ADDIN NE.Ref.{995BCB1E-918D-4841-867F-4B8E428086F2}&lt;Citation&gt;&lt;Group&gt;&lt;References&gt;&lt;Item&gt;&lt;ID&gt;535&lt;/ID&gt;&lt;UID&gt;{9CA0112B-88C4-45B7-8604-3AC9E4366599}&lt;/UID&gt;&lt;Title&gt;PET/CT and the Response to Immunotherapy in Lung Cancer&lt;/Title&gt;&lt;Template&gt;Journal Article&lt;/Template&gt;&lt;Star&gt;0&lt;/Star&gt;&lt;Tag&gt;0&lt;/Tag&gt;&lt;Author&gt;Evangelista, L; Sepulcri, M; Pasello, G&lt;/Author&gt;&lt;Year&gt;2020&lt;/Year&gt;&lt;Details&gt;&lt;_accessed&gt;64455319&lt;/_accessed&gt;&lt;_accession_num&gt;31858908&lt;/_accession_num&gt;&lt;_author_adr&gt;Nuclear Medicine Unit, Department of Medicine - DIMED, University of Padua, 35128 Padua, Italy.; Radiation Oncology Unit, Veneto Institute of Oncology IOV - IRCCS, Padua, Italy.; Oncology 2 Unit, Veneto Institute of Oncology IOV - IRCCS, Padua, Italy.&lt;/_author_adr&gt;&lt;_created&gt;64298746&lt;/_created&gt;&lt;_date&gt;2020-01-20&lt;/_date&gt;&lt;_date_display&gt;2020&lt;/_date_display&gt;&lt;_db_updated&gt;PubMed&lt;/_db_updated&gt;&lt;_doi&gt;10.2174/1874471013666191220105449&lt;/_doi&gt;&lt;_isbn&gt;1874-4729 (Electronic); 1874-4710 (Linking)&lt;/_isbn&gt;&lt;_issue&gt;3&lt;/_issue&gt;&lt;_journal&gt;Curr Radiopharm&lt;/_journal&gt;&lt;_keywords&gt;18F-FDG; Immunotherapy; PET/CT; immunotherapy; lung cancer; response to therapy&lt;/_keywords&gt;&lt;_language&gt;eng&lt;/_language&gt;&lt;_modified&gt;64455319&lt;/_modified&gt;&lt;_ori_publication&gt;Copyright(c) Bentham Science Publishers; For any queries, please email at_x000d__x000a_      epub@benthamscience.net.&lt;/_ori_publication&gt;&lt;_pages&gt;177-184&lt;/_pages&gt;&lt;_subject_headings&gt;Fluorodeoxyglucose F18; Humans; Immunotherapy/*methods; Lung Neoplasms/*diagnostic imaging/*drug therapy; *Positron Emission Tomography Computed Tomography; Prognosis; Radiopharmaceuticals; Response Evaluation Criteria in Solid Tumors&lt;/_subject_headings&gt;&lt;_tertiary_title&gt;Current radiopharmaceuticals&lt;/_tertiary_title&gt;&lt;_type_work&gt;Journal Article; Review&lt;/_type_work&gt;&lt;_url&gt;http://www.ncbi.nlm.nih.gov/entrez/query.fcgi?cmd=Retrieve&amp;amp;db=pubmed&amp;amp;dopt=Abstract&amp;amp;list_uids=31858908&amp;amp;query_hl=1&lt;/_url&gt;&lt;_volume&gt;13&lt;/_volume&gt;&lt;/Details&gt;&lt;Extra&gt;&lt;DBUID&gt;{F96A950B-833F-4880-A151-76DA2D6A2879}&lt;/DBUID&gt;&lt;/Extra&gt;&lt;/Item&gt;&lt;/References&gt;&lt;/Group&gt;&lt;/Citation&gt;_x000a_"/>
    <w:docVar w:name="NE.Ref{997EBB46-9D5B-44BA-9955-560419812D2A}" w:val=" ADDIN NE.Ref.{997EBB46-9D5B-44BA-9955-560419812D2A}&lt;Citation&gt;&lt;Group&gt;&lt;References&gt;&lt;Item&gt;&lt;ID&gt;570&lt;/ID&gt;&lt;UID&gt;{23625722-4860-4F8C-9FD2-322AB7A9E407}&lt;/UID&gt;&lt;Title&gt;Radiomics in PET/CT: More Than Meets the Eye?&lt;/Title&gt;&lt;Template&gt;Journal Article&lt;/Template&gt;&lt;Star&gt;0&lt;/Star&gt;&lt;Tag&gt;0&lt;/Tag&gt;&lt;Author&gt;Hatt, M; Tixier, F; Visvikis, D; Cheze, Le Rest C&lt;/Author&gt;&lt;Year&gt;2017&lt;/Year&gt;&lt;Details&gt;&lt;_accession_num&gt;27811126&lt;/_accession_num&gt;&lt;_author_adr&gt;LaTIM, INSERM, UMR 1101, University of Brest, IBSAM, Brest, France; and hatt@univ-brest.fr.; Academic Department of Nuclear Medicine, CHU Poitiers, Poitiers, France.; LaTIM, INSERM, UMR 1101, University of Brest, IBSAM, Brest, France; and.; Academic Department of Nuclear Medicine, CHU Poitiers, Poitiers, France.&lt;/_author_adr&gt;&lt;_collection_scope&gt;SCI;SCIE&lt;/_collection_scope&gt;&lt;_created&gt;64298890&lt;/_created&gt;&lt;_date&gt;2017-03-01&lt;/_date&gt;&lt;_date_display&gt;2017 Mar&lt;/_date_display&gt;&lt;_db_updated&gt;PubMed&lt;/_db_updated&gt;&lt;_doi&gt;10.2967/jnumed.116.184655&lt;/_doi&gt;&lt;_impact_factor&gt;  10.057&lt;/_impact_factor&gt;&lt;_isbn&gt;1535-5667 (Electronic); 0161-5505 (Linking)&lt;/_isbn&gt;&lt;_issue&gt;3&lt;/_issue&gt;&lt;_journal&gt;J Nucl Med&lt;/_journal&gt;&lt;_language&gt;eng&lt;/_language&gt;&lt;_modified&gt;64298891&lt;/_modified&gt;&lt;_pages&gt;365-366&lt;/_pages&gt;&lt;_subject_headings&gt;*Fluorodeoxyglucose F18; *Positron Emission Tomography Computed Tomography; Tomography, X-Ray Computed&lt;/_subject_headings&gt;&lt;_tertiary_title&gt;Journal of nuclear medicine : official publication, Society of Nuclear Medicine&lt;/_tertiary_title&gt;&lt;_type_work&gt;Journal Article; Comment&lt;/_type_work&gt;&lt;_url&gt;http://www.ncbi.nlm.nih.gov/entrez/query.fcgi?cmd=Retrieve&amp;amp;db=pubmed&amp;amp;dopt=Abstract&amp;amp;list_uids=27811126&amp;amp;query_hl=1&lt;/_url&gt;&lt;_volume&gt;58&lt;/_volume&gt;&lt;/Details&gt;&lt;Extra&gt;&lt;DBUID&gt;{F96A950B-833F-4880-A151-76DA2D6A2879}&lt;/DBUID&gt;&lt;/Extra&gt;&lt;/Item&gt;&lt;/References&gt;&lt;/Group&gt;&lt;/Citation&gt;_x000a_"/>
    <w:docVar w:name="NE.Ref{9A6D4C90-76FC-4F33-8746-F2C8DA8110DF}" w:val=" ADDIN NE.Ref.{9A6D4C90-76FC-4F33-8746-F2C8DA8110DF}&lt;Citation&gt;&lt;Group&gt;&lt;References&gt;&lt;Item&gt;&lt;ID&gt;571&lt;/ID&gt;&lt;UID&gt;{2E72411E-AF4E-4CF4-BAF5-E4D1EB284029}&lt;/UID&gt;&lt;Title&gt;Survival difference between EGFR Del19 and L858R mutant advanced non-small cell lung cancer patients receiving gefitinib: a propensity score matching analysis&lt;/Title&gt;&lt;Template&gt;Journal Article&lt;/Template&gt;&lt;Star&gt;0&lt;/Star&gt;&lt;Tag&gt;0&lt;/Tag&gt;&lt;Author&gt;Zhuo, M; Zheng, Q; Zhao, J; Wu, M; An, T; Wang, Y; Li, J; Wang, S; Zhong, J; Yang, X; Chen, H; Jia, B; Dong, Z; Gao, E; Wang, J; Wang, Z&lt;/Author&gt;&lt;Year&gt;2017&lt;/Year&gt;&lt;Details&gt;&lt;_accession_num&gt;29353978&lt;/_accession_num&gt;&lt;_author_adr&gt;Key Laboratory of Carcinogenesis and Translational Research (Ministry of Education/Beijing), Department of Thoracic Medical Oncology, Peking University Cancer Hospital &amp;amp; Institute, Beijing 100142, China.; Department of Epidermiololgy and Biostatistics, School of Public Health, Peking University, Beijing 100191, China.; Key Laboratory of Carcinogenesis and Translational Research (Ministry of Education/Beijing), Department of Thoracic Medical Oncology, Peking University Cancer Hospital &amp;amp; Institute, Beijing 100142, China.; Key Laboratory of Carcinogenesis and Translational Research (Ministry of Education/Beijing), Department of Thoracic Medical Oncology, Peking University Cancer Hospital &amp;amp; Institute, Beijing 100142, China.; Key Laboratory of Carcinogenesis and Translational Research (Ministry of Education/Beijing), Department of Thoracic Medical Oncology, Peking University Cancer Hospital &amp;amp; Institute, Beijing 100142, China.; Key Laboratory of Carcinogenesis and Translational Research (Ministry of Education/Beijing), Department of Thoracic Medical Oncology, Peking University Cancer Hospital &amp;amp; Institute, Beijing 100142, China.; Key Laboratory of Carcinogenesis and Translational Research (Ministry of Education/Beijing), Department of Thoracic Medical Oncology, Peking University Cancer Hospital &amp;amp; Institute, Beijing 100142, China.; Key Laboratory of Carcinogenesis and Translational Research (Ministry of Education/Beijing), Department of Thoracic Medical Oncology, Peking University Cancer Hospital &amp;amp; Institute, Beijing 100142, China.; Key Laboratory of Carcinogenesis and Translational Research (Ministry of Education/Beijing), Department of Thoracic Medical Oncology, Peking University Cancer Hospital &amp;amp; Institute, Beijing 100142, China.; Key Laboratory of Carcinogenesis and Translational Research (Ministry of Education/Beijing), Department of Thoracic Medical Oncology, Peking University Cancer Hospital &amp;amp; Institute, Beijing 100142, China.; Key Laboratory of Carcinogenesis and Translational Research (Ministry of Education/Beijing), Department of Thoracic Medical Oncology, Peking University Cancer Hospital &amp;amp; Institute, Beijing 100142, China.; Key Laboratory of Carcinogenesis and Translational Research (Ministry of Education/Beijing), Department of Thoracic Medical Oncology, Peking University Cancer Hospital &amp;amp; Institute, Beijing 100142, China.; Key Laboratory of Carcinogenesis and Translational Research (Ministry of Education/Beijing), Department of Thoracic Medical Oncology, Peking University Cancer Hospital &amp;amp; Institute, Beijing 100142, China.; Key Laboratory of Carcinogenesis and Translational Research (Ministry of Education/Beijing), Department of Thoracic Medical Oncology, Peking University Cancer Hospital &amp;amp; Institute, Beijing 100142, China.; Key Laboratory of Carcinogenesis and Translational Research (Ministry of Education/Beijing), Department of Thoracic Medical Oncology, Peking University Cancer Hospital &amp;amp; Institute, Beijing 100142, China.; Key Laboratory of Carcinogenesis and Translational Research (Ministry of Education/Beijing), Department of Thoracic Medical Oncology, Peking University Cancer Hospital &amp;amp; Institute, Beijing 100142, China.&lt;/_author_adr&gt;&lt;_created&gt;64298893&lt;/_created&gt;&lt;_date&gt;2017-12-01&lt;/_date&gt;&lt;_date_display&gt;2017 Dec&lt;/_date_display&gt;&lt;_db_updated&gt;PubMed&lt;/_db_updated&gt;&lt;_doi&gt;10.21147/j.issn.1000-9604.2017.06.10&lt;/_doi&gt;&lt;_impact_factor&gt;   5.087&lt;/_impact_factor&gt;&lt;_isbn&gt;1000-9604 (Print); 1000-9604 (Linking)&lt;/_isbn&gt;&lt;_issue&gt;6&lt;/_issue&gt;&lt;_journal&gt;Chin J Cancer Res&lt;/_journal&gt;&lt;_keywords&gt;Non-small-cell lung cancer; epidermal growth factor receptor; propensity score matching; survival; tyrosine kinase inhibitors&lt;/_keywords&gt;&lt;_language&gt;eng&lt;/_language&gt;&lt;_modified&gt;64298893&lt;/_modified&gt;&lt;_pages&gt;553-560&lt;/_pages&gt;&lt;_tertiary_title&gt;Chinese journal of cancer research = Chung-kuo yen cheng yen chiu&lt;/_tertiary_title&gt;&lt;_type_work&gt;Journal Article&lt;/_type_work&gt;&lt;_url&gt;http://www.ncbi.nlm.nih.gov/entrez/query.fcgi?cmd=Retrieve&amp;amp;db=pubmed&amp;amp;dopt=Abstract&amp;amp;list_uids=29353978&amp;amp;query_hl=1&lt;/_url&gt;&lt;_volume&gt;29&lt;/_volume&gt;&lt;/Details&gt;&lt;Extra&gt;&lt;DBUID&gt;{F96A950B-833F-4880-A151-76DA2D6A2879}&lt;/DBUID&gt;&lt;/Extra&gt;&lt;/Item&gt;&lt;/References&gt;&lt;/Group&gt;&lt;/Citation&gt;_x000a_"/>
    <w:docVar w:name="NE.Ref{A0F38EA3-1828-4528-948D-5C477AEA70F7}" w:val=" ADDIN NE.Ref.{A0F38EA3-1828-4528-948D-5C477AEA70F7}&lt;Citation&gt;&lt;Group&gt;&lt;References&gt;&lt;Item&gt;&lt;ID&gt;551&lt;/ID&gt;&lt;UID&gt;{26CAC5D6-58B0-49C4-8F14-9EAF939A99B6}&lt;/UID&gt;&lt;Title&gt;(18)F-fluorodeoxyglucose positron emission tomography/computed tomography-based radiomic features for prediction of epidermal growth factor receptor mutation status and prognosis in patients with lung adenocarcinoma&lt;/Title&gt;&lt;Template&gt;Journal Article&lt;/Template&gt;&lt;Star&gt;0&lt;/Star&gt;&lt;Tag&gt;0&lt;/Tag&gt;&lt;Author&gt;Yang, B; Ji, H S; Zhou, C S; Dong, H; Ma, L; Ge, Y Q; Zhu, C H; Tian, J H; Zhang, L J; Zhu, H; Lu, G M&lt;/Author&gt;&lt;Year&gt;2020&lt;/Year&gt;&lt;Details&gt;&lt;_accession_num&gt;32676320&lt;/_accession_num&gt;&lt;_author_adr&gt;Department of Medical Imaging, Affiliated Jinling Hospital, Medical School of Nanjing University, Nanjing 210002, China.; Department of Nuclear Medicine, Affiliated Jinling Hospital, Medical School of Nanjing University, Nanjing 210002, China.; Department of Medical Imaging, Affiliated Jinling Hospital, Medical School of Nanjing University, Nanjing 210002, China.; College of Medical Imaging, Xuzhou Medical University, Xuzhou 221000, China.; Department of Medical Imaging, Affiliated Jinling Hospital, Medical School of Nanjing University, Nanjing 210002, China.; Siemens Healthineers Ltd. Shanghai 200000, China.; Department of Nuclear Medicine, Peking Union Medical College Hospital, Beijing 100730, China.; Department of Nuclear Medicine, The Chinese PLA General Hospital, Beijing 100730, China.; Department of Medical Imaging, Affiliated Jinling Hospital, Medical School of Nanjing University, Nanjing 210002, China.; Department of Nuclear Medicine, Affiliated Jinling Hospital, Medical School of Nanjing University, Nanjing 210002, China.; Department of Medical Imaging, Affiliated Jinling Hospital, Medical School of Nanjing University, Nanjing 210002, China.&lt;/_author_adr&gt;&lt;_created&gt;64298773&lt;/_created&gt;&lt;_date&gt;2020-06-01&lt;/_date&gt;&lt;_date_display&gt;2020 Jun&lt;/_date_display&gt;&lt;_db_updated&gt;PubMed&lt;/_db_updated&gt;&lt;_doi&gt;10.21037/tlcr-19-592&lt;/_doi&gt;&lt;_impact_factor&gt;   6.498&lt;/_impact_factor&gt;&lt;_isbn&gt;2218-6751 (Print); 2218-6751 (Linking)&lt;/_isbn&gt;&lt;_issue&gt;3&lt;/_issue&gt;&lt;_journal&gt;Transl Lung Cancer Res&lt;/_journal&gt;&lt;_keywords&gt;Lung adenocarcinoma; epidermal growth factor receptor (EGFR); positron emission tomography; prognosis; radiomics&lt;/_keywords&gt;&lt;_language&gt;eng&lt;/_language&gt;&lt;_modified&gt;64298773&lt;/_modified&gt;&lt;_ori_publication&gt;2020 Translational Lung Cancer Research. All rights reserved.&lt;/_ori_publication&gt;&lt;_pages&gt;563-574&lt;/_pages&gt;&lt;_tertiary_title&gt;Translational lung cancer research&lt;/_tertiary_title&gt;&lt;_type_work&gt;Journal Article&lt;/_type_work&gt;&lt;_url&gt;http://www.ncbi.nlm.nih.gov/entrez/query.fcgi?cmd=Retrieve&amp;amp;db=pubmed&amp;amp;dopt=Abstract&amp;amp;list_uids=32676320&amp;amp;query_hl=1&lt;/_url&gt;&lt;_volume&gt;9&lt;/_volume&gt;&lt;/Details&gt;&lt;Extra&gt;&lt;DBUID&gt;{F96A950B-833F-4880-A151-76DA2D6A2879}&lt;/DBUID&gt;&lt;/Extra&gt;&lt;/Item&gt;&lt;/References&gt;&lt;/Group&gt;&lt;/Citation&gt;_x000a_"/>
    <w:docVar w:name="NE.Ref{A2EAE0C5-45DF-40F1-8E44-5BDEC6FD297F}" w:val=" ADDIN NE.Ref.{A2EAE0C5-45DF-40F1-8E44-5BDEC6FD297F}&lt;Citation&gt;&lt;Group&gt;&lt;References&gt;&lt;Item&gt;&lt;ID&gt;564&lt;/ID&gt;&lt;UID&gt;{CD44FCF6-870B-40D3-8AAF-33AA79D41276}&lt;/UID&gt;&lt;Title&gt;CT Radiogenomic Characterization of EGFR, K-RAS, and ALK Mutations in Non-Small Cell Lung Cancer&lt;/Title&gt;&lt;Template&gt;Journal Article&lt;/Template&gt;&lt;Star&gt;0&lt;/Star&gt;&lt;Tag&gt;0&lt;/Tag&gt;&lt;Author&gt;Rizzo, S; Petrella, F; Buscarino, V; De Maria, F; Raimondi, S; Barberis, M; Fumagalli, C; Spitaleri, G; Rampinelli, C; De Marinis, F; Spaggiari, L; Bellomi, M&lt;/Author&gt;&lt;Year&gt;2016&lt;/Year&gt;&lt;Details&gt;&lt;_accessed&gt;64455326&lt;/_accessed&gt;&lt;_accession_num&gt;25956936&lt;/_accession_num&gt;&lt;_author_adr&gt;Department of Radiology, European Institute of Oncology, via Ripamonti 435, 20141, Milan, Italy. stefania.rizzo@ieo.it.; Department of Thoracic Surgery, European Institute of Oncology, via Ripamonti 435, 20141, Milan, Italy.; Department of Health Sciences, University of Milan, via A. di Rudini 8, 20142, Milan, Italy.; Department of Health Sciences, University of Milan, via A. di Rudini 8, 20142, Milan, Italy.; Department of Epidemiology and Biostatistics, European Institute of Oncology, via Ramusio, 1, 20141, Milan, Italy.; Department of Pathology, European Institute of Oncology, via Ripamonti 435, 20141, Milan, Italy.; Department of Pathology, European Institute of Oncology, via Ripamonti 435, 20141, Milan, Italy.; Department of Thoracic Oncology, European Institute of Oncology, via Ripamonti 435, 20141, Milan, Italy.; Department of Radiology, European Institute of Oncology, via Ripamonti 435, 20141, Milan, Italy.; Department of Thoracic Oncology, European Institute of Oncology, via Ripamonti 435, 20141, Milan, Italy.; Department of Thoracic Surgery, European Institute of Oncology, via Ripamonti 435, 20141, Milan, Italy.; Department of Radiology, European Institute of Oncology, via Ripamonti 435, 20141, Milan, Italy.; Department of Health Sciences, University of Milan, via A. di Rudini 8, 20142, Milan, Italy.&lt;/_author_adr&gt;&lt;_collection_scope&gt;SCI;SCIE&lt;/_collection_scope&gt;&lt;_created&gt;64298839&lt;/_created&gt;&lt;_date&gt;2016-01-01&lt;/_date&gt;&lt;_date_display&gt;2016 Jan&lt;/_date_display&gt;&lt;_db_updated&gt;PubMed&lt;/_db_updated&gt;&lt;_doi&gt;10.1007/s00330-015-3814-0&lt;/_doi&gt;&lt;_impact_factor&gt;   5.315&lt;/_impact_factor&gt;&lt;_isbn&gt;1432-1084 (Electronic); 0938-7994 (Linking)&lt;/_isbn&gt;&lt;_issue&gt;1&lt;/_issue&gt;&lt;_journal&gt;Eur Radiol&lt;/_journal&gt;&lt;_keywords&gt;Anaplastic lymphoma kinase (ALK); Computed Tomography (CT); Epidermal growth factor receptor (EFGR); Kirsten rat sarcoma (KRAS); Non-small cell lung carcinoma (NSCLC)&lt;/_keywords&gt;&lt;_language&gt;eng&lt;/_language&gt;&lt;_modified&gt;64455326&lt;/_modified&gt;&lt;_pages&gt;32-42&lt;/_pages&gt;&lt;_subject_headings&gt;Aged; Anaplastic Lymphoma Kinase; Carcinoma, Non-Small-Cell Lung/diagnostic imaging/*genetics; ErbB Receptors/*genetics; Female; Gene Rearrangement/genetics; Genes, ras/*genetics; Humans; Lung Neoplasms/diagnostic imaging/*genetics; Male; Mutation/*genetics; Pleural Effusion/diagnostic imaging/genetics; ROC Curve; Receptor Protein-Tyrosine Kinases/*genetics; Smoking/genetics; Tomography, X-Ray Computed&lt;/_subject_headings&gt;&lt;_tertiary_title&gt;European radiology&lt;/_tertiary_title&gt;&lt;_type_work&gt;Journal Article; Observational Study&lt;/_type_work&gt;&lt;_url&gt;http://www.ncbi.nlm.nih.gov/entrez/query.fcgi?cmd=Retrieve&amp;amp;db=pubmed&amp;amp;dopt=Abstract&amp;amp;list_uids=25956936&amp;amp;query_hl=1&lt;/_url&gt;&lt;_volume&gt;26&lt;/_volume&gt;&lt;/Details&gt;&lt;Extra&gt;&lt;DBUID&gt;{F96A950B-833F-4880-A151-76DA2D6A2879}&lt;/DBUID&gt;&lt;/Extra&gt;&lt;/Item&gt;&lt;/References&gt;&lt;/Group&gt;&lt;/Citation&gt;_x000a_"/>
    <w:docVar w:name="NE.Ref{A4421A87-9653-4B96-A497-8ED319FFAB46}" w:val=" ADDIN NE.Ref.{A4421A87-9653-4B96-A497-8ED319FFAB46}&lt;Citation&gt;&lt;Group&gt;&lt;References&gt;&lt;Item&gt;&lt;ID&gt;552&lt;/ID&gt;&lt;UID&gt;{D2FC8B67-3CBC-40B5-BB06-41EC92C62CC9}&lt;/UID&gt;&lt;Title&gt;Rapid Contour-based Segmentation for (18)F-FDG PET Imaging of Lung Tumors by Using ITK-SNAP: Comparison to Expert-based Segmentation&lt;/Title&gt;&lt;Template&gt;Journal Article&lt;/Template&gt;&lt;Star&gt;0&lt;/Star&gt;&lt;Tag&gt;0&lt;/Tag&gt;&lt;Author&gt;Besson, F L; Henry, T; Meyer, C; Chevance, V; Roblot, V; Blanchet, E; Arnould, V; Grimon, G; Chekroun, M; Mabille, L; Parent, F; Seferian, A; Bulifon, S; Montani, D; Humbert, M; Chaumet-Riffaud, P; Lebon, V; Durand, E&lt;/Author&gt;&lt;Year&gt;2018&lt;/Year&gt;&lt;Details&gt;&lt;_accessed&gt;64455076&lt;/_accessed&gt;&lt;_accession_num&gt;29613842&lt;/_accession_num&gt;&lt;_author_adr&gt;From the Department of Biophysics and Nuclear Medicine, Bicetre University Hospital, Assistance Publique-Hopitaux de Paris, 78 rue du General Leclerc, 94275 Le Kremlin-Bicetre, France (F.L.B., T.H., C.M., V.C., V.R., G.G., M.C., P.C.R., E.D.); IR4M-UMR 8081, Universite Paris Saclay, Universite Paris Sud, CNRS, Orsay, France (F.L.B., E.D.); Service Hospitalier Frederic Joliot, CEA, Universite Paris-Sud, Orsay, France (E.B., V.A., V.L.); Department of Nuclear Medicine, Hopital Marie Lannelongue, Le Plessis Robinson, France (L.M.); Universite Paris-Sud, Faculte de Medecine, Universite Paris-Saclay, Le Kremlin-Bicetre, France (F.P., A.S., S.B., D.M., M.H.); Service de Pneumologie, Hopital Bicetre, AP-HP, Le Kremlin-Bicetre, France (F.P., A.S., S.B., D.M., M.H.); and INSERM UMR_S 999, Hopital Marie Lannelongue, Le Plessis Robinson, France (F.P., A.S., S.B., D.M., M.H.).; From the Department of Biophysics and Nuclear Medicine, Bicetre University Hospital, Assistance Publique-Hopitaux de Paris, 78 rue du General Leclerc, 94275 Le Kremlin-Bicetre, France (F.L.B., T.H., C.M., V.C., V.R., G.G., M.C., P.C.R., E.D.); IR4M-UMR 8081, Universite Paris Saclay, Universite Paris Sud, CNRS, Orsay, France (F.L.B., E.D.); Service Hospitalier Frederic Joliot, CEA, Universite Paris-Sud, Orsay, France (E.B., V.A., V.L.); Department of Nuclear Medicine, Hopital Marie Lannelongue, Le Plessis Robinson, France (L.M.); Universite Paris-Sud, Faculte de Medecine, Universite Paris-Saclay, Le Kremlin-Bicetre, France (F.P., A.S., S.B., D.M., M.H.); Service de Pneumologie, Hopital Bicetre, AP-HP, Le Kremlin-Bicetre, France (F.P., A.S., S.B., D.M., M.H.); and INSERM UMR_S 999, Hopital Marie Lannelongue, Le Plessis Robinson, France (F.P., A.S., S.B., D.M., M.H.).; From the Department of Biophysics and Nuclear Medicine, Bicetre University Hospital, Assistance Publique-Hopitaux de Paris, 78 rue du General Leclerc, 94275 Le Kremlin-Bicetre, France (F.L.B., T.H., C.M., V.C., V.R., G.G., M.C., P.C.R., E.D.); IR4M-UMR 8081, Universite Paris Saclay, Universite Paris Sud, CNRS, Orsay, France (F.L.B., E.D.); Service Hospitalier Frederic Joliot, CEA, Universite Paris-Sud, Orsay, France (E.B., V.A., V.L.); Department of Nuclear Medicine, Hopital Marie Lannelongue, Le Plessis Robinson, France (L.M.); Universite Paris-Sud, Faculte de Medecine, Universite Paris-Saclay, Le Kremlin-Bicetre, France (F.P., A.S., S.B., D.M., M.H.); Service de Pneumologie, Hopital Bicetre, AP-HP, Le Kremlin-Bicetre, France (F.P., A.S., S.B., D.M., M.H.); and INSERM UMR_S 999, Hopital Marie Lannelongue, Le Plessis Robinson, France (F.P., A.S., S.B., D.M., M.H.).; From the Department of Biophysics and Nuclear Medicine, Bicetre University Hospital, Assistance Publique-Hopitaux de Paris, 78 rue du General Leclerc, 94275 Le Kremlin-Bicetre, France (F.L.B., T.H., C.M., V.C., V.R., G.G., M.C., P.C.R., E.D.); IR4M-UMR 8081, Universite Paris Saclay, Universite Paris Sud, CNRS, Orsay, France (F.L.B., E.D.); Service Hospitalier Frederic Joliot, CEA, Universite Paris-Sud, Orsay, France (E.B., V.A., V.L.); Department of Nuclear Medicine, Hopital Marie Lannelongue, Le Plessis Robinson, France (L.M.); Universite Paris-Sud, Faculte de Medecine, Universite Paris-Saclay, Le Kremlin-Bicetre, France (F.P., A.S., S.B., D.M., M.H.); Service de Pneumologie, Hopital Bicetre, AP-HP, Le Kremlin-Bicetre, France (F.P., A.S., S.B., D.M., M.H.); and INSERM UMR_S 999, Hopital Marie Lannelongue, Le Plessis Robinson, France (F.P., A.S., S.B., D.M., M.H.).; From the Department of Biophysics and Nuclear Medicine, Bicetre University Hospital, Assistance Publique-Hopitaux de Paris, 78 rue du General Leclerc, 94275 Le Kremlin-Bicetre, France (F.L.B., T.H., C.M., V.C., V.R., G.G., M.C., P.C.R., E.D.); IR4M-UMR 8081, Universite Paris Saclay, Universite Paris Sud, CNRS, Orsay, France (F.L.B., E.D.); Service Hospitalier Frederic Joliot, CEA, Universite Paris-Sud, Orsay, France (E.B., V.A., V.L.); Department of Nuclear Medicine, Hopital Marie Lannelongue, Le Plessis Robinson, France (L.M.); Universite Paris-Sud, Faculte de Medecine, Universite Paris-Saclay, Le Kremlin-Bicetre, France (F.P., A.S., S.B., D.M., M.H.); Service de Pneumologie, Hopital Bicetre, AP-HP, Le Kremlin-Bicetre, France (F.P., A.S., S.B., D.M., M.H.); and INSERM UMR_S 999, Hopital Marie Lannelongue, Le Plessis Robinson, France (F.P., A.S., S.B., D.M., M.H.).; From the Department of Biophysics and Nuclear Medicine, Bicetre University Hospital, Assistance Publique-Hopitaux de Paris, 78 rue du General Leclerc, 94275 Le Kremlin-Bicetre, France (F.L.B., T.H., C.M., V.C., V.R., G.G., M.C., P.C.R., E.D.); IR4M-UMR 8081, Universite Paris Saclay, Universite Paris Sud, CNRS, Orsay, France (F.L.B., E.D.); Service Hospitalier Frederic Joliot, CEA, Universite Paris-Sud, Orsay, France (E.B., V.A., V.L.); Department of Nuclear Medicine, Hopital Marie Lannelongue, Le Plessis Robinson, France (L.M.); Universite Paris-Sud, Faculte de Medecine, Universite Paris-Saclay, Le Kremlin-Bicetre, France (F.P., A.S., S.B., D.M., M.H.); Service de Pneumologie, Hopital Bicetre, AP-HP, Le Kremlin-Bicetre, France (F.P., A.S., S.B., D.M., M.H.); and INSERM UMR_S 999, Hopital Marie Lannelongue, Le Plessis Robinson, France (F.P., A.S., S.B., D.M., M.H.).; From the Department of Biophysics and Nuclear Medicine, Bicetre University Hospital, Assistance Publique-Hopitaux de Paris, 78 rue du General Leclerc, 94275 Le Kremlin-Bicetre, France (F.L.B., T.H., C.M., V.C., V.R., G.G., M.C., P.C.R., E.D.); IR4M-UMR 8081, Universite Paris Saclay, Universite Paris Sud, CNRS, Orsay, France (F.L.B., E.D.); Service Hospitalier Frederic Joliot, CEA, Universite Paris-Sud, Orsay, France (E.B., V.A., V.L.); Department of Nuclear Medicine, Hopital Marie Lannelongue, Le Plessis Robinson, France (L.M.); Universite Paris-Sud, Faculte de Medecine, Universite Paris-Saclay, Le Kremlin-Bicetre, France (F.P., A.S., S.B., D.M., M.H.); Service de Pneumologie, Hopital Bicetre, AP-HP, Le Kremlin-Bicetre, France (F.P., A.S., S.B., D.M., M.H.); and INSERM UMR_S 999, Hopital Marie Lannelongue, Le Plessis Robinson, France (F.P., A.S., S.B., D.M., M.H.).; From the Department of Biophysics and Nuclear Medicine, Bicetre University Hospital, Assistance Publique-Hopitaux de Paris, 78 rue du General Leclerc, 94275 Le Kremlin-Bicetre, France (F.L.B., T.H., C.M., V.C., V.R., G.G., M.C., P.C.R., E.D.); IR4M-UMR 8081, Universite Paris Saclay, Universite Paris Sud, CNRS, Orsay, France (F.L.B., E.D.); Service Hospitalier Frederic Joliot, CEA, Universite Paris-Sud, Orsay, France (E.B., V.A., V.L.); Department of Nuclear Medicine, Hopital Marie Lannelongue, Le Plessis Robinson, France (L.M.); Universite Paris-Sud, Faculte de Medecine, Universite Paris-Saclay, Le Kremlin-Bicetre, France (F.P., A.S., S.B., D.M., M.H.); Service de Pneumologie, Hopital Bicetre, AP-HP, Le Kremlin-Bicetre, France (F.P., A.S., S.B., D.M., M.H.); and INSERM UMR_S 999, Hopital Marie Lannelongue, Le Plessis Robinson, France (F.P., A.S., S.B., D.M., M.H.).; From the Department of Biophysics and Nuclear Medicine, Bicetre University Hospital, Assistance Publique-Hopitaux de Paris, 78 rue du General Leclerc, 94275 Le Kremlin-Bicetre, France (F.L.B., T.H., C.M., V.C., V.R., G.G., M.C., P.C.R., E.D.); IR4M-UMR 8081, Universite Paris Saclay, Universite Paris Sud, CNRS, Orsay, France (F.L.B., E.D.); Service Hospitalier Frederic Joliot, CEA, Universite Paris-Sud, Orsay, France (E.B., V.A., V.L.); Department of Nuclear Medicine, Hopital Marie Lannelongue, Le Plessis Robinson, France (L.M.); Universite Paris-Sud, Faculte de Medecine, Universite Paris-Saclay, Le Kremlin-Bicetre, France (F.P., A.S., S.B., D.M., M.H.); Service de Pneumologie, Hopital Bicetre, AP-HP, Le Kremlin-Bicetre, France (F.P., A.S., S.B., D.M., M.H.); and INSERM UMR_S 999, Hopital Marie Lannelongue, Le Plessis Robinson, France (F.P., A.S., S.B., D.M., M.H.).; From the Department of Biophysics and Nuclear Medicine, Bicetre University Hospital, Assistance Publique-Hopitaux de Paris, 78 rue du General Leclerc, 94275 Le Kremlin-Bicetre, France (F.L.B., T.H., C.M., V.C., V.R., G.G., M.C., P.C.R., E.D.); IR4M-UMR 8081, Universite Paris Saclay, Universite Paris Sud, CNRS, Orsay, France (F.L.B., E.D.); Service Hospitalier Frederic Joliot, CEA, Universite Paris-Sud, Orsay, France (E.B., V.A., V.L.); Department of Nuclear Medicine, Hopital Marie Lannelongue, Le Plessis Robinson, France (L.M.); Universite Paris-Sud, Faculte de Medecine, Universite Paris-Saclay, Le Kremlin-Bicetre, France (F.P., A.S., S.B., D.M., M.H.); Service de Pneumologie, Hopital Bicetre, AP-HP, Le Kremlin-Bicetre, France (F.P., A.S., S.B., D.M., M.H.); and INSERM UMR_S 999, Hopital Marie Lannelongue, Le Plessis Robinson, France (F.P., A.S., S.B., D.M., M.H.).; From the Department of Biophysics and Nuclear Medicine, Bicetre University Hospital, Assistance Publique-Hopitaux de Paris, 78 rue du General Leclerc, 94275 Le Kremlin-Bicetre, France (F.L.B., T.H., C.M., V.C., V.R., G.G., M.C., P.C.R., E.D.); IR4M-UMR 8081, Universite Paris Saclay, Universite Paris Sud, CNRS, Orsay, France (F.L.B., E.D.); Service Hospitalier Frederic Joliot, CEA, Universite Paris-Sud, Orsay, France (E.B., V.A., V.L.); Department of Nuclear Medicine, Hopital Marie Lannelongue, Le Plessis Robinson, France (L.M.); Universite Paris-Sud, Faculte de Medecine, Universite Paris-Saclay, Le Kremlin-Bicetre, France (F.P., A.S., S.B., D.M., M.H.); Service de Pneumologie, Hopital Bicetre, AP-HP, Le Kremlin-Bicetre, France (F.P., A.S., S.B., D.M., M.H.); and INSERM UMR_S 999, Hopital Marie Lannelongue, Le Plessis Robinson, France (F.P., A.S., S.B., D.M., M.H.).; From the Department of Biophysics and Nuclear Medicine, Bicetre University Hospital, Assistance Publique-Hopitaux de Paris, 78 rue du General Leclerc, 94275 Le Kremlin-Bicetre, France (F.L.B., T.H., C.M., V.C., V.R., G.G., M.C., P.C.R., E.D.); IR4M-UMR 8081, Universite Paris Saclay, Universite Paris Sud, CNRS, Orsay, France (F.L.B., E.D.); Service Hospitalier Frederic Joliot, CEA, Universite Paris-Sud, Orsay, France (E.B., V.A., V.L.); Department of Nuclear Medicine, Hopital Marie Lannelongue, Le Plessis Robinson, France (L.M.); Universite Paris-Sud, Faculte de Medecine, Universite Paris-Saclay, Le Kremlin-Bicetre, France (F.P., A.S., S.B., D.M., M.H.); Service de Pneumologie, Hopital Bicetre, AP-HP, Le Kremlin-Bicetre, France (F.P., A.S., S.B., D.M., M.H.); and INSERM UMR_S 999, Hopital Marie Lannelongue, Le Plessis Robinson, France (F.P., A.S., S.B., D.M., M.H.).; From the Department of Biophysics and Nuclear Medicine, Bicetre University Hospital, Assistance Publique-Hopitaux de Paris, 78 rue du General Leclerc, 94275 Le Kremlin-Bicetre, France (F.L.B., T.H., C.M., V.C., V.R., G.G., M.C., P.C.R., E.D.); IR4M-UMR 8081, Universite Paris Saclay, Universite Paris Sud, CNRS, Orsay, France (F.L.B., E.D.); Service Hospitalier Frederic Joliot, CEA, Universite Paris-Sud, Orsay, France (E.B., V.A., V.L.); Department of Nuclear Medicine, Hopital Marie Lannelongue, Le Plessis Robinson, France (L.M.); Universite Paris-Sud, Faculte de Medecine, Universite Paris-Saclay, Le Kremlin-Bicetre, France (F.P., A.S., S.B., D.M., M.H.); Service de Pneumologie, Hopital Bicetre, AP-HP, Le Kremlin-Bicetre, France (F.P., A.S., S.B., D.M., M.H.); and INSERM UMR_S 999, Hopital Marie Lannelongue, Le Plessis Robinson, France (F.P., A.S., S.B., D.M., M.H.).; From the Department of Biophysics and Nuclear Medicine, Bicetre University Hospital, Assistance Publique-Hopitaux de Paris, 78 rue du General Leclerc, 94275 Le Kremlin-Bicetre, France (F.L.B., T.H., C.M., V.C., V.R., G.G., M.C., P.C.R., E.D.); IR4M-UMR 8081, Universite Paris Saclay, Universite Paris Sud, CNRS, Orsay, France (F.L.B., E.D.); Service Hospitalier Frederic Joliot, CEA, Universite Paris-Sud, Orsay, France (E.B., V.A., V.L.); Department of Nuclear Medicine, Hopital Marie Lannelongue, Le Plessis Robinson, France (L.M.); Universite Paris-Sud, Faculte de Medecine, Universite Paris-Saclay, Le Kremlin-Bicetre, France (F.P., A.S., S.B., D.M., M.H.); Service de Pneumologie, Hopital Bicetre, AP-HP, Le Kremlin-Bicetre, France (F.P., A.S., S.B., D.M., M.H.); and INSERM UMR_S 999, Hopital Marie Lannelongue, Le Plessis Robinson, France (F.P., A.S., S.B., D.M., M.H.).; From the Department of Biophysics and Nuclear Medicine, Bicetre University Hospital, Assistance Publique-Hopitaux de Paris, 78 rue du General Leclerc, 94275 Le Kremlin-Bicetre, France (F.L.B., T.H., C.M., V.C., V.R., G.G., M.C., P.C.R., E.D.); IR4M-UMR 8081, Universite Paris Saclay, Universite Paris Sud, CNRS, Orsay, France (F.L.B., E.D.); Service Hospitalier Frederic Joliot, CEA, Universite Paris-Sud, Orsay, France (E.B., V.A., V.L.); Department of Nuclear Medicine, Hopital Marie Lannelongue, Le Plessis Robinson, France (L.M.); Universite Paris-Sud, Faculte de Medecine, Universite Paris-Saclay, Le Kremlin-Bicetre, France (F.P., A.S., S.B., D.M., M.H.); Service de Pneumologie, Hopital Bicetre, AP-HP, Le Kremlin-Bicetre, France (F.P., A.S., S.B., D.M., M.H.); and INSERM UMR_S 999, Hopital Marie Lannelongue, Le Plessis Robinson, France (F.P., A.S., S.B., D.M., M.H.).; From the Department of Biophysics and Nuclear Medicine, Bicetre University Hospital, Assistance Publique-Hopitaux de Paris, 78 rue du General Leclerc, 94275 Le Kremlin-Bicetre, France (F.L.B., T.H., C.M., V.C., V.R., G.G., M.C., P.C.R., E.D.); IR4M-UMR 8081, Universite Paris Saclay, Universite Paris Sud, CNRS, Orsay, France (F.L.B., E.D.); Service Hospitalier Frederic Joliot, CEA, Universite Paris-Sud, Orsay, France (E.B., V.A., V.L.); Department of Nuclear Medicine, Hopital Marie Lannelongue, Le Plessis Robinson, France (L.M.); Universite Paris-Sud, Faculte de Medecine, Universite Paris-Saclay, Le Kremlin-Bicetre, France (F.P., A.S., S.B., D.M., M.H.); Service de Pneumologie, Hopital Bicetre, AP-HP, Le Kremlin-Bicetre, France (F.P., A.S., S.B., D.M., M.H.); and INSERM UMR_S 999, Hopital Marie Lannelongue, Le Plessis Robinson, France (F.P., A.S., S.B., D.M., M.H.).; From the Department of Biophysics and Nuclear Medicine, Bicetre University Hospital, Assistance Publique-Hopitaux de Paris, 78 rue du General Leclerc, 94275 Le Kremlin-Bicetre, France (F.L.B., T.H., C.M., V.C., V.R., G.G., M.C., P.C.R., E.D.); IR4M-UMR 8081, Universite Paris Saclay, Universite Paris Sud, CNRS, Orsay, France (F.L.B., E.D.); Service Hospitalier Frederic Joliot, CEA, Universite Paris-Sud, Orsay, France (E.B., V.A., V.L.); Department of Nuclear Medicine, Hopital Marie Lannelongue, Le Plessis Robinson, France (L.M.); Universite Paris-Sud, Faculte de Medecine, Universite Paris-Saclay, Le Kremlin-Bicetre, France (F.P., A.S., S.B., D.M., M.H.); Service de Pneumologie, Hopital Bicetre, AP-HP, Le Kremlin-Bicetre, France (F.P., A.S., S.B., D.M., M.H.); and INSERM UMR_S 999, Hopital Marie Lannelongue, Le Plessis Robinson, France (F.P., A.S., S.B., D.M., M.H.).; From the Department of Biophysics and Nuclear Medicine, Bicetre University Hospital, Assistance Publique-Hopitaux de Paris, 78 rue du General Leclerc, 94275 Le Kremlin-Bicetre, France (F.L.B., T.H., C.M., V.C., V.R., G.G., M.C., P.C.R., E.D.); IR4M-UMR 8081, Universite Paris Saclay, Universite Paris Sud, CNRS, Orsay, France (F.L.B., E.D.); Service Hospitalier Frederic Joliot, CEA, Universite Paris-Sud, Orsay, France (E.B., V.A., V.L.); Department of Nuclear Medicine, Hopital Marie Lannelongue, Le Plessis Robinson, France (L.M.); Universite Paris-Sud, Faculte de Medecine, Universite Paris-Saclay, Le Kremlin-Bicetre, France (F.P., A.S., S.B., D.M., M.H.); Service de Pneumologie, Hopital Bicetre, AP-HP, Le Kremlin-Bicetre, France (F.P., A.S., S.B., D.M., M.H.); and INSERM UMR_S 999, Hopital Marie Lannelongue, Le Plessis Robinson, France (F.P., A.S., S.B., D.M., M.H.).&lt;/_author_adr&gt;&lt;_collection_scope&gt;SCI;SCIE&lt;/_collection_scope&gt;&lt;_created&gt;64298775&lt;/_created&gt;&lt;_date&gt;2018-07-01&lt;/_date&gt;&lt;_date_display&gt;2018 Jul&lt;/_date_display&gt;&lt;_db_updated&gt;PubMed&lt;/_db_updated&gt;&lt;_doi&gt;10.1148/radiol.2018171756&lt;/_doi&gt;&lt;_impact_factor&gt;  11.105&lt;/_impact_factor&gt;&lt;_isbn&gt;1527-1315 (Electronic); 0033-8419 (Linking)&lt;/_isbn&gt;&lt;_issue&gt;1&lt;/_issue&gt;&lt;_journal&gt;Radiology&lt;/_journal&gt;&lt;_language&gt;eng&lt;/_language&gt;&lt;_modified&gt;64455076&lt;/_modified&gt;&lt;_ori_publication&gt;(c) RSNA, 2018.&lt;/_ori_publication&gt;&lt;_pages&gt;277-284&lt;/_pages&gt;&lt;_subject_headings&gt;Algorithms; Female; *Fluorodeoxyglucose F18; Humans; Image Processing, Computer-Assisted/*methods; Lung/diagnostic imaging; Lung Neoplasms/*diagnostic imaging; Male; Positron-Emission Tomography/*methods; *Radiopharmaceuticals; Reproducibility of Results; Retrospective Studies; Software&lt;/_subject_headings&gt;&lt;_tertiary_title&gt;Radiology&lt;/_tertiary_title&gt;&lt;_type_work&gt;Comparative Study; Journal Article&lt;/_type_work&gt;&lt;_url&gt;http://www.ncbi.nlm.nih.gov/entrez/query.fcgi?cmd=Retrieve&amp;amp;db=pubmed&amp;amp;dopt=Abstract&amp;amp;list_uids=29613842&amp;amp;query_hl=1&lt;/_url&gt;&lt;_volume&gt;288&lt;/_volume&gt;&lt;/Details&gt;&lt;Extra&gt;&lt;DBUID&gt;{F96A950B-833F-4880-A151-76DA2D6A2879}&lt;/DBUID&gt;&lt;/Extra&gt;&lt;/Item&gt;&lt;/References&gt;&lt;/Group&gt;&lt;/Citation&gt;_x000a_"/>
    <w:docVar w:name="NE.Ref{AA243658-8985-472B-902F-18C5CF4CF1AE}" w:val=" ADDIN NE.Ref.{AA243658-8985-472B-902F-18C5CF4CF1AE}&lt;Citation&gt;&lt;Group&gt;&lt;References&gt;&lt;Item&gt;&lt;ID&gt;541&lt;/ID&gt;&lt;UID&gt;{729BD2CE-6BEF-4BC6-911B-E9239A3422B0}&lt;/UID&gt;&lt;Title&gt;Role of [(1)(8)F]FDG PET in prediction of KRAS and EGFR mutation status in patients with advanced non-small-cell lung cancer&lt;/Title&gt;&lt;Template&gt;Journal Article&lt;/Template&gt;&lt;Star&gt;0&lt;/Star&gt;&lt;Tag&gt;0&lt;/Tag&gt;&lt;Author&gt;Caicedo, C; Garcia-Velloso, M J; Lozano, M D; Labiano, T; Vigil, Diaz C; Lopez-Picazo, J M; Gurpide, A; Zulueta, J J; Richter, Echevarria JA; Perez, Gracia JL&lt;/Author&gt;&lt;Year&gt;2014&lt;/Year&gt;&lt;Details&gt;&lt;_accession_num&gt;24990403&lt;/_accession_num&gt;&lt;_author_adr&gt;Nuclear Medicine Department, University Clinic of Navarra, University of Navarra, Avda. Pio XII 36, 31008, Pamplona, Spain.&lt;/_author_adr&gt;&lt;_created&gt;64298751&lt;/_created&gt;&lt;_date&gt;2014-11-01&lt;/_date&gt;&lt;_date_display&gt;2014 Nov&lt;/_date_display&gt;&lt;_db_updated&gt;PubMed&lt;/_db_updated&gt;&lt;_doi&gt;10.1007/s00259-014-2833-4&lt;/_doi&gt;&lt;_impact_factor&gt;   9.236&lt;/_impact_factor&gt;&lt;_isbn&gt;1619-7089 (Electronic); 1619-7070 (Linking)&lt;/_isbn&gt;&lt;_issue&gt;11&lt;/_issue&gt;&lt;_journal&gt;Eur J Nucl Med Mol Imaging&lt;/_journal&gt;&lt;_language&gt;eng&lt;/_language&gt;&lt;_modified&gt;64298752&lt;/_modified&gt;&lt;_pages&gt;2058-65&lt;/_pages&gt;&lt;_subject_headings&gt;Adult; Aged; Aged, 80 and over; Carcinoma, Non-Small-Cell Lung/*diagnostic imaging/genetics/pathology; ErbB Receptors/*genetics; Female; *Fluorodeoxyglucose F18; Humans; Lung Neoplasms/*diagnostic imaging/genetics/pathology; Male; Middle Aged; Multivariate Analysis; *Mutation; *Positron-Emission Tomography; Proto-Oncogene Proteins/*genetics; Proto-Oncogene Proteins p21(ras); Tomography, X-Ray Computed; ras Proteins/*genetics&lt;/_subject_headings&gt;&lt;_tertiary_title&gt;European journal of nuclear medicine and molecular imaging&lt;/_tertiary_title&gt;&lt;_type_work&gt;Journal Article; Research Support, Non-U.S. Gov&amp;apos;t&lt;/_type_work&gt;&lt;_url&gt;http://www.ncbi.nlm.nih.gov/entrez/query.fcgi?cmd=Retrieve&amp;amp;db=pubmed&amp;amp;dopt=Abstract&amp;amp;list_uids=24990403&amp;amp;query_hl=1&lt;/_url&gt;&lt;_volume&gt;41&lt;/_volume&gt;&lt;/Details&gt;&lt;Extra&gt;&lt;DBUID&gt;{F96A950B-833F-4880-A151-76DA2D6A2879}&lt;/DBUID&gt;&lt;/Extra&gt;&lt;/Item&gt;&lt;/References&gt;&lt;/Group&gt;&lt;Group&gt;&lt;References&gt;&lt;Item&gt;&lt;ID&gt;542&lt;/ID&gt;&lt;UID&gt;{A66864CE-C8BB-4959-85AD-D64F54598C43}&lt;/UID&gt;&lt;Title&gt;FDG uptake in non-small cell lung cancer is not an independent predictor of EGFR  or KRAS mutation status: a retrospective analysis of 206 patients&lt;/Title&gt;&lt;Template&gt;Journal Article&lt;/Template&gt;&lt;Star&gt;0&lt;/Star&gt;&lt;Tag&gt;0&lt;/Tag&gt;&lt;Author&gt;Lee, S M; Bae, S K; Jung, S J; Kim, C K&lt;/Author&gt;&lt;Year&gt;2015&lt;/Year&gt;&lt;Details&gt;&lt;_accession_num&gt;26359571&lt;/_accession_num&gt;&lt;_author_adr&gt;From the *Department of Nuclear Medicine, Busan Paik Hospital, Inje University College of Medicine, Busan, South Korea; daggerDivision of Nuclear Medicine and Molecular Imaging, Department of Radiology, Brigham and Women&amp;apos;s Hospital, Harvard Medical School, Boston, MA; and double daggerDepartment of Pathology, Busan Paik  Hospital, Inje University College of Medicine, Busan, South Korea.&lt;/_author_adr&gt;&lt;_collection_scope&gt;SCIE&lt;/_collection_scope&gt;&lt;_created&gt;64298752&lt;/_created&gt;&lt;_date&gt;2015-12-01&lt;/_date&gt;&lt;_date_display&gt;2015 Dec&lt;/_date_display&gt;&lt;_db_updated&gt;PubMed&lt;/_db_updated&gt;&lt;_doi&gt;10.1097/RLU.0000000000000975&lt;/_doi&gt;&lt;_impact_factor&gt;   7.794&lt;/_impact_factor&gt;&lt;_isbn&gt;1536-0229 (Electronic); 0363-9762 (Linking)&lt;/_isbn&gt;&lt;_issue&gt;12&lt;/_issue&gt;&lt;_journal&gt;Clin Nucl Med&lt;/_journal&gt;&lt;_language&gt;eng&lt;/_language&gt;&lt;_modified&gt;64298753&lt;/_modified&gt;&lt;_pages&gt;950-8&lt;/_pages&gt;&lt;_subject_headings&gt;Adult; Aged; Aged, 80 and over; Carcinoma, Non-Small-Cell Lung/*diagnostic imaging/genetics; ErbB Receptors/*genetics; Female; *Fluorodeoxyglucose F18; Humans; Lung Neoplasms/*diagnostic imaging/genetics; Male; Middle Aged; *Mutation; Positron-Emission Tomography; Proto-Oncogene Proteins p21(ras)/*genetics; *Radiopharmaceuticals&lt;/_subject_headings&gt;&lt;_tertiary_title&gt;Clinical nuclear medicine&lt;/_tertiary_title&gt;&lt;_type_work&gt;Journal Article; Research Support, Non-U.S. Gov&amp;apos;t&lt;/_type_work&gt;&lt;_url&gt;http://www.ncbi.nlm.nih.gov/entrez/query.fcgi?cmd=Retrieve&amp;amp;db=pubmed&amp;amp;dopt=Abstract&amp;amp;list_uids=26359571&amp;amp;query_hl=1&lt;/_url&gt;&lt;_volume&gt;40&lt;/_volume&gt;&lt;/Details&gt;&lt;Extra&gt;&lt;DBUID&gt;{F96A950B-833F-4880-A151-76DA2D6A2879}&lt;/DBUID&gt;&lt;/Extra&gt;&lt;/Item&gt;&lt;/References&gt;&lt;/Group&gt;&lt;/Citation&gt;_x000a_"/>
    <w:docVar w:name="NE.Ref{AF67430A-6EFC-4579-8298-D9A6CFCC6E88}" w:val=" ADDIN NE.Ref.{AF67430A-6EFC-4579-8298-D9A6CFCC6E88}&lt;Citation&gt;&lt;Group&gt;&lt;References&gt;&lt;Item&gt;&lt;ID&gt;572&lt;/ID&gt;&lt;UID&gt;{79F9547B-8FD8-4298-ACD3-9A8545985B69}&lt;/UID&gt;&lt;Title&gt;Multi-level multi-modality (PET and CT) fusion radiomics: prognostic modeling for non-small cell lung carcinoma&lt;/Title&gt;&lt;Template&gt;Journal Article&lt;/Template&gt;&lt;Star&gt;0&lt;/Star&gt;&lt;Tag&gt;0&lt;/Tag&gt;&lt;Author&gt;Amini, M; Nazari, M; Shiri, I; Hajianfar, G; Deevband, M R; Abdollahi, H; Arabi, H; Rahmim, A; Zaidi, H&lt;/Author&gt;&lt;Year&gt;2021&lt;/Year&gt;&lt;Details&gt;&lt;_accessed&gt;64455245&lt;/_accessed&gt;&lt;_accession_num&gt;34544053&lt;/_accession_num&gt;&lt;_author_adr&gt;Division of Nuclear Medicine and Molecular Imaging, Geneva University Hospital, CH-1205 Geneva, Switzerland.; Department of Biomedical Engineering and Medical Physics, Shahid Beheshti University of Medical Sciences, Tehran, Iran.; Department of Biomedical Engineering and Medical Physics, Shahid Beheshti University of Medical Sciences, Tehran, Iran.; Division of Nuclear Medicine and Molecular Imaging, Geneva University Hospital, CH-1205 Geneva, Switzerland.; Rajaie Cardiovascular Medical and Research Center, Iran University of Medical Science, Tehran, Iran.; Department of Biomedical Engineering and Medical Physics, Shahid Beheshti University of Medical Sciences, Tehran, Iran.; Department of Radiologic Technology, School of Allied Medicine, Kerman University of Medical Sciences, Kerman, Iran.; Division of Nuclear Medicine and Molecular Imaging, Geneva University Hospital, CH-1205 Geneva, Switzerland.; Departments of Radiology and Physics, University of British Columbia, Vancouver BC, Canada.; Department of Integrative Oncology, BC Cancer Research Institute, Vancouver BC, Canada.; Division of Nuclear Medicine and Molecular Imaging, Geneva University Hospital, CH-1205 Geneva, Switzerland.; Geneva University Neurocenter, Geneva University, CH-1211 Geneva, Switzerland.; Department of Nuclear Medicine and Molecular Imaging, University of Groningen, University Medical Centre Groningen, Groningen, The Netherlands.; Department of Nuclear Medicine, University of Southern Denmark, Odense, Denmark.&lt;/_author_adr&gt;&lt;_collection_scope&gt;SCI;SCIE;EI&lt;/_collection_scope&gt;&lt;_created&gt;64298895&lt;/_created&gt;&lt;_date&gt;2021-10-14&lt;/_date&gt;&lt;_date_display&gt;2021 Oct 14&lt;/_date_display&gt;&lt;_db_updated&gt;PubMed&lt;/_db_updated&gt;&lt;_doi&gt;10.1088/1361-6560/ac287d&lt;/_doi&gt;&lt;_impact_factor&gt;   3.609&lt;/_impact_factor&gt;&lt;_isbn&gt;1361-6560 (Electronic); 0031-9155 (Linking)&lt;/_isbn&gt;&lt;_issue&gt;20&lt;/_issue&gt;&lt;_journal&gt;Phys Med Biol&lt;/_journal&gt;&lt;_keywords&gt;CT; PET; fusion imaging; non-small cell lung cancer; prognosis; radiomics&lt;/_keywords&gt;&lt;_language&gt;eng&lt;/_language&gt;&lt;_modified&gt;64455245&lt;/_modified&gt;&lt;_ori_publication&gt;(c) 2021 Institute of Physics and Engineering in Medicine.&lt;/_ori_publication&gt;&lt;_tertiary_title&gt;Physics in medicine and biology&lt;/_tertiary_title&gt;&lt;_type_work&gt;Journal Article&lt;/_type_work&gt;&lt;_url&gt;http://www.ncbi.nlm.nih.gov/entrez/query.fcgi?cmd=Retrieve&amp;amp;db=pubmed&amp;amp;dopt=Abstract&amp;amp;list_uids=34544053&amp;amp;query_hl=1&lt;/_url&gt;&lt;_volume&gt;66&lt;/_volume&gt;&lt;/Details&gt;&lt;Extra&gt;&lt;DBUID&gt;{F96A950B-833F-4880-A151-76DA2D6A2879}&lt;/DBUID&gt;&lt;/Extra&gt;&lt;/Item&gt;&lt;/References&gt;&lt;/Group&gt;&lt;/Citation&gt;_x000a_"/>
    <w:docVar w:name="NE.Ref{B060C5B7-2334-49D8-ADD2-B17A8A3D1C11}" w:val=" ADDIN NE.Ref.{B060C5B7-2334-49D8-ADD2-B17A8A3D1C11}&lt;Citation&gt;&lt;Group&gt;&lt;References&gt;&lt;Item&gt;&lt;ID&gt;536&lt;/ID&gt;&lt;UID&gt;{37DE5AED-8C3D-4EF8-9313-858DAEE2EC3E}&lt;/UID&gt;&lt;Title&gt;A Machine Learning Model Based on PET/CT Radiomics and Clinical Characteristics Predicts ALK Rearrangement Status in Lung Adenocarcinoma&lt;/Title&gt;&lt;Template&gt;Journal Article&lt;/Template&gt;&lt;Star&gt;0&lt;/Star&gt;&lt;Tag&gt;0&lt;/Tag&gt;&lt;Author&gt;Chang, C; Sun, X; Wang, G; Yu, H; Zhao, W; Ge, Y; Duan, S; Qian, X; Wang, R; Lei, B; Wang, L; Liu, L; Ruan, M; Yan, H; Liu, C; Chen, J; Xie, W&lt;/Author&gt;&lt;Year&gt;2021&lt;/Year&gt;&lt;Details&gt;&lt;_accession_num&gt;33738250&lt;/_accession_num&gt;&lt;_author_adr&gt;Department of Nuclear Medicine, Shanghai Chest Hospital, Shanghai Jiao Tong University, Shanghai, China.; Clinical and Translational Center in Shanghai Chest Hospital, Shanghai Key Laboratory for Molecular Imaging, Shanghai University of Medicine and Health Sciences, Shanghai, China.; Department of Nuclear Medicine, Shanghai Chest Hospital, Shanghai Jiao Tong University, Shanghai, China.; Clinical and Translational Center in Shanghai Chest Hospital, Shanghai Key Laboratory for Molecular Imaging, Shanghai University of Medicine and Health Sciences, Shanghai, China.; Statistical Center, Shanghai Chest Hospital, Shanghai Jiao Tong University, Shanghai, China.; Department of Radiology, Shanghai Chest Hospital, Shanghai Jiao Tong University,  Shanghai, China.; Department of Radiology, Second Affiliated Hospital of Soochow University, Suzhou, China.; Pharmaceutical Diagnostic Department, GE Healthcare China, Shanghai, China.; Pharmaceutical Diagnostic Department, GE Healthcare China, Shanghai, China.; Institute for Medical Imaging Technology, School of Biomedical Engineering, Shanghai Jiao Tong University, Shanghai, China.; Department of Thoracic Surgery, Shanghai Chest Hospital, Shanghai Jiao Tong University, Shanghai, China.; Department of Nuclear Medicine, Shanghai Chest Hospital, Shanghai Jiao Tong University, Shanghai, China.; Department of Nuclear Medicine, Shanghai Chest Hospital, Shanghai Jiao Tong University, Shanghai, China.; Department of Nuclear Medicine, Shanghai Chest Hospital, Shanghai Jiao Tong University, Shanghai, China.; Clinical and Translational Center in Shanghai Chest Hospital, Shanghai Key Laboratory for Molecular Imaging, Shanghai University of Medicine and Health Sciences, Shanghai, China.; Department of Nuclear Medicine, Shanghai Chest Hospital, Shanghai Jiao Tong University, Shanghai, China.; Department of Nuclear Medicine, Shanghai Chest Hospital, Shanghai Jiao Tong University, Shanghai, China.; Department of Nuclear Medicine, Shanghai Chest Hospital, Shanghai Jiao Tong University, Shanghai, China.; Department of Ultrasound, Shanghai Chest Hospital, Shanghai Jiao Tong University, Shanghai, China.; Department of Nuclear Medicine, Shanghai Chest Hospital, Shanghai Jiao Tong University, Shanghai, China.; Clinical and Translational Center in Shanghai Chest Hospital, Shanghai Key Laboratory for Molecular Imaging, Shanghai University of Medicine and Health Sciences, Shanghai, China.&lt;/_author_adr&gt;&lt;_date_display&gt;2021&lt;/_date_display&gt;&lt;_date&gt;2021-01-20&lt;/_date&gt;&lt;_doi&gt;10.3389/fonc.2021.603882&lt;/_doi&gt;&lt;_isbn&gt;2234-943X (Print); 2234-943X (Linking)&lt;/_isbn&gt;&lt;_journal&gt;Front Oncol&lt;/_journal&gt;&lt;_keywords&gt;anaplastic lymphoma kinase (ALK) rearrangement; lung adenocarcinoma; machine learning; positron emission tomography/computed tomography (PET/CT); radiomics&lt;/_keywords&gt;&lt;_language&gt;eng&lt;/_language&gt;&lt;_ori_publication&gt;Copyright (c) 2021 Chang, Sun, Wang, Yu, Zhao, Ge, Duan, Qian, Wang, Lei, Wang,_x000d__x000a_      Liu, Ruan, Yan, Liu, Chen and Xie.&lt;/_ori_publication&gt;&lt;_pages&gt;603882&lt;/_pages&gt;&lt;_tertiary_title&gt;Frontiers in oncology&lt;/_tertiary_title&gt;&lt;_type_work&gt;Journal Article&lt;/_type_work&gt;&lt;_url&gt;http://www.ncbi.nlm.nih.gov/entrez/query.fcgi?cmd=Retrieve&amp;amp;db=pubmed&amp;amp;dopt=Abstract&amp;amp;list_uids=33738250&amp;amp;query_hl=1&lt;/_url&gt;&lt;_volume&gt;11&lt;/_volume&gt;&lt;_created&gt;64298747&lt;/_created&gt;&lt;_modified&gt;64298748&lt;/_modified&gt;&lt;_db_updated&gt;PubMed&lt;/_db_updated&gt;&lt;_impact_factor&gt;   6.244&lt;/_impact_factor&gt;&lt;_collection_scope&gt;SCIE&lt;/_collection_scope&gt;&lt;/Details&gt;&lt;Extra&gt;&lt;DBUID&gt;{F96A950B-833F-4880-A151-76DA2D6A2879}&lt;/DBUID&gt;&lt;/Extra&gt;&lt;/Item&gt;&lt;/References&gt;&lt;/Group&gt;&lt;/Citation&gt;_x000a_"/>
    <w:docVar w:name="NE.Ref{B4C11D75-E55F-4AF0-92ED-4CFB274F737A}" w:val=" ADDIN NE.Ref.{B4C11D75-E55F-4AF0-92ED-4CFB274F737A}&lt;Citation&gt;&lt;Group&gt;&lt;References&gt;&lt;Item&gt;&lt;ID&gt;541&lt;/ID&gt;&lt;UID&gt;{729BD2CE-6BEF-4BC6-911B-E9239A3422B0}&lt;/UID&gt;&lt;Title&gt;Role of [(1)(8)F]FDG PET in prediction of KRAS and EGFR mutation status in patients with advanced non-small-cell lung cancer&lt;/Title&gt;&lt;Template&gt;Journal Article&lt;/Template&gt;&lt;Star&gt;0&lt;/Star&gt;&lt;Tag&gt;0&lt;/Tag&gt;&lt;Author&gt;Caicedo, C; Garcia-Velloso, M J; Lozano, M D; Labiano, T; Vigil, Diaz C; Lopez-Picazo, J M; Gurpide, A; Zulueta, J J; Richter, Echevarria JA; Perez, Gracia JL&lt;/Author&gt;&lt;Year&gt;2014&lt;/Year&gt;&lt;Details&gt;&lt;_accession_num&gt;24990403&lt;/_accession_num&gt;&lt;_author_adr&gt;Nuclear Medicine Department, University Clinic of Navarra, University of Navarra, Avda. Pio XII 36, 31008, Pamplona, Spain.&lt;/_author_adr&gt;&lt;_created&gt;64298751&lt;/_created&gt;&lt;_date&gt;2014-11-01&lt;/_date&gt;&lt;_date_display&gt;2014 Nov&lt;/_date_display&gt;&lt;_db_updated&gt;PubMed&lt;/_db_updated&gt;&lt;_doi&gt;10.1007/s00259-014-2833-4&lt;/_doi&gt;&lt;_impact_factor&gt;   9.236&lt;/_impact_factor&gt;&lt;_isbn&gt;1619-7089 (Electronic); 1619-7070 (Linking)&lt;/_isbn&gt;&lt;_issue&gt;11&lt;/_issue&gt;&lt;_journal&gt;Eur J Nucl Med Mol Imaging&lt;/_journal&gt;&lt;_language&gt;eng&lt;/_language&gt;&lt;_modified&gt;64298752&lt;/_modified&gt;&lt;_pages&gt;2058-65&lt;/_pages&gt;&lt;_subject_headings&gt;Adult; Aged; Aged, 80 and over; Carcinoma, Non-Small-Cell Lung/*diagnostic imaging/genetics/pathology; ErbB Receptors/*genetics; Female; *Fluorodeoxyglucose F18; Humans; Lung Neoplasms/*diagnostic imaging/genetics/pathology; Male; Middle Aged; Multivariate Analysis; *Mutation; *Positron-Emission Tomography; Proto-Oncogene Proteins/*genetics; Proto-Oncogene Proteins p21(ras); Tomography, X-Ray Computed; ras Proteins/*genetics&lt;/_subject_headings&gt;&lt;_tertiary_title&gt;European journal of nuclear medicine and molecular imaging&lt;/_tertiary_title&gt;&lt;_type_work&gt;Journal Article; Research Support, Non-U.S. Gov&amp;apos;t&lt;/_type_work&gt;&lt;_url&gt;http://www.ncbi.nlm.nih.gov/entrez/query.fcgi?cmd=Retrieve&amp;amp;db=pubmed&amp;amp;dopt=Abstract&amp;amp;list_uids=24990403&amp;amp;query_hl=1&lt;/_url&gt;&lt;_volume&gt;41&lt;/_volume&gt;&lt;/Details&gt;&lt;Extra&gt;&lt;DBUID&gt;{F96A950B-833F-4880-A151-76DA2D6A2879}&lt;/DBUID&gt;&lt;/Extra&gt;&lt;/Item&gt;&lt;/References&gt;&lt;/Group&gt;&lt;Group&gt;&lt;References&gt;&lt;Item&gt;&lt;ID&gt;542&lt;/ID&gt;&lt;UID&gt;{A66864CE-C8BB-4959-85AD-D64F54598C43}&lt;/UID&gt;&lt;Title&gt;FDG uptake in non-small cell lung cancer is not an independent predictor of EGFR  or KRAS mutation status: a retrospective analysis of 206 patients&lt;/Title&gt;&lt;Template&gt;Journal Article&lt;/Template&gt;&lt;Star&gt;0&lt;/Star&gt;&lt;Tag&gt;0&lt;/Tag&gt;&lt;Author&gt;Lee, S M; Bae, S K; Jung, S J; Kim, C K&lt;/Author&gt;&lt;Year&gt;2015&lt;/Year&gt;&lt;Details&gt;&lt;_accession_num&gt;26359571&lt;/_accession_num&gt;&lt;_author_adr&gt;From the *Department of Nuclear Medicine, Busan Paik Hospital, Inje University College of Medicine, Busan, South Korea; daggerDivision of Nuclear Medicine and Molecular Imaging, Department of Radiology, Brigham and Women&amp;apos;s Hospital, Harvard Medical School, Boston, MA; and double daggerDepartment of Pathology, Busan Paik  Hospital, Inje University College of Medicine, Busan, South Korea.&lt;/_author_adr&gt;&lt;_collection_scope&gt;SCIE&lt;/_collection_scope&gt;&lt;_created&gt;64298752&lt;/_created&gt;&lt;_date&gt;2015-12-01&lt;/_date&gt;&lt;_date_display&gt;2015 Dec&lt;/_date_display&gt;&lt;_db_updated&gt;PubMed&lt;/_db_updated&gt;&lt;_doi&gt;10.1097/RLU.0000000000000975&lt;/_doi&gt;&lt;_impact_factor&gt;   7.794&lt;/_impact_factor&gt;&lt;_isbn&gt;1536-0229 (Electronic); 0363-9762 (Linking)&lt;/_isbn&gt;&lt;_issue&gt;12&lt;/_issue&gt;&lt;_journal&gt;Clin Nucl Med&lt;/_journal&gt;&lt;_language&gt;eng&lt;/_language&gt;&lt;_modified&gt;64298753&lt;/_modified&gt;&lt;_pages&gt;950-8&lt;/_pages&gt;&lt;_subject_headings&gt;Adult; Aged; Aged, 80 and over; Carcinoma, Non-Small-Cell Lung/*diagnostic imaging/genetics; ErbB Receptors/*genetics; Female; *Fluorodeoxyglucose F18; Humans; Lung Neoplasms/*diagnostic imaging/genetics; Male; Middle Aged; *Mutation; Positron-Emission Tomography; Proto-Oncogene Proteins p21(ras)/*genetics; *Radiopharmaceuticals&lt;/_subject_headings&gt;&lt;_tertiary_title&gt;Clinical nuclear medicine&lt;/_tertiary_title&gt;&lt;_type_work&gt;Journal Article; Research Support, Non-U.S. Gov&amp;apos;t&lt;/_type_work&gt;&lt;_url&gt;http://www.ncbi.nlm.nih.gov/entrez/query.fcgi?cmd=Retrieve&amp;amp;db=pubmed&amp;amp;dopt=Abstract&amp;amp;list_uids=26359571&amp;amp;query_hl=1&lt;/_url&gt;&lt;_volume&gt;40&lt;/_volume&gt;&lt;/Details&gt;&lt;Extra&gt;&lt;DBUID&gt;{F96A950B-833F-4880-A151-76DA2D6A2879}&lt;/DBUID&gt;&lt;/Extra&gt;&lt;/Item&gt;&lt;/References&gt;&lt;/Group&gt;&lt;Group&gt;&lt;References&gt;&lt;Item&gt;&lt;ID&gt;543&lt;/ID&gt;&lt;UID&gt;{E6E39345-00B3-4664-8FAE-57E7922544AA}&lt;/UID&gt;&lt;Title&gt;Correlation between EGFR gene mutation, cytologic tumor markers, 18F-FDG uptake in non-small cell lung cancer&lt;/Title&gt;&lt;Template&gt;Journal Article&lt;/Template&gt;&lt;Star&gt;0&lt;/Star&gt;&lt;Tag&gt;0&lt;/Tag&gt;&lt;Author&gt;Cho, A; Hur, J; Moon, Y W; Hong, S R; Suh, Y J; Kim, Y J; Im, D J; Hong, Y J; Lee, H J; Kim, Y J; Shim, H S; Lee, J S; Kim, J H; Choi, B W&lt;/Author&gt;&lt;Year&gt;2016&lt;/Year&gt;&lt;Details&gt;&lt;_accession_num&gt;26979333&lt;/_accession_num&gt;&lt;_author_adr&gt;Department of Nuclear Medicine, Severance Hospital, Yonsei University College of  Medicine, Seoul, Korea.; Department of Radiology, Severance Hospital, Yonsei University College of Medicine, 50 Yonsei-ro, Seodaemun-gu, Seoul, 120-752, Korea.; Department of Radiology and Research Institute of Radiological Science, Severance Hospital, Yonsei University College of Medicine, Seoul, Korea. khuhz@yuhs.ac.; Yonsei Cancer Center, Division of Medical Oncology, Department of Internal Medicine, Yonsei University College of Medicine, Seoul, Korea.; Medical Oncology, Department of Internal Medicine, CHA Bundang Medical Center, CHA University, Seongnam, Korea.; Department of Radiology and Research Institute of Radiological Science, Severance Hospital, Yonsei University College of Medicine, Seoul, Korea.; Department of Radiology and Research Institute of Radiological Science, Severance Hospital, Yonsei University College of Medicine, Seoul, Korea.; Department of Radiology and Research Institute of Radiological Science, Severance Hospital, Yonsei University College of Medicine, Seoul, Korea.; Department of Radiology and Research Institute of Radiological Science, Severance Hospital, Yonsei University College of Medicine, Seoul, Korea.; Department of Radiology and Research Institute of Radiological Science, Severance Hospital, Yonsei University College of Medicine, Seoul, Korea.; Department of Radiology and Research Institute of Radiological Science, Severance Hospital, Yonsei University College of Medicine, Seoul, Korea.; Department of Radiology and Research Institute of Radiological Science, Severance Hospital, Yonsei University College of Medicine, Seoul, Korea.; Department of Pathology, Severance Hospital, Yonsei University College of Medicine, Seoul, Korea.; Department of Pathology, Severance Hospital, Yonsei University College of Medicine, Seoul, Korea.; Department of Pathology, Dongguk University Ilsan Hospital, Dongguk University College of Medicine, Goyang, Korea.; Yonsei Cancer Center, Division of Medical Oncology, Department of Internal Medicine, Yonsei University College of Medicine, Seoul, Korea.; Medical Oncology, Department of Internal Medicine, CHA Bundang Medical Center, CHA University, Seongnam, Korea.; Department of Radiology and Research Institute of Radiological Science, Severance Hospital, Yonsei University College of Medicine, Seoul, Korea.&lt;/_author_adr&gt;&lt;_collection_scope&gt;SCIE&lt;/_collection_scope&gt;&lt;_created&gt;64298753&lt;/_created&gt;&lt;_date&gt;2016-03-16&lt;/_date&gt;&lt;_date_display&gt;2016 Mar 16&lt;/_date_display&gt;&lt;_db_updated&gt;PubMed&lt;/_db_updated&gt;&lt;_doi&gt;10.1186/s12885-016-2251-z&lt;/_doi&gt;&lt;_impact_factor&gt;   4.430&lt;/_impact_factor&gt;&lt;_isbn&gt;1471-2407 (Electronic); 1471-2407 (Linking)&lt;/_isbn&gt;&lt;_journal&gt;BMC Cancer&lt;/_journal&gt;&lt;_keywords&gt;18F-FDG PET/CT; Cytologic CYFRA 21-1; Cytologic tumor marker; EGFR mutation&lt;/_keywords&gt;&lt;_language&gt;eng&lt;/_language&gt;&lt;_modified&gt;64298754&lt;/_modified&gt;&lt;_pages&gt;224&lt;/_pages&gt;&lt;_subject_headings&gt;Adult; Aged; Antigens, Neoplasm/*blood; Biomarkers, Tumor/blood/*genetics; Carcinoembryonic Antigen/blood; Carcinoma, Non-Small-Cell Lung/blood/*genetics/pathology; Cell Proliferation; Cytological Techniques; ErbB Receptors/*genetics; Female; Fluorodeoxyglucose F18/administration &amp;amp; dosage/metabolism; Humans; Keratin-19/*blood; Male; Middle Aged; Mutation; Positron-Emission Tomography; Serpins/blood; Tomography, X-Ray Computed&lt;/_subject_headings&gt;&lt;_tertiary_title&gt;BMC cancer&lt;/_tertiary_title&gt;&lt;_type_work&gt;Journal Article; Research Support, Non-U.S. Gov&amp;apos;t&lt;/_type_work&gt;&lt;_url&gt;http://www.ncbi.nlm.nih.gov/entrez/query.fcgi?cmd=Retrieve&amp;amp;db=pubmed&amp;amp;dopt=Abstract&amp;amp;list_uids=26979333&amp;amp;query_hl=1&lt;/_url&gt;&lt;_volume&gt;16&lt;/_volume&gt;&lt;/Details&gt;&lt;Extra&gt;&lt;DBUID&gt;{F96A950B-833F-4880-A151-76DA2D6A2879}&lt;/DBUID&gt;&lt;/Extra&gt;&lt;/Item&gt;&lt;/References&gt;&lt;/Group&gt;&lt;Group&gt;&lt;References&gt;&lt;Item&gt;&lt;ID&gt;544&lt;/ID&gt;&lt;UID&gt;{2E7CF3B9-12D4-4914-B239-3C729F2AC253}&lt;/UID&gt;&lt;Title&gt;Value of (18)F-FDG PET/CT for predicting EGFR mutations and positive ALK expression in patients with non-small cell lung cancer: a retrospective analysis  of 849 Chinese patients&lt;/Title&gt;&lt;Template&gt;Journal Article&lt;/Template&gt;&lt;Star&gt;0&lt;/Star&gt;&lt;Tag&gt;0&lt;/Tag&gt;&lt;Author&gt;Lv, Z; Fan, J; Xu, J; Wu, F; Huang, Q; Guo, M; Liao, T; Liu, S; Lan, X; Liao, S; Geng, W; Jin, Y&lt;/Author&gt;&lt;Year&gt;2018&lt;/Year&gt;&lt;Details&gt;&lt;_accession_num&gt;29164298&lt;/_accession_num&gt;&lt;_author_adr&gt;Key Laboratory of Respiratory Diseases of the Ministry of health, Department of Respiratory and Critical Care Medicine, Union Hospital, Tongji Medical College, Huazhong University of Science and Technology, 1277 Jiefang Avenue, Wuhan, 430022, China.; Key Laboratory of Respiratory Diseases of the Ministry of health, Department of Respiratory and Critical Care Medicine, Union Hospital, Tongji Medical College, Huazhong University of Science and Technology, 1277 Jiefang Avenue, Wuhan, 430022, China.; Key Laboratory of Respiratory Diseases of the Ministry of health, Department of Respiratory and Critical Care Medicine, Union Hospital, Tongji Medical College, Huazhong University of Science and Technology, 1277 Jiefang Avenue, Wuhan, 430022, China.; Key Laboratory of Respiratory Diseases of the Ministry of health, Department of Respiratory and Critical Care Medicine, Union Hospital, Tongji Medical College, Huazhong University of Science and Technology, 1277 Jiefang Avenue, Wuhan, 430022, China.; Key Laboratory of Respiratory Diseases of the Ministry of health, Department of Respiratory and Critical Care Medicine, Union Hospital, Tongji Medical College, Huazhong University of Science and Technology, 1277 Jiefang Avenue, Wuhan, 430022, China.; Key Laboratory of Respiratory Diseases of the Ministry of health, Department of Respiratory and Critical Care Medicine, Union Hospital, Tongji Medical College, Huazhong University of Science and Technology, 1277 Jiefang Avenue, Wuhan, 430022, China.; Key Laboratory of Respiratory Diseases of the Ministry of health, Department of Respiratory and Critical Care Medicine, Union Hospital, Tongji Medical College, Huazhong University of Science and Technology, 1277 Jiefang Avenue, Wuhan, 430022, China.; Key Laboratory of Respiratory Diseases of the Ministry of health, Department of Respiratory and Critical Care Medicine, Union Hospital, Tongji Medical College, Huazhong University of Science and Technology, 1277 Jiefang Avenue, Wuhan, 430022, China.; Department of Nuclear Medicine, Union Hospital, Tongji Medical College, Huazhong  University of Science and Technology, Wuhan, 430022, China.; Hubei Key Laboratory of Molecular Imaging, Union Hospital, Tongji Medical College, Huazhong University of Science and Technology, Wuhan, 430022, China.; Department of Nuclear Medicine, Union Hospital, Tongji Medical College, Huazhong  University of Science and Technology, Wuhan, 430022, China.; Hubei Key Laboratory of Molecular Imaging, Union Hospital, Tongji Medical College, Huazhong University of Science and Technology, Wuhan, 430022, China.; Biobank, Union Hospital, Tongji Medical College, Huazhong University of Science and Technology, Wuhan, 430022, China.; Key Laboratory of Respiratory Diseases of the Ministry of health, Department of Respiratory and Critical Care Medicine, Union Hospital, Tongji Medical College, Huazhong University of Science and Technology, 1277 Jiefang Avenue, Wuhan, 430022, China. whuhjy@126.com.&lt;/_author_adr&gt;&lt;_created&gt;64298756&lt;/_created&gt;&lt;_date&gt;2018-05-01&lt;/_date&gt;&lt;_date_display&gt;2018 May&lt;/_date_display&gt;&lt;_db_updated&gt;PubMed&lt;/_db_updated&gt;&lt;_doi&gt;10.1007/s00259-017-3885-z&lt;/_doi&gt;&lt;_impact_factor&gt;   9.236&lt;/_impact_factor&gt;&lt;_isbn&gt;1619-7089 (Electronic); 1619-7070 (Linking)&lt;/_isbn&gt;&lt;_issue&gt;5&lt;/_issue&gt;&lt;_journal&gt;Eur J Nucl Med Mol Imaging&lt;/_journal&gt;&lt;_keywords&gt;*Anaplastic lymphoma kinase; *Epidermal growth factor receptor; *Mutation; *Non-small cell lung cancer; *Positron emission tomography; *Standard uptake value&lt;/_keywords&gt;&lt;_language&gt;eng&lt;/_language&gt;&lt;_modified&gt;64298756&lt;/_modified&gt;&lt;_pages&gt;735-750&lt;/_pages&gt;&lt;_subject_headings&gt;Adaptor Proteins, Signal Transducing; Aged; Anaplastic Lymphoma Kinase/*metabolism; Carcinoma, Non-Small-Cell Lung/*diagnostic imaging/genetics; ErbB Receptors/*genetics; Female; Fluorodeoxyglucose F18; Humans; Lung Neoplasms/*diagnostic imaging/genetics; Male; Middle Aged; Mutation; *Positron Emission Tomography Computed Tomography; Retrospective Studies; Tomography, X-Ray Computed&lt;/_subject_headings&gt;&lt;_tertiary_title&gt;European journal of nuclear medicine and molecular imaging&lt;/_tertiary_title&gt;&lt;_type_work&gt;Journal Article&lt;/_type_work&gt;&lt;_url&gt;http://www.ncbi.nlm.nih.gov/entrez/query.fcgi?cmd=Retrieve&amp;amp;db=pubmed&amp;amp;dopt=Abstract&amp;amp;list_uids=29164298&amp;amp;query_hl=1&lt;/_url&gt;&lt;_volume&gt;45&lt;/_volume&gt;&lt;/Details&gt;&lt;Extra&gt;&lt;DBUID&gt;{F96A950B-833F-4880-A151-76DA2D6A2879}&lt;/DBUID&gt;&lt;/Extra&gt;&lt;/Item&gt;&lt;/References&gt;&lt;/Group&gt;&lt;Group&gt;&lt;References&gt;&lt;Item&gt;&lt;ID&gt;545&lt;/ID&gt;&lt;UID&gt;{F2BBD769-97F0-4DA0-B223-987C802159CB}&lt;/UID&gt;&lt;Title&gt;Value of combining serum carcinoembryonic antigen and PET/CT in predicting EGFR mutation in non-small cell lung cancer&lt;/Title&gt;&lt;Template&gt;Journal Article&lt;/Template&gt;&lt;Star&gt;0&lt;/Star&gt;&lt;Tag&gt;0&lt;/Tag&gt;&lt;Author&gt;Gu, J; Xu, S; Huang, L; Li, S; Wu, J; Xu, J; Feng, J; Liu, B; Zhou, Y&lt;/Author&gt;&lt;Year&gt;2018&lt;/Year&gt;&lt;Details&gt;&lt;_accessed&gt;64331208&lt;/_accessed&gt;&lt;_accession_num&gt;29607142&lt;/_accession_num&gt;&lt;_author_adr&gt;Department of Respiratory Medicine, The First Affiliated Hospital of Sun Yat-sen  University, Guangzhou 510080, China.; Department of Respiratory Medicine, The First Affiliated Hospital of Sun Yat-sen  University, Guangzhou 510080, China.; Department of Respiratory Medicine, The First Affiliated Hospital of Sun Yat-sen  University, Guangzhou 510080, China.; Department of Respiratory Medicine, The First Affiliated Hospital of Sun Yat-sen  University, Guangzhou 510080, China.; Department of Respiratory Medicine, The First Affiliated Hospital of Sun Yat-sen  University, Guangzhou 510080, China.; Department of Respiratory Medicine, The First Affiliated Hospital of Sun Yat-sen  University, Guangzhou 510080, China.; Department of Respiratory Medicine, The First Affiliated Hospital of Sun Yat-sen  University, Guangzhou 510080, China.; Department of Respiratory Medicine, The First Affiliated Hospital of Sun Yat-sen  University, Guangzhou 510080, China.; Department of Respiratory Medicine, The First Affiliated Hospital of Sun Yat-sen  University, Guangzhou 510080, China.&lt;/_author_adr&gt;&lt;_collection_scope&gt;SCIE&lt;/_collection_scope&gt;&lt;_created&gt;64298756&lt;/_created&gt;&lt;_date&gt;2018-02-01&lt;/_date&gt;&lt;_date_display&gt;2018 Feb&lt;/_date_display&gt;&lt;_db_updated&gt;PubMed&lt;/_db_updated&gt;&lt;_doi&gt;10.21037/jtd.2017.12.143&lt;/_doi&gt;&lt;_impact_factor&gt;   2.895&lt;/_impact_factor&gt;&lt;_isbn&gt;2072-1439 (Print); 2072-1439 (Linking)&lt;/_isbn&gt;&lt;_issue&gt;2&lt;/_issue&gt;&lt;_journal&gt;J Thorac Dis&lt;/_journal&gt;&lt;_keywords&gt;Non-small cell lung cancer (NSCLC); carcinoembryonic antigen; epidermal growth factor receptor (EGFR); maximal standard uptake value; positron emission tomography/computed tomography (PET/CT)&lt;/_keywords&gt;&lt;_language&gt;eng&lt;/_language&gt;&lt;_modified&gt;64331208&lt;/_modified&gt;&lt;_pages&gt;723-731&lt;/_pages&gt;&lt;_tertiary_title&gt;Journal of thoracic disease&lt;/_tertiary_title&gt;&lt;_type_work&gt;Journal Article&lt;/_type_work&gt;&lt;_url&gt;http://www.ncbi.nlm.nih.gov/entrez/query.fcgi?cmd=Retrieve&amp;amp;db=pubmed&amp;amp;dopt=Abstract&amp;amp;list_uids=29607142&amp;amp;query_hl=1&lt;/_url&gt;&lt;_volume&gt;10&lt;/_volume&gt;&lt;/Details&gt;&lt;Extra&gt;&lt;DBUID&gt;{F96A950B-833F-4880-A151-76DA2D6A2879}&lt;/DBUID&gt;&lt;/Extra&gt;&lt;/Item&gt;&lt;/References&gt;&lt;/Group&gt;&lt;/Citation&gt;_x000a_"/>
    <w:docVar w:name="NE.Ref{B52B9C05-8354-4F5D-8B29-6D8263F7C319}" w:val=" ADDIN NE.Ref.{B52B9C05-8354-4F5D-8B29-6D8263F7C319}&lt;Citation&gt;&lt;Group&gt;&lt;References&gt;&lt;Item&gt;&lt;ID&gt;580&lt;/ID&gt;&lt;UID&gt;{352FC08F-6661-4D88-90A2-665114652E97}&lt;/UID&gt;&lt;Title&gt;Uncovering the invisible-prevalence, characteristics, and radiomics feature-based detection of visually undetectable intraprostatic tumor lesions in (68)GaPSMA-11  PET images of patients with primary prostate cancer&lt;/Title&gt;&lt;Template&gt;Journal Article&lt;/Template&gt;&lt;Star&gt;0&lt;/Star&gt;&lt;Tag&gt;0&lt;/Tag&gt;&lt;Author&gt;Zamboglou, C; Bettermann, A S; Gratzke, C; Mix, M; Ruf, J; Kiefer, S; Jilg, C A; Benndorf, M; Spohn, S; Fassbender, T F; Bronsert, P; Chen, M; Guo, H; Wang, F; Qiu, X; Grosu, A L&lt;/Author&gt;&lt;Year&gt;2021&lt;/Year&gt;&lt;Details&gt;&lt;_accessed&gt;64330461&lt;/_accessed&gt;&lt;_accession_num&gt;33210239&lt;/_accession_num&gt;&lt;_author_adr&gt;Department of Radiation Oncology, Medical Center - University of Freiburg, Faculty of Medicine, University of Freiburg, Robert-Koch Strasse 3, 79106, Freiburg, Germany. constantinos.zamboglou@uniklinik-freiburg.de.; German Cancer Consortium (DKTK), Partner Site Freiburg, Freiburg, Germany. constantinos.zamboglou@uniklinik-freiburg.de.; Department of Radiation Oncology, Medical Center - University of Freiburg, Faculty of Medicine, University of Freiburg, Robert-Koch Strasse 3, 79106, Freiburg, Germany.; Department of Urology, Medical Center - University of Freiburg, Faculty of Medicine, University of Freiburg, Freiburg, Germany.; Department of Nuclear Medicine, Medical Center - University of Freiburg, Faculty  of Medicine, University of Freiburg, Freiburg, Germany.; Department of Nuclear Medicine, Medical Center - University of Freiburg, Faculty  of Medicine, University of Freiburg, Freiburg, Germany.; Institute for Surgical Pathology, Medical Center - University of Freiburg, Faculty of Medicine, University of Freiburg, Freiburg, Germany.; Department of Urology, Medical Center - University of Freiburg, Faculty of Medicine, University of Freiburg, Freiburg, Germany.; Department of Radiology, Medical Center - University of Freiburg, Faculty of Medicine, University of Freiburg, Freiburg, Germany.; Department of Radiation Oncology, Medical Center - University of Freiburg, Faculty of Medicine, University of Freiburg, Robert-Koch Strasse 3, 79106, Freiburg, Germany.; German Cancer Consortium (DKTK), Partner Site Freiburg, Freiburg, Germany.; Department of Nuclear Medicine, Medical Center - University of Freiburg, Faculty  of Medicine, University of Freiburg, Freiburg, Germany.; German Cancer Consortium (DKTK), Partner Site Freiburg, Freiburg, Germany.; Institute for Surgical Pathology, Medical Center - University of Freiburg, Faculty of Medicine, University of Freiburg, Freiburg, Germany.; Department of Urology, Affiliated Drum Tower Hospital, Medical School of Nanjing  University, Nanjing, China.; Department of Urology, Affiliated Drum Tower Hospital, Medical School of Nanjing  University, Nanjing, China.; Department of Nuclear Medicine, Affiliated Drum Tower Hospital, Medical School of Nanjing University, Nanjing, China.; Department of Urology, Affiliated Drum Tower Hospital, Medical School of Nanjing  University, Nanjing, China.; Department of Radiation Oncology, Medical Center - University of Freiburg, Faculty of Medicine, University of Freiburg, Robert-Koch Strasse 3, 79106, Freiburg, Germany.; German Cancer Consortium (DKTK), Partner Site Freiburg, Freiburg, Germany.&lt;/_author_adr&gt;&lt;_created&gt;64303900&lt;/_created&gt;&lt;_date&gt;2021-06-01&lt;/_date&gt;&lt;_date_display&gt;2021 Jun&lt;/_date_display&gt;&lt;_db_updated&gt;PubMed&lt;/_db_updated&gt;&lt;_doi&gt;10.1007/s00259-020-05111-3&lt;/_doi&gt;&lt;_impact_factor&gt;   9.236&lt;/_impact_factor&gt;&lt;_isbn&gt;1619-7089 (Electronic); 1619-7070 (Linking)&lt;/_isbn&gt;&lt;_issue&gt;6&lt;/_issue&gt;&lt;_journal&gt;Eur J Nucl Med Mol Imaging&lt;/_journal&gt;&lt;_keywords&gt;*Intraprostatic lesions; *Multifocality; *PSMA-PET; *Prostate cancer; *Radiomics&lt;/_keywords&gt;&lt;_language&gt;eng&lt;/_language&gt;&lt;_modified&gt;64330461&lt;/_modified&gt;&lt;_pages&gt;1987-1997&lt;/_pages&gt;&lt;_subject_headings&gt;Edetic Acid/analogs &amp;amp; derivatives; Gallium Isotopes; Gallium Radioisotopes; Humans; Male; Oligopeptides; *Positron Emission Tomography Computed Tomography; Prevalence; Prospective Studies; *Prostatic Neoplasms/diagnostic imaging; Radiopharmaceuticals&lt;/_subject_headings&gt;&lt;_tertiary_title&gt;European journal of nuclear medicine and molecular imaging&lt;/_tertiary_title&gt;&lt;_type_work&gt;Journal Article; Research Support, Non-U.S. Gov&amp;apos;t&lt;/_type_work&gt;&lt;_url&gt;http://www.ncbi.nlm.nih.gov/entrez/query.fcgi?cmd=Retrieve&amp;amp;db=pubmed&amp;amp;dopt=Abstract&amp;amp;list_uids=33210239&amp;amp;query_hl=1&lt;/_url&gt;&lt;_volume&gt;48&lt;/_volume&gt;&lt;/Details&gt;&lt;Extra&gt;&lt;DBUID&gt;{F96A950B-833F-4880-A151-76DA2D6A2879}&lt;/DBUID&gt;&lt;/Extra&gt;&lt;/Item&gt;&lt;/References&gt;&lt;/Group&gt;&lt;Group&gt;&lt;References&gt;&lt;Item&gt;&lt;ID&gt;581&lt;/ID&gt;&lt;UID&gt;{4C986601-C096-4D88-9660-9495238DD978}&lt;/UID&gt;&lt;Title&gt;A CT-based radiomics model to detect prostate cancer lymph node metastases in PSMA radioguided surgery patients&lt;/Title&gt;&lt;Template&gt;Journal Article&lt;/Template&gt;&lt;Star&gt;0&lt;/Star&gt;&lt;Tag&gt;0&lt;/Tag&gt;&lt;Author&gt;Peeken, J C; Shouman, M A; Kroenke, M; Rauscher, I; Maurer, T; Gschwend, J E; Eiber, M; Combs, S E&lt;/Author&gt;&lt;Year&gt;2020&lt;/Year&gt;&lt;Details&gt;&lt;_accessed&gt;64330457&lt;/_accessed&gt;&lt;_accession_num&gt;32468251&lt;/_accession_num&gt;&lt;_author_adr&gt;Department of Radiation Oncology, Klinikum Rechts der Isar, School of Medicine, Technical University of Munich (TUM), Ismaninger Strasse 22, 81675, Munich, Germany. jan.peeken@tum.de.; Institute of Radiation Medicine (IRM), Department of Radiation Sciences (DRS), Helmholtz Zentrum Munchen, Neuherberg, Germany. jan.peeken@tum.de.; Deutsches Konsortium fur Translationale Krebsforschung (DKTK), Deutsches Konsortium fur Translationale Krebsforschung (DKTK), Partner Site Munich, Munich, Germany. jan.peeken@tum.de.; Department of Radiation Oncology, Klinikum Rechts der Isar, School of Medicine, Technical University of Munich (TUM), Ismaninger Strasse 22, 81675, Munich, Germany.; Department of Nuclear Medicine, Klinikum Rechts der Isar, School of Medicine, Technical University of Munich (TUM), Munich, Germany.; Institute for Diagnostic and Interventional Radiology, Klinikum Rechts der Isar,  School of Medicine, Technical University of Munich (TUM), Munich, Germany.; Department of Nuclear Medicine, Klinikum Rechts der Isar, School of Medicine, Technical University of Munich (TUM), Munich, Germany.; Institute for Diagnostic and Interventional Radiology, Klinikum Rechts der Isar,  School of Medicine, Technical University of Munich (TUM), Munich, Germany.; Department of Urology, Klinikum Rechts der Isar, School of Medicine, Technical University of Munich (TUM), Munich, Germany.; Department of Urology and Martini-Klinik, University Hamburg-Eppendorf, Hamburg,  Germany.; Deutsches Konsortium fur Translationale Krebsforschung (DKTK), Deutsches Konsortium fur Translationale Krebsforschung (DKTK), Partner Site Munich, Munich, Germany.; Department of Nuclear Medicine, Klinikum Rechts der Isar, School of Medicine, Technical University of Munich (TUM), Munich, Germany.; Department of Radiation Oncology, Klinikum Rechts der Isar, School of Medicine, Technical University of Munich (TUM), Ismaninger Strasse 22, 81675, Munich, Germany.; Institute of Radiation Medicine (IRM), Department of Radiation Sciences (DRS), Helmholtz Zentrum Munchen, Neuherberg, Germany.; Deutsches Konsortium fur Translationale Krebsforschung (DKTK), Deutsches Konsortium fur Translationale Krebsforschung (DKTK), Partner Site Munich, Munich, Germany.&lt;/_author_adr&gt;&lt;_created&gt;64303900&lt;/_created&gt;&lt;_date&gt;2020-12-01&lt;/_date&gt;&lt;_date_display&gt;2020 Dec&lt;/_date_display&gt;&lt;_db_updated&gt;PubMed&lt;/_db_updated&gt;&lt;_doi&gt;10.1007/s00259-020-04864-1&lt;/_doi&gt;&lt;_impact_factor&gt;   9.236&lt;/_impact_factor&gt;&lt;_isbn&gt;1619-7089 (Electronic); 1619-7070 (Linking)&lt;/_isbn&gt;&lt;_issue&gt;13&lt;/_issue&gt;&lt;_journal&gt;Eur J Nucl Med Mol Imaging&lt;/_journal&gt;&lt;_keywords&gt;*CT; *Lymph node; *PSMA; *Prostate carcinoma; *Radioguided surgery; *Radiomics&lt;/_keywords&gt;&lt;_language&gt;eng&lt;/_language&gt;&lt;_modified&gt;64330457&lt;/_modified&gt;&lt;_pages&gt;2968-2977&lt;/_pages&gt;&lt;_subject_headings&gt;Humans; Lymph Nodes; Lymphatic Metastasis; Male; Neoplasm Recurrence, Local; Positron Emission Tomography Computed Tomography; *Prostatic Neoplasms/diagnostic imaging/surgery; *Surgery, Computer-Assisted; Tomography, X-Ray Computed&lt;/_subject_headings&gt;&lt;_tertiary_title&gt;European journal of nuclear medicine and molecular imaging&lt;/_tertiary_title&gt;&lt;_type_work&gt;Journal Article; Research Support, Non-U.S. Gov&amp;apos;t&lt;/_type_work&gt;&lt;_url&gt;http://www.ncbi.nlm.nih.gov/entrez/query.fcgi?cmd=Retrieve&amp;amp;db=pubmed&amp;amp;dopt=Abstract&amp;amp;list_uids=32468251&amp;amp;query_hl=1&lt;/_url&gt;&lt;_volume&gt;47&lt;/_volume&gt;&lt;/Details&gt;&lt;Extra&gt;&lt;DBUID&gt;{F96A950B-833F-4880-A151-76DA2D6A2879}&lt;/DBUID&gt;&lt;/Extra&gt;&lt;/Item&gt;&lt;/References&gt;&lt;/Group&gt;&lt;/Citation&gt;_x000a_"/>
    <w:docVar w:name="NE.Ref{B8116D41-4300-43F1-BD14-8DDBAB3BD937}" w:val=" ADDIN NE.Ref.{B8116D41-4300-43F1-BD14-8DDBAB3BD937}&lt;Citation&gt;&lt;Group&gt;&lt;References&gt;&lt;Item&gt;&lt;ID&gt;546&lt;/ID&gt;&lt;UID&gt;{97B673DF-995E-4F9C-AD97-BFF91E9878D3}&lt;/UID&gt;&lt;Title&gt;Usefulness of gradient tree boosting for predicting histological subtype and EGFR mutation status of non-small cell lung cancer on (18)F FDG-PET/CT&lt;/Title&gt;&lt;Template&gt;Journal Article&lt;/Template&gt;&lt;Star&gt;0&lt;/Star&gt;&lt;Tag&gt;0&lt;/Tag&gt;&lt;Author&gt;Koyasu, S; Nishio, M; Isoda, H; Nakamoto, Y; Togashi, K&lt;/Author&gt;&lt;Year&gt;2020&lt;/Year&gt;&lt;Details&gt;&lt;_accession_num&gt;31659591&lt;/_accession_num&gt;&lt;_author_adr&gt;Department of Diagnostic Imaging and Nuclear Medicine, Graduate School of Medicine, Kyoto University, 54 Kawahara-cho, Shogoin, Sakyo-ku, Kyoto, Kyoto, 606-8507, Japan.; Research Center for Advanced Science and Technology, The University of Tokyo, 4-6-1 Komaba, Meguro-ku, Tokyo, 153-8904, Japan.; Department of Diagnostic Imaging and Nuclear Medicine, Graduate School of Medicine, Kyoto University, 54 Kawahara-cho, Shogoin, Sakyo-ku, Kyoto, Kyoto, 606-8507, Japan. nmizuho@kuhp.kyoto-u.ac.jp.; Preemptive Medicine and Lifestyle-related Disease Research Center, Kyoto University Hospital, 53 Kawahara-cho, Shogoin, Sakyo-ku, Kyoto, Kyoto, 606-8507,  Japan. nmizuho@kuhp.kyoto-u.ac.jp.; Department of Diagnostic Imaging and Nuclear Medicine, Graduate School of Medicine, Kyoto University, 54 Kawahara-cho, Shogoin, Sakyo-ku, Kyoto, Kyoto, 606-8507, Japan.; Preemptive Medicine and Lifestyle-related Disease Research Center, Kyoto University Hospital, 53 Kawahara-cho, Shogoin, Sakyo-ku, Kyoto, Kyoto, 606-8507,  Japan.; Department of Diagnostic Imaging and Nuclear Medicine, Graduate School of Medicine, Kyoto University, 54 Kawahara-cho, Shogoin, Sakyo-ku, Kyoto, Kyoto, 606-8507, Japan.; Department of Diagnostic Imaging and Nuclear Medicine, Graduate School of Medicine, Kyoto University, 54 Kawahara-cho, Shogoin, Sakyo-ku, Kyoto, Kyoto, 606-8507, Japan.&lt;/_author_adr&gt;&lt;_collection_scope&gt;SCIE&lt;/_collection_scope&gt;&lt;_created&gt;64298757&lt;/_created&gt;&lt;_date&gt;2020-01-01&lt;/_date&gt;&lt;_date_display&gt;2020 Jan&lt;/_date_display&gt;&lt;_db_updated&gt;PubMed&lt;/_db_updated&gt;&lt;_doi&gt;10.1007/s12149-019-01414-0&lt;/_doi&gt;&lt;_impact_factor&gt;   2.668&lt;/_impact_factor&gt;&lt;_isbn&gt;1864-6433 (Electronic); 0914-7187 (Linking)&lt;/_isbn&gt;&lt;_issue&gt;1&lt;/_issue&gt;&lt;_journal&gt;Ann Nucl Med&lt;/_journal&gt;&lt;_keywords&gt;Adenocarcinoma; EGFR mutation; Gradient tree boosting; Lung cancer; Radiomics; Squamous cell carcinoma&lt;/_keywords&gt;&lt;_language&gt;eng&lt;/_language&gt;&lt;_modified&gt;64298758&lt;/_modified&gt;&lt;_pages&gt;49-57&lt;/_pages&gt;&lt;_subject_headings&gt;Aged; Carcinoma, Non-Small-Cell Lung/*diagnostic imaging/genetics/pathology; ErbB Receptors/*genetics; Female; *Fluorodeoxyglucose F18; Humans; Image Processing, Computer-Assisted/*methods; Lung Neoplasms/*diagnostic imaging/genetics/pathology; Male; *Mutation; *Positron Emission Tomography Computed Tomography; ROC Curve&lt;/_subject_headings&gt;&lt;_tertiary_title&gt;Annals of nuclear medicine&lt;/_tertiary_title&gt;&lt;_type_work&gt;Journal Article&lt;/_type_work&gt;&lt;_url&gt;http://www.ncbi.nlm.nih.gov/entrez/query.fcgi?cmd=Retrieve&amp;amp;db=pubmed&amp;amp;dopt=Abstract&amp;amp;list_uids=31659591&amp;amp;query_hl=1&lt;/_url&gt;&lt;_volume&gt;34&lt;/_volume&gt;&lt;/Details&gt;&lt;Extra&gt;&lt;DBUID&gt;{F96A950B-833F-4880-A151-76DA2D6A2879}&lt;/DBUID&gt;&lt;/Extra&gt;&lt;/Item&gt;&lt;/References&gt;&lt;/Group&gt;&lt;/Citation&gt;_x000a_"/>
    <w:docVar w:name="NE.Ref{B959247C-ADE5-4546-B792-77259E68A0D5}" w:val=" ADDIN NE.Ref.{B959247C-ADE5-4546-B792-77259E68A0D5}&lt;Citation&gt;&lt;Group&gt;&lt;References&gt;&lt;Item&gt;&lt;ID&gt;765&lt;/ID&gt;&lt;UID&gt;{04613F2E-4041-49A4-82A3-DA2F4F138893}&lt;/UID&gt;&lt;Title&gt;Comparison and Fusion of Machine Learning Algorithms for Prospective Validation of PET/CT Radiomic Features Prognostic Value in Stage II-III Non-Small Cell Lung  Cancer&lt;/Title&gt;&lt;Template&gt;Journal Article&lt;/Template&gt;&lt;Star&gt;0&lt;/Star&gt;&lt;Tag&gt;0&lt;/Tag&gt;&lt;Author&gt;Sepehri, S; Tankyevych, O; Upadhaya, T; Visvikis, D; Hatt, M; Cheze, Le Rest C&lt;/Author&gt;&lt;Year&gt;2021&lt;/Year&gt;&lt;Details&gt;&lt;_accessed&gt;64455327&lt;/_accessed&gt;&lt;_accession_num&gt;33918681&lt;/_accession_num&gt;&lt;_author_adr&gt;LaTIM, INSERM, UMR 1101, University Brest, 29200 Brest, France.; LaTIM, INSERM, UMR 1101, University Brest, 29200 Brest, France.; Nuclear Medicine Department, CHU Miletrie, 86021 Poitiers, France.; Nuclear Medicine Department, CHU Miletrie, 86021 Poitiers, France.; LaTIM, INSERM, UMR 1101, University Brest, 29200 Brest, France.; LaTIM, INSERM, UMR 1101, University Brest, 29200 Brest, France.; LaTIM, INSERM, UMR 1101, University Brest, 29200 Brest, France.; Nuclear Medicine Department, CHU Miletrie, 86021 Poitiers, France.&lt;/_author_adr&gt;&lt;_created&gt;64455233&lt;/_created&gt;&lt;_date&gt;2021-04-09&lt;/_date&gt;&lt;_date_display&gt;2021 Apr 9&lt;/_date_display&gt;&lt;_db_updated&gt;PubMed&lt;/_db_updated&gt;&lt;_doi&gt;10.3390/diagnostics11040675&lt;/_doi&gt;&lt;_impact_factor&gt;   3.706&lt;/_impact_factor&gt;&lt;_isbn&gt;2075-4418 (Print); 2075-4418 (Linking)&lt;/_isbn&gt;&lt;_issue&gt;4&lt;/_issue&gt;&lt;_journal&gt;Diagnostics (Basel)&lt;/_journal&gt;&lt;_keywords&gt;machine learning; non-small cell lung cancer; prognosis; prospective study; radiomics&lt;/_keywords&gt;&lt;_language&gt;eng&lt;/_language&gt;&lt;_modified&gt;64455327&lt;/_modified&gt;&lt;_tertiary_title&gt;Diagnostics (Basel, Switzerland)&lt;/_tertiary_title&gt;&lt;_type_work&gt;Journal Article&lt;/_type_work&gt;&lt;_url&gt;http://www.ncbi.nlm.nih.gov/entrez/query.fcgi?cmd=Retrieve&amp;amp;db=pubmed&amp;amp;dopt=Abstract&amp;amp;list_uids=33918681&amp;amp;query_hl=1&lt;/_url&gt;&lt;_volume&gt;11&lt;/_volume&gt;&lt;/Details&gt;&lt;Extra&gt;&lt;DBUID&gt;{F96A950B-833F-4880-A151-76DA2D6A2879}&lt;/DBUID&gt;&lt;/Extra&gt;&lt;/Item&gt;&lt;/References&gt;&lt;/Group&gt;&lt;/Citation&gt;_x000a_"/>
    <w:docVar w:name="NE.Ref{BDA7E5DC-2A7A-4476-A88D-2C6317562EB3}" w:val=" ADDIN NE.Ref.{BDA7E5DC-2A7A-4476-A88D-2C6317562EB3}&lt;Citation&gt;&lt;Group&gt;&lt;References&gt;&lt;Item&gt;&lt;ID&gt;540&lt;/ID&gt;&lt;UID&gt;{24EE4979-DC6A-4E4C-9AA4-0A5D29D87B36}&lt;/UID&gt;&lt;Title&gt;Value of pre-therapy (18)F-FDG PET/CT radiomics in predicting EGFR mutation status in patients with non-small cell lung cancer&lt;/Title&gt;&lt;Template&gt;Journal Article&lt;/Template&gt;&lt;Star&gt;0&lt;/Star&gt;&lt;Tag&gt;0&lt;/Tag&gt;&lt;Author&gt;Zhang, J; Zhao, X; Zhao, Y; Zhang, J; Zhang, Z; Wang, J; Wang, Y; Dai, M; Han, J&lt;/Author&gt;&lt;Year&gt;2020&lt;/Year&gt;&lt;Details&gt;&lt;_accession_num&gt;31728587&lt;/_accession_num&gt;&lt;_author_adr&gt;Department of Nuclear Medicine, The Fourth Hospital of Hebei Medical University,  12 Jiankang Road, Shijiazhuang, 050011, Hebei, China.; Department of Nuclear Medicine, Baoding No. 1 Central Hospital, Baoding, 071000,  Hebei, China.; Department of Nuclear Medicine, The Fourth Hospital of Hebei Medical University,  12 Jiankang Road, Shijiazhuang, 050011, Hebei, China. xinm_zhao@163.com.; Department of Medical Oncology, The Fourth Hospital of Hebei Medical University,  Shijiazhuang, 050011, Hebei, China.; Department of Nuclear Medicine, The Fourth Hospital of Hebei Medical University,  12 Jiankang Road, Shijiazhuang, 050011, Hebei, China.; Department of Nuclear Medicine, The Fourth Hospital of Hebei Medical University,  12 Jiankang Road, Shijiazhuang, 050011, Hebei, China.; Department of Nuclear Medicine, The Fourth Hospital of Hebei Medical University,  12 Jiankang Road, Shijiazhuang, 050011, Hebei, China.; Department of Nuclear Medicine, The Fourth Hospital of Hebei Medical University,  12 Jiankang Road, Shijiazhuang, 050011, Hebei, China.; Department of Nuclear Medicine, The Fourth Hospital of Hebei Medical University,  12 Jiankang Road, Shijiazhuang, 050011, Hebei, China.; Department of Nuclear Medicine, The Fourth Hospital of Hebei Medical University,  12 Jiankang Road, Shijiazhuang, 050011, Hebei, China.&lt;/_author_adr&gt;&lt;_created&gt;64298751&lt;/_created&gt;&lt;_date&gt;2020-05-01&lt;/_date&gt;&lt;_date_display&gt;2020 May&lt;/_date_display&gt;&lt;_db_updated&gt;PubMed&lt;/_db_updated&gt;&lt;_doi&gt;10.1007/s00259-019-04592-1&lt;/_doi&gt;&lt;_impact_factor&gt;   9.236&lt;/_impact_factor&gt;&lt;_isbn&gt;1619-7089 (Electronic); 1619-7070 (Linking)&lt;/_isbn&gt;&lt;_issue&gt;5&lt;/_issue&gt;&lt;_journal&gt;Eur J Nucl Med Mol Imaging&lt;/_journal&gt;&lt;_keywords&gt;*18F-FDG; *Epidermal growth factor receptor; *Non-small cell lung cancer; *PET/CT; *Radiomics&lt;/_keywords&gt;&lt;_language&gt;eng&lt;/_language&gt;&lt;_modified&gt;64298751&lt;/_modified&gt;&lt;_pages&gt;1137-1146&lt;/_pages&gt;&lt;_subject_headings&gt;*Carcinoma, Non-Small-Cell Lung/diagnostic imaging/genetics; ErbB Receptors/genetics; Fluorodeoxyglucose F18; Humans; *Lung Neoplasms/diagnostic imaging/genetics; Mutation; Positron Emission Tomography Computed Tomography&lt;/_subject_headings&gt;&lt;_tertiary_title&gt;European journal of nuclear medicine and molecular imaging&lt;/_tertiary_title&gt;&lt;_type_work&gt;Journal Article; Research Support, Non-U.S. Gov&amp;apos;t&lt;/_type_work&gt;&lt;_url&gt;http://www.ncbi.nlm.nih.gov/entrez/query.fcgi?cmd=Retrieve&amp;amp;db=pubmed&amp;amp;dopt=Abstract&amp;amp;list_uids=31728587&amp;amp;query_hl=1&lt;/_url&gt;&lt;_volume&gt;47&lt;/_volume&gt;&lt;/Details&gt;&lt;Extra&gt;&lt;DBUID&gt;{F96A950B-833F-4880-A151-76DA2D6A2879}&lt;/DBUID&gt;&lt;/Extra&gt;&lt;/Item&gt;&lt;/References&gt;&lt;/Group&gt;&lt;/Citation&gt;_x000a_"/>
    <w:docVar w:name="NE.Ref{BF1C319A-1A57-47A2-B58D-0D4221A59794}" w:val=" ADDIN NE.Ref.{BF1C319A-1A57-47A2-B58D-0D4221A59794}&lt;Citation&gt;&lt;Group&gt;&lt;References&gt;&lt;Item&gt;&lt;ID&gt;567&lt;/ID&gt;&lt;UID&gt;{8E106E59-F502-42B8-BE27-CE1C12541AAA}&lt;/UID&gt;&lt;Title&gt;Predicting EGFR mutation status in lung adenocarcinoma on computed tomography image using deep learning&lt;/Title&gt;&lt;Template&gt;Journal Article&lt;/Template&gt;&lt;Star&gt;0&lt;/Star&gt;&lt;Tag&gt;0&lt;/Tag&gt;&lt;Author&gt;Wang, S; Shi, J; Ye, Z; Dong, D; Yu, D; Zhou, M; Liu, Y; Gevaert, O; Wang, K; Zhu, Y; Zhou, H; Liu, Z; Tian, J&lt;/Author&gt;&lt;Year&gt;2019&lt;/Year&gt;&lt;Details&gt;&lt;_accession_num&gt;30635290&lt;/_accession_num&gt;&lt;_author_adr&gt;CAS Key Laboratory of Molecular Imaging, Institute of Automation, Chinese Academy of Sciences, Beijing, China.; University of Chinese Academy of Sciences, Beijing, China.; These authors contributed equally to this work.; Dept of Respiratory Medicine, Shanghai Pulmonary Hospital, Tongji University School of Medicine, Shanghai, China.; These authors contributed equally to this work.; Dept of Radiology, Tianjin Medical University Cancer Institute and Hospital, National Clinical Research Center for Cancer, Tianjin&amp;apos;s Clinical Research Center  for Cancer, Key Laboratory of Cancer Prevention and Therapy, Tianjin, China.; These authors contributed equally to this work.; CAS Key Laboratory of Molecular Imaging, Institute of Automation, Chinese Academy of Sciences, Beijing, China.; University of Chinese Academy of Sciences, Beijing, China.; These authors contributed equally to this work.; CAS Key Laboratory of Molecular Imaging, Institute of Automation, Chinese Academy of Sciences, Beijing, China.; University of Chinese Academy of Sciences, Beijing, China.; These authors contributed equally to this work.; The Stanford Center for Biomedical Informatics Research, Dept of Medicine, Stanford University, Stanford, CA, USA.; These authors contributed equally to this work.; Dept of Radiology, Tianjin Medical University Cancer Institute and Hospital, National Clinical Research Center for Cancer, Tianjin&amp;apos;s Clinical Research Center  for Cancer, Key Laboratory of Cancer Prevention and Therapy, Tianjin, China.; The Stanford Center for Biomedical Informatics Research, Dept of Medicine, Stanford University, Stanford, CA, USA.; CAS Key Laboratory of Molecular Imaging, Institute of Automation, Chinese Academy of Sciences, Beijing, China.; CAS Key Laboratory of Molecular Imaging, Institute of Automation, Chinese Academy of Sciences, Beijing, China.; Paul C. Lauterbur Research Center for Biomedical Imaging, Shenzhen Institutes of  Advanced Technology, Chinese Academy of Sciences, Shenzhen, China.; CAS Key Laboratory of Molecular Imaging, Institute of Automation, Chinese Academy of Sciences, Beijing, China.; CAS Key Laboratory of Molecular Imaging, Institute of Automation, Chinese Academy of Sciences, Beijing, China.; University of Chinese Academy of Sciences, Beijing, China.; Beijing Advanced Innovation Center for Big Data-Based Precision Medicine, School  of Medicine, Beihang University, Beijing, China.&lt;/_author_adr&gt;&lt;_collection_scope&gt;SCI;SCIE&lt;/_collection_scope&gt;&lt;_created&gt;64298883&lt;/_created&gt;&lt;_date&gt;2019-03-01&lt;/_date&gt;&lt;_date_display&gt;2019 Mar&lt;/_date_display&gt;&lt;_db_updated&gt;PubMed&lt;/_db_updated&gt;&lt;_doi&gt;10.1183/13993003.00986-2018&lt;/_doi&gt;&lt;_impact_factor&gt;  16.671&lt;/_impact_factor&gt;&lt;_isbn&gt;1399-3003 (Electronic); 0903-1936 (Linking)&lt;/_isbn&gt;&lt;_issue&gt;3&lt;/_issue&gt;&lt;_journal&gt;Eur Respir J&lt;/_journal&gt;&lt;_language&gt;eng&lt;/_language&gt;&lt;_modified&gt;64298883&lt;/_modified&gt;&lt;_ori_publication&gt;Copyright (c)ERS 2019.&lt;/_ori_publication&gt;&lt;_subject_headings&gt;Adenocarcinoma of Lung/*diagnosis/*genetics; Aged; Computational Biology; *Deep Learning; ErbB Receptors/genetics; Female; Humans; Image Processing, Computer-Assisted; Male; Middle Aged; *Mutation; Neoplasm Staging; Neural Networks, Computer; ROC Curve; Reproducibility of Results; Retrospective Studies; Tomography, X-Ray Computed&lt;/_subject_headings&gt;&lt;_tertiary_title&gt;The European respiratory journal&lt;/_tertiary_title&gt;&lt;_type_work&gt;Journal Article; Research Support, Non-U.S. Gov&amp;apos;t; Validation Study&lt;/_type_work&gt;&lt;_url&gt;http://www.ncbi.nlm.nih.gov/entrez/query.fcgi?cmd=Retrieve&amp;amp;db=pubmed&amp;amp;dopt=Abstract&amp;amp;list_uids=30635290&amp;amp;query_hl=1&lt;/_url&gt;&lt;_volume&gt;53&lt;/_volume&gt;&lt;/Details&gt;&lt;Extra&gt;&lt;DBUID&gt;{F96A950B-833F-4880-A151-76DA2D6A2879}&lt;/DBUID&gt;&lt;/Extra&gt;&lt;/Item&gt;&lt;/References&gt;&lt;/Group&gt;&lt;/Citation&gt;_x000a_"/>
    <w:docVar w:name="NE.Ref{C463F25B-1DE7-4F17-A9DF-FB1FE8D65DB5}" w:val=" ADDIN NE.Ref.{C463F25B-1DE7-4F17-A9DF-FB1FE8D65DB5}&lt;Citation&gt;&lt;Group&gt;&lt;References&gt;&lt;Item&gt;&lt;ID&gt;536&lt;/ID&gt;&lt;UID&gt;{37DE5AED-8C3D-4EF8-9313-858DAEE2EC3E}&lt;/UID&gt;&lt;Title&gt;A Machine Learning Model Based on PET/CT Radiomics and Clinical Characteristics Predicts ALK Rearrangement Status in Lung Adenocarcinoma&lt;/Title&gt;&lt;Template&gt;Journal Article&lt;/Template&gt;&lt;Star&gt;0&lt;/Star&gt;&lt;Tag&gt;0&lt;/Tag&gt;&lt;Author&gt;Chang, C; Sun, X; Wang, G; Yu, H; Zhao, W; Ge, Y; Duan, S; Qian, X; Wang, R; Lei, B; Wang, L; Liu, L; Ruan, M; Yan, H; Liu, C; Chen, J; Xie, W&lt;/Author&gt;&lt;Year&gt;2021&lt;/Year&gt;&lt;Details&gt;&lt;_accessed&gt;64330488&lt;/_accessed&gt;&lt;_accession_num&gt;33738250&lt;/_accession_num&gt;&lt;_author_adr&gt;Department of Nuclear Medicine, Shanghai Chest Hospital, Shanghai Jiao Tong University, Shanghai, China.; Clinical and Translational Center in Shanghai Chest Hospital, Shanghai Key Laboratory for Molecular Imaging, Shanghai University of Medicine and Health Sciences, Shanghai, China.; Department of Nuclear Medicine, Shanghai Chest Hospital, Shanghai Jiao Tong University, Shanghai, China.; Clinical and Translational Center in Shanghai Chest Hospital, Shanghai Key Laboratory for Molecular Imaging, Shanghai University of Medicine and Health Sciences, Shanghai, China.; Statistical Center, Shanghai Chest Hospital, Shanghai Jiao Tong University, Shanghai, China.; Department of Radiology, Shanghai Chest Hospital, Shanghai Jiao Tong University,  Shanghai, China.; Department of Radiology, Second Affiliated Hospital of Soochow University, Suzhou, China.; Pharmaceutical Diagnostic Department, GE Healthcare China, Shanghai, China.; Pharmaceutical Diagnostic Department, GE Healthcare China, Shanghai, China.; Institute for Medical Imaging Technology, School of Biomedical Engineering, Shanghai Jiao Tong University, Shanghai, China.; Department of Thoracic Surgery, Shanghai Chest Hospital, Shanghai Jiao Tong University, Shanghai, China.; Department of Nuclear Medicine, Shanghai Chest Hospital, Shanghai Jiao Tong University, Shanghai, China.; Department of Nuclear Medicine, Shanghai Chest Hospital, Shanghai Jiao Tong University, Shanghai, China.; Department of Nuclear Medicine, Shanghai Chest Hospital, Shanghai Jiao Tong University, Shanghai, China.; Clinical and Translational Center in Shanghai Chest Hospital, Shanghai Key Laboratory for Molecular Imaging, Shanghai University of Medicine and Health Sciences, Shanghai, China.; Department of Nuclear Medicine, Shanghai Chest Hospital, Shanghai Jiao Tong University, Shanghai, China.; Department of Nuclear Medicine, Shanghai Chest Hospital, Shanghai Jiao Tong University, Shanghai, China.; Department of Nuclear Medicine, Shanghai Chest Hospital, Shanghai Jiao Tong University, Shanghai, China.; Department of Ultrasound, Shanghai Chest Hospital, Shanghai Jiao Tong University, Shanghai, China.; Department of Nuclear Medicine, Shanghai Chest Hospital, Shanghai Jiao Tong University, Shanghai, China.; Clinical and Translational Center in Shanghai Chest Hospital, Shanghai Key Laboratory for Molecular Imaging, Shanghai University of Medicine and Health Sciences, Shanghai, China.&lt;/_author_adr&gt;&lt;_collection_scope&gt;SCIE&lt;/_collection_scope&gt;&lt;_created&gt;64298747&lt;/_created&gt;&lt;_date&gt;2021-01-20&lt;/_date&gt;&lt;_date_display&gt;2021&lt;/_date_display&gt;&lt;_db_updated&gt;PubMed&lt;/_db_updated&gt;&lt;_doi&gt;10.3389/fonc.2021.603882&lt;/_doi&gt;&lt;_impact_factor&gt;   6.244&lt;/_impact_factor&gt;&lt;_isbn&gt;2234-943X (Print); 2234-943X (Linking)&lt;/_isbn&gt;&lt;_journal&gt;Front Oncol&lt;/_journal&gt;&lt;_keywords&gt;anaplastic lymphoma kinase (ALK) rearrangement; lung adenocarcinoma; machine learning; positron emission tomography/computed tomography (PET/CT); radiomics&lt;/_keywords&gt;&lt;_language&gt;eng&lt;/_language&gt;&lt;_modified&gt;64330488&lt;/_modified&gt;&lt;_ori_publication&gt;Copyright (c) 2021 Chang, Sun, Wang, Yu, Zhao, Ge, Duan, Qian, Wang, Lei, Wang,_x000d__x000a_      Liu, Ruan, Yan, Liu, Chen and Xie.&lt;/_ori_publication&gt;&lt;_pages&gt;603882&lt;/_pages&gt;&lt;_tertiary_title&gt;Frontiers in oncology&lt;/_tertiary_title&gt;&lt;_type_work&gt;Journal Article&lt;/_type_work&gt;&lt;_url&gt;http://www.ncbi.nlm.nih.gov/entrez/query.fcgi?cmd=Retrieve&amp;amp;db=pubmed&amp;amp;dopt=Abstract&amp;amp;list_uids=33738250&amp;amp;query_hl=1&lt;/_url&gt;&lt;_volume&gt;11&lt;/_volume&gt;&lt;/Details&gt;&lt;Extra&gt;&lt;DBUID&gt;{F96A950B-833F-4880-A151-76DA2D6A2879}&lt;/DBUID&gt;&lt;/Extra&gt;&lt;/Item&gt;&lt;/References&gt;&lt;/Group&gt;&lt;Group&gt;&lt;References&gt;&lt;Item&gt;&lt;ID&gt;537&lt;/ID&gt;&lt;UID&gt;{6365AE25-40CF-42AB-B9DA-74DCDA043070}&lt;/UID&gt;&lt;Title&gt;Predicting EGFR mutation subtypes in lung adenocarcinoma using (18)F-FDG PET/CT radiomic features&lt;/Title&gt;&lt;Template&gt;Journal Article&lt;/Template&gt;&lt;Star&gt;0&lt;/Star&gt;&lt;Tag&gt;0&lt;/Tag&gt;&lt;Author&gt;Liu, Q; Sun, D; Li, N; Kim, J; Feng, D; Huang, G; Wang, L; Song, S&lt;/Author&gt;&lt;Year&gt;2020&lt;/Year&gt;&lt;Details&gt;&lt;_accessed&gt;64331190&lt;/_accessed&gt;&lt;_accession_num&gt;32676319&lt;/_accession_num&gt;&lt;_author_adr&gt;Department of Nuclear Medicine, Fudan University Shanghai Cancer Center, Shanghai Medical College, Fudan University, Shanghai 200032, China.; Department of Oncology, Shanghai Medical College, Fudan University, Shanghai 200032, China.; SJTU-USYD Joint Research Alliance for Translational Medicine, Shanghai Jiao Tong  University, Shanghai 200240, China.; SJTU-USYD Joint Research Alliance for Translational Medicine, Shanghai Jiao Tong  University, Shanghai 200240, China.; Department of Automation, Shanghai Jiao Tong University, Shanghai 200240, China.; Department of Nuclear Medicine, Fudan University Shanghai Cancer Center, Shanghai Medical College, Fudan University, Shanghai 200032, China.; Department of Oncology, Shanghai Medical College, Fudan University, Shanghai 200032, China.; SJTU-USYD Joint Research Alliance for Translational Medicine, Shanghai Jiao Tong  University, Shanghai 200240, China.; Biomedical and Multimedia Information Technology Research Group, School of Computer Science, University of Sydney, Sydney, Australia.; Shanghai Key Laboratory for Molecular Imaging, Shanghai University of Medicine and Health Sciences, Shanghai 201318, China.; SJTU-USYD Joint Research Alliance for Translational Medicine, Shanghai Jiao Tong  University, Shanghai 200240, China.; Biomedical and Multimedia Information Technology Research Group, School of Computer Science, University of Sydney, Sydney, Australia.; Shanghai Key Laboratory for Molecular Imaging, Shanghai University of Medicine and Health Sciences, Shanghai 201318, China.; SJTU-USYD Joint Research Alliance for Translational Medicine, Shanghai Jiao Tong  University, Shanghai 200240, China.; Shanghai Key Laboratory for Molecular Imaging, Shanghai University of Medicine and Health Sciences, Shanghai 201318, China.; Department of Nuclear Medicine, Renji Hospital, School of Medicine, Shanghai Jiao Tong University, Shanghai 200127, China.; SJTU-USYD Joint Research Alliance for Translational Medicine, Shanghai Jiao Tong  University, Shanghai 200240, China.; Department of Automation, Shanghai Jiao Tong University, Shanghai 200240, China.; Shanghai Key Laboratory for Molecular Imaging, Shanghai University of Medicine and Health Sciences, Shanghai 201318, China.; Department of Nuclear Medicine, Fudan University Shanghai Cancer Center, Shanghai Medical College, Fudan University, Shanghai 200032, China.; Department of Oncology, Shanghai Medical College, Fudan University, Shanghai 200032, China.; SJTU-USYD Joint Research Alliance for Translational Medicine, Shanghai Jiao Tong  University, Shanghai 200240, China.; Shanghai Key Laboratory for Molecular Imaging, Shanghai University of Medicine and Health Sciences, Shanghai 201318, China.&lt;/_author_adr&gt;&lt;_created&gt;64298748&lt;/_created&gt;&lt;_date&gt;2020-06-01&lt;/_date&gt;&lt;_date_display&gt;2020 Jun&lt;/_date_display&gt;&lt;_db_updated&gt;PubMed&lt;/_db_updated&gt;&lt;_doi&gt;10.21037/tlcr.2020.04.17&lt;/_doi&gt;&lt;_impact_factor&gt;   6.498&lt;/_impact_factor&gt;&lt;_isbn&gt;2218-6751 (Print); 2218-6751 (Linking)&lt;/_isbn&gt;&lt;_issue&gt;3&lt;/_issue&gt;&lt;_journal&gt;Transl Lung Cancer Res&lt;/_journal&gt;&lt;_keywords&gt;18F-FDG PET/CT; EGFR mutation subtypes; Lung adenocarcinoma; prediction; radiomic features&lt;/_keywords&gt;&lt;_language&gt;eng&lt;/_language&gt;&lt;_modified&gt;64331190&lt;/_modified&gt;&lt;_ori_publication&gt;2020 Translational Lung Cancer Research. All rights reserved.&lt;/_ori_publication&gt;&lt;_pages&gt;549-562&lt;/_pages&gt;&lt;_tertiary_title&gt;Translational lung cancer research&lt;/_tertiary_title&gt;&lt;_type_work&gt;Journal Article&lt;/_type_work&gt;&lt;_url&gt;http://www.ncbi.nlm.nih.gov/entrez/query.fcgi?cmd=Retrieve&amp;amp;db=pubmed&amp;amp;dopt=Abstract&amp;amp;list_uids=32676319&amp;amp;query_hl=1&lt;/_url&gt;&lt;_volume&gt;9&lt;/_volume&gt;&lt;/Details&gt;&lt;Extra&gt;&lt;DBUID&gt;{F96A950B-833F-4880-A151-76DA2D6A2879}&lt;/DBUID&gt;&lt;/Extra&gt;&lt;/Item&gt;&lt;/References&gt;&lt;/Group&gt;&lt;Group&gt;&lt;References&gt;&lt;Item&gt;&lt;ID&gt;538&lt;/ID&gt;&lt;UID&gt;{6DC72036-390A-49F9-8F2E-AA640A2CA38A}&lt;/UID&gt;&lt;Title&gt;A clinically practical radiomics-clinical combined model based on PET/CT data and nomogram predicts EGFR mutation in lung adenocarcinoma&lt;/Title&gt;&lt;Template&gt;Journal Article&lt;/Template&gt;&lt;Star&gt;0&lt;/Star&gt;&lt;Tag&gt;0&lt;/Tag&gt;&lt;Author&gt;Chang, C; Zhou, S; Yu, H; Zhao, W; Ge, Y; Duan, S; Wang, R; Qian, X; Lei, B; Wang, L; Liu, L; Ruan, M; Yan, H; Sun, X; Xie, W&lt;/Author&gt;&lt;Year&gt;2021&lt;/Year&gt;&lt;Details&gt;&lt;_accessed&gt;64330487&lt;/_accessed&gt;&lt;_accession_num&gt;33544167&lt;/_accession_num&gt;&lt;_author_adr&gt;Department of Nuclear Medicine, Shanghai Chest Hospital, Shanghai Jiao Tong University, No. 241 West Huaihai Road, Shanghai, 200030, China.; Clinical and Translational Center in Shanghai Chest Hospital, Shanghai Key Laboratory for Molecular Imaging, Shanghai University of Medicine and Health Sciences, Shanghai, 201318, China.; Department of Thoracic Surgery, Shanghai Chest Hospital, Shanghai Jiao Tong University, No. 241 West Huaihai Road, Shanghai, 200030, China.; Department of Radiology, Shanghai Chest Hospital, Shanghai Jiao Tong University,  No. 241 West Huaihai Road, Shanghai, 200030, China.; Department of Radiology, Second Affiliated Hospital of Soochow University, No. 1055 Sanxiang Road, Gusu District, Suzhou, 215000, Jiangsu, China.; GE Healthcare China, Pudong New Town, No. 1, Huatuo Road, Shanghai, 210000, China.; GE Healthcare China, Pudong New Town, No. 1, Huatuo Road, Shanghai, 210000, China.; Department of Thoracic Surgery, Shanghai Chest Hospital, Shanghai Jiao Tong University, No. 241 West Huaihai Road, Shanghai, 200030, China.; Institute for Medical Imaging Technology, School of Biomedical Engineering, Shanghai Jiao Tong University, Shanghai, 200030, China.; Department of Nuclear Medicine, Shanghai Chest Hospital, Shanghai Jiao Tong University, No. 241 West Huaihai Road, Shanghai, 200030, China.; Department of Nuclear Medicine, Shanghai Chest Hospital, Shanghai Jiao Tong University, No. 241 West Huaihai Road, Shanghai, 200030, China.; Department of Nuclear Medicine, Shanghai Chest Hospital, Shanghai Jiao Tong University, No. 241 West Huaihai Road, Shanghai, 200030, China.; Clinical and Translational Center in Shanghai Chest Hospital, Shanghai Key Laboratory for Molecular Imaging, Shanghai University of Medicine and Health Sciences, Shanghai, 201318, China.; Department of Nuclear Medicine, Shanghai Chest Hospital, Shanghai Jiao Tong University, No. 241 West Huaihai Road, Shanghai, 200030, China.; Department of Nuclear Medicine, Shanghai Chest Hospital, Shanghai Jiao Tong University, No. 241 West Huaihai Road, Shanghai, 200030, China.; Department of Nuclear Medicine, Shanghai Chest Hospital, Shanghai Jiao Tong University, No. 241 West Huaihai Road, Shanghai, 200030, China.; Clinical and Translational Center in Shanghai Chest Hospital, Shanghai Key Laboratory for Molecular Imaging, Shanghai University of Medicine and Health Sciences, Shanghai, 201318, China.; Department of Nuclear Medicine, Shanghai Chest Hospital, Shanghai Jiao Tong University, No. 241 West Huaihai Road, Shanghai, 200030, China. xknuclear@163.com.; Clinical and Translational Center in Shanghai Chest Hospital, Shanghai Key Laboratory for Molecular Imaging, Shanghai University of Medicine and Health Sciences, Shanghai, 201318, China. xknuclear@163.com.&lt;/_author_adr&gt;&lt;_collection_scope&gt;SCI;SCIE&lt;/_collection_scope&gt;&lt;_created&gt;64298749&lt;/_created&gt;&lt;_date&gt;2021-08-01&lt;/_date&gt;&lt;_date_display&gt;2021 Aug&lt;/_date_display&gt;&lt;_db_updated&gt;PubMed&lt;/_db_updated&gt;&lt;_doi&gt;10.1007/s00330-020-07676-x&lt;/_doi&gt;&lt;_impact_factor&gt;   5.315&lt;/_impact_factor&gt;&lt;_isbn&gt;1432-1084 (Electronic); 0938-7994 (Linking)&lt;/_isbn&gt;&lt;_issue&gt;8&lt;/_issue&gt;&lt;_journal&gt;Eur Radiol&lt;/_journal&gt;&lt;_keywords&gt;Epidermal growth factor receptor; Lung adenocarcinoma; PET/CT; Radiomics; Risk factors&lt;/_keywords&gt;&lt;_language&gt;eng&lt;/_language&gt;&lt;_modified&gt;64330487&lt;/_modified&gt;&lt;_ori_publication&gt;(c) 2021. European Society of Radiology.&lt;/_ori_publication&gt;&lt;_pages&gt;6259-6268&lt;/_pages&gt;&lt;_subject_headings&gt;*Adenocarcinoma of Lung/diagnostic imaging/genetics; ErbB Receptors/genetics; Humans; *Lung Neoplasms/diagnostic imaging/genetics; Mutation; Nomograms; Positron Emission Tomography Computed Tomography; Retrospective Studies; Tomography, X-Ray Computed&lt;/_subject_headings&gt;&lt;_tertiary_title&gt;European radiology&lt;/_tertiary_title&gt;&lt;_type_work&gt;Journal Article&lt;/_type_work&gt;&lt;_url&gt;http://www.ncbi.nlm.nih.gov/entrez/query.fcgi?cmd=Retrieve&amp;amp;db=pubmed&amp;amp;dopt=Abstract&amp;amp;list_uids=33544167&amp;amp;query_hl=1&lt;/_url&gt;&lt;_volume&gt;31&lt;/_volume&gt;&lt;/Details&gt;&lt;Extra&gt;&lt;DBUID&gt;{F96A950B-833F-4880-A151-76DA2D6A2879}&lt;/DBUID&gt;&lt;/Extra&gt;&lt;/Item&gt;&lt;/References&gt;&lt;/Group&gt;&lt;Group&gt;&lt;References&gt;&lt;Item&gt;&lt;ID&gt;539&lt;/ID&gt;&lt;UID&gt;{D51C2464-FB97-47B9-9B1F-E3E484F1AD6F}&lt;/UID&gt;&lt;Title&gt;Performance of (18)F-FDG PET/CT Radiomics for Predicting EGFR Mutation Status in  Patients With Non-Small Cell Lung Cancer&lt;/Title&gt;&lt;Template&gt;Journal Article&lt;/Template&gt;&lt;Star&gt;0&lt;/Star&gt;&lt;Tag&gt;0&lt;/Tag&gt;&lt;Author&gt;Zhang, M; Bao, Y; Rui, W; Shangguan, C; Liu, J; Xu, J; Lin, X; Zhang, M; Huang, X; Zhou, Y; Qu, Q; Meng, H; Qian, D; Li, B&lt;/Author&gt;&lt;Year&gt;2020&lt;/Year&gt;&lt;Details&gt;&lt;_accessed&gt;64304293&lt;/_accessed&gt;&lt;_accession_num&gt;33134170&lt;/_accession_num&gt;&lt;_author_adr&gt;Department of Nuclear Medicine, Ruijin Hospital, Shanghai Jiao Tong University School of Medicine, Shanghai, China.; Institute of Medical Robotics, Shanghai Jiao Tong University, Shanghai, China.; Department of Pathology, Ruijin Hospital, Shanghai Jiao Tong University School of Medicine, Shanghai, China.; Department of Oncology, Rujin Hospital, Shanghai Jiao Tong University School of Medicine, Shanghai, China.; Department of Nuclear Medicine, Ruijin Hospital, Shanghai Jiao Tong University School of Medicine, Shanghai, China.; Institute of Medical Robotics, Shanghai Jiao Tong University, Shanghai, China.; Department of Nuclear Medicine, Ruijin Hospital, Shanghai Jiao Tong University School of Medicine, Shanghai, China.; Department of Nuclear Medicine, Ruijin Hospital, Shanghai Jiao Tong University School of Medicine, Shanghai, China.; Department of Nuclear Medicine, Ruijin Hospital, Shanghai Jiao Tong University School of Medicine, Shanghai, China.; Department of Nuclear Medicine, Ruijin Hospital, Shanghai Jiao Tong University School of Medicine, Shanghai, China.; Department of Nuclear Medicine, Ruijin Hospital, Shanghai Jiao Tong University School of Medicine, Shanghai, China.; Department of Nuclear Medicine, Ruijin Hospital, Shanghai Jiao Tong University School of Medicine, Shanghai, China.; Department of Nuclear Medicine, Ruijin Hospital, Shanghai Jiao Tong University School of Medicine, Shanghai, China.; Institute of Medical Robotics, Shanghai Jiao Tong University, Shanghai, China.; Department of Nuclear Medicine, Ruijin Hospital, Shanghai Jiao Tong University School of Medicine, Shanghai, China.&lt;/_author_adr&gt;&lt;_collection_scope&gt;SCIE&lt;/_collection_scope&gt;&lt;_created&gt;64298749&lt;/_created&gt;&lt;_date&gt;2020-01-20&lt;/_date&gt;&lt;_date_display&gt;2020&lt;/_date_display&gt;&lt;_db_updated&gt;PubMed&lt;/_db_updated&gt;&lt;_doi&gt;10.3389/fonc.2020.568857&lt;/_doi&gt;&lt;_impact_factor&gt;   6.244&lt;/_impact_factor&gt;&lt;_isbn&gt;2234-943X (Print); 2234-943X (Linking)&lt;/_isbn&gt;&lt;_journal&gt;Front Oncol&lt;/_journal&gt;&lt;_keywords&gt;18F-fluorodeoxyglucose; epidermal growth factor receptor; lung cancer; positron emission tomography/computed tomography; radiomics&lt;/_keywords&gt;&lt;_language&gt;eng&lt;/_language&gt;&lt;_modified&gt;64303924&lt;/_modified&gt;&lt;_ori_publication&gt;Copyright (c) 2020 Zhang, Bao, Rui, Shangguan, Liu, Xu, Lin, Zhang, Huang, Zhou, _x000d__x000a_      Qu, Meng, Qian and Li.&lt;/_ori_publication&gt;&lt;_pages&gt;568857&lt;/_pages&gt;&lt;_tertiary_title&gt;Frontiers in oncology&lt;/_tertiary_title&gt;&lt;_type_work&gt;Journal Article&lt;/_type_work&gt;&lt;_url&gt;http://www.ncbi.nlm.nih.gov/entrez/query.fcgi?cmd=Retrieve&amp;amp;db=pubmed&amp;amp;dopt=Abstract&amp;amp;list_uids=33134170&amp;amp;query_hl=1&lt;/_url&gt;&lt;_volume&gt;10&lt;/_volume&gt;&lt;/Details&gt;&lt;Extra&gt;&lt;DBUID&gt;{F96A950B-833F-4880-A151-76DA2D6A2879}&lt;/DBUID&gt;&lt;/Extra&gt;&lt;/Item&gt;&lt;/References&gt;&lt;/Group&gt;&lt;Group&gt;&lt;References&gt;&lt;Item&gt;&lt;ID&gt;540&lt;/ID&gt;&lt;UID&gt;{24EE4979-DC6A-4E4C-9AA4-0A5D29D87B36}&lt;/UID&gt;&lt;Title&gt;Value of pre-therapy (18)F-FDG PET/CT radiomics in predicting EGFR mutation status in patients with non-small cell lung cancer&lt;/Title&gt;&lt;Template&gt;Journal Article&lt;/Template&gt;&lt;Star&gt;0&lt;/Star&gt;&lt;Tag&gt;0&lt;/Tag&gt;&lt;Author&gt;Zhang, J; Zhao, X; Zhao, Y; Zhang, J; Zhang, Z; Wang, J; Wang, Y; Dai, M; Han, J&lt;/Author&gt;&lt;Year&gt;2020&lt;/Year&gt;&lt;Details&gt;&lt;_accession_num&gt;31728587&lt;/_accession_num&gt;&lt;_author_adr&gt;Department of Nuclear Medicine, The Fourth Hospital of Hebei Medical University,  12 Jiankang Road, Shijiazhuang, 050011, Hebei, China.; Department of Nuclear Medicine, Baoding No. 1 Central Hospital, Baoding, 071000,  Hebei, China.; Department of Nuclear Medicine, The Fourth Hospital of Hebei Medical University,  12 Jiankang Road, Shijiazhuang, 050011, Hebei, China. xinm_zhao@163.com.; Department of Medical Oncology, The Fourth Hospital of Hebei Medical University,  Shijiazhuang, 050011, Hebei, China.; Department of Nuclear Medicine, The Fourth Hospital of Hebei Medical University,  12 Jiankang Road, Shijiazhuang, 050011, Hebei, China.; Department of Nuclear Medicine, The Fourth Hospital of Hebei Medical University,  12 Jiankang Road, Shijiazhuang, 050011, Hebei, China.; Department of Nuclear Medicine, The Fourth Hospital of Hebei Medical University,  12 Jiankang Road, Shijiazhuang, 050011, Hebei, China.; Department of Nuclear Medicine, The Fourth Hospital of Hebei Medical University,  12 Jiankang Road, Shijiazhuang, 050011, Hebei, China.; Department of Nuclear Medicine, The Fourth Hospital of Hebei Medical University,  12 Jiankang Road, Shijiazhuang, 050011, Hebei, China.; Department of Nuclear Medicine, The Fourth Hospital of Hebei Medical University,  12 Jiankang Road, Shijiazhuang, 050011, Hebei, China.&lt;/_author_adr&gt;&lt;_created&gt;64298751&lt;/_created&gt;&lt;_date&gt;2020-05-01&lt;/_date&gt;&lt;_date_display&gt;2020 May&lt;/_date_display&gt;&lt;_db_updated&gt;PubMed&lt;/_db_updated&gt;&lt;_doi&gt;10.1007/s00259-019-04592-1&lt;/_doi&gt;&lt;_impact_factor&gt;   9.236&lt;/_impact_factor&gt;&lt;_isbn&gt;1619-7089 (Electronic); 1619-7070 (Linking)&lt;/_isbn&gt;&lt;_issue&gt;5&lt;/_issue&gt;&lt;_journal&gt;Eur J Nucl Med Mol Imaging&lt;/_journal&gt;&lt;_keywords&gt;*18F-FDG; *Epidermal growth factor receptor; *Non-small cell lung cancer; *PET/CT; *Radiomics&lt;/_keywords&gt;&lt;_language&gt;eng&lt;/_language&gt;&lt;_modified&gt;64298751&lt;/_modified&gt;&lt;_pages&gt;1137-1146&lt;/_pages&gt;&lt;_subject_headings&gt;*Carcinoma, Non-Small-Cell Lung/diagnostic imaging/genetics; ErbB Receptors/genetics; Fluorodeoxyglucose F18; Humans; *Lung Neoplasms/diagnostic imaging/genetics; Mutation; Positron Emission Tomography Computed Tomography&lt;/_subject_headings&gt;&lt;_tertiary_title&gt;European journal of nuclear medicine and molecular imaging&lt;/_tertiary_title&gt;&lt;_type_work&gt;Journal Article; Research Support, Non-U.S. Gov&amp;apos;t&lt;/_type_work&gt;&lt;_url&gt;http://www.ncbi.nlm.nih.gov/entrez/query.fcgi?cmd=Retrieve&amp;amp;db=pubmed&amp;amp;dopt=Abstract&amp;amp;list_uids=31728587&amp;amp;query_hl=1&lt;/_url&gt;&lt;_volume&gt;47&lt;/_volume&gt;&lt;/Details&gt;&lt;Extra&gt;&lt;DBUID&gt;{F96A950B-833F-4880-A151-76DA2D6A2879}&lt;/DBUID&gt;&lt;/Extra&gt;&lt;/Item&gt;&lt;/References&gt;&lt;/Group&gt;&lt;Group&gt;&lt;References&gt;&lt;Item&gt;&lt;ID&gt;546&lt;/ID&gt;&lt;UID&gt;{97B673DF-995E-4F9C-AD97-BFF91E9878D3}&lt;/UID&gt;&lt;Title&gt;Usefulness of gradient tree boosting for predicting histological subtype and EGFR mutation status of non-small cell lung cancer on (18)F FDG-PET/CT&lt;/Title&gt;&lt;Template&gt;Journal Article&lt;/Template&gt;&lt;Star&gt;0&lt;/Star&gt;&lt;Tag&gt;0&lt;/Tag&gt;&lt;Author&gt;Koyasu, S; Nishio, M; Isoda, H; Nakamoto, Y; Togashi, K&lt;/Author&gt;&lt;Year&gt;2020&lt;/Year&gt;&lt;Details&gt;&lt;_accessed&gt;64330461&lt;/_accessed&gt;&lt;_accession_num&gt;31659591&lt;/_accession_num&gt;&lt;_author_adr&gt;Department of Diagnostic Imaging and Nuclear Medicine, Graduate School of Medicine, Kyoto University, 54 Kawahara-cho, Shogoin, Sakyo-ku, Kyoto, Kyoto, 606-8507, Japan.; Research Center for Advanced Science and Technology, The University of Tokyo, 4-6-1 Komaba, Meguro-ku, Tokyo, 153-8904, Japan.; Department of Diagnostic Imaging and Nuclear Medicine, Graduate School of Medicine, Kyoto University, 54 Kawahara-cho, Shogoin, Sakyo-ku, Kyoto, Kyoto, 606-8507, Japan. nmizuho@kuhp.kyoto-u.ac.jp.; Preemptive Medicine and Lifestyle-related Disease Research Center, Kyoto University Hospital, 53 Kawahara-cho, Shogoin, Sakyo-ku, Kyoto, Kyoto, 606-8507,  Japan. nmizuho@kuhp.kyoto-u.ac.jp.; Department of Diagnostic Imaging and Nuclear Medicine, Graduate School of Medicine, Kyoto University, 54 Kawahara-cho, Shogoin, Sakyo-ku, Kyoto, Kyoto, 606-8507, Japan.; Preemptive Medicine and Lifestyle-related Disease Research Center, Kyoto University Hospital, 53 Kawahara-cho, Shogoin, Sakyo-ku, Kyoto, Kyoto, 606-8507,  Japan.; Department of Diagnostic Imaging and Nuclear Medicine, Graduate School of Medicine, Kyoto University, 54 Kawahara-cho, Shogoin, Sakyo-ku, Kyoto, Kyoto, 606-8507, Japan.; Department of Diagnostic Imaging and Nuclear Medicine, Graduate School of Medicine, Kyoto University, 54 Kawahara-cho, Shogoin, Sakyo-ku, Kyoto, Kyoto, 606-8507, Japan.&lt;/_author_adr&gt;&lt;_collection_scope&gt;SCIE&lt;/_collection_scope&gt;&lt;_created&gt;64298757&lt;/_created&gt;&lt;_date&gt;2020-01-01&lt;/_date&gt;&lt;_date_display&gt;2020 Jan&lt;/_date_display&gt;&lt;_db_updated&gt;PubMed&lt;/_db_updated&gt;&lt;_doi&gt;10.1007/s12149-019-01414-0&lt;/_doi&gt;&lt;_impact_factor&gt;   2.668&lt;/_impact_factor&gt;&lt;_isbn&gt;1864-6433 (Electronic); 0914-7187 (Linking)&lt;/_isbn&gt;&lt;_issue&gt;1&lt;/_issue&gt;&lt;_journal&gt;Ann Nucl Med&lt;/_journal&gt;&lt;_keywords&gt;Adenocarcinoma; EGFR mutation; Gradient tree boosting; Lung cancer; Radiomics; Squamous cell carcinoma&lt;/_keywords&gt;&lt;_language&gt;eng&lt;/_language&gt;&lt;_modified&gt;64330461&lt;/_modified&gt;&lt;_pages&gt;49-57&lt;/_pages&gt;&lt;_subject_headings&gt;Aged; Carcinoma, Non-Small-Cell Lung/*diagnostic imaging/genetics/pathology; ErbB Receptors/*genetics; Female; *Fluorodeoxyglucose F18; Humans; Image Processing, Computer-Assisted/*methods; Lung Neoplasms/*diagnostic imaging/genetics/pathology; Male; *Mutation; *Positron Emission Tomography Computed Tomography; ROC Curve&lt;/_subject_headings&gt;&lt;_tertiary_title&gt;Annals of nuclear medicine&lt;/_tertiary_title&gt;&lt;_type_work&gt;Journal Article&lt;/_type_work&gt;&lt;_url&gt;http://www.ncbi.nlm.nih.gov/entrez/query.fcgi?cmd=Retrieve&amp;amp;db=pubmed&amp;amp;dopt=Abstract&amp;amp;list_uids=31659591&amp;amp;query_hl=1&lt;/_url&gt;&lt;_volume&gt;34&lt;/_volume&gt;&lt;/Details&gt;&lt;Extra&gt;&lt;DBUID&gt;{F96A950B-833F-4880-A151-76DA2D6A2879}&lt;/DBUID&gt;&lt;/Extra&gt;&lt;/Item&gt;&lt;/References&gt;&lt;/Group&gt;&lt;/Citation&gt;_x000a_"/>
    <w:docVar w:name="NE.Ref{C8C60F01-64DE-4102-AD60-AE95E7F4D163}" w:val=" ADDIN NE.Ref.{C8C60F01-64DE-4102-AD60-AE95E7F4D163}&lt;Citation&gt;&lt;Group&gt;&lt;References&gt;&lt;Item&gt;&lt;ID&gt;518&lt;/ID&gt;&lt;UID&gt;{14AE7ADC-893D-4AAC-B4C9-810AECC364B1}&lt;/UID&gt;&lt;Title&gt;Advanced Non-Small Cell Lung Cancer: Sequencing Agents in the EGFR-Mutated/ALK-Rearranged Populations&lt;/Title&gt;&lt;Template&gt;Journal Article&lt;/Template&gt;&lt;Star&gt;0&lt;/Star&gt;&lt;Tag&gt;0&lt;/Tag&gt;&lt;Author&gt;Singhi, E K; Horn, L; Sequist, L V; Heymach, J; Langer, C J&lt;/Author&gt;&lt;Year&gt;2019&lt;/Year&gt;&lt;Details&gt;&lt;_accessed&gt;64455327&lt;/_accessed&gt;&lt;_accession_num&gt;31099642&lt;/_accession_num&gt;&lt;_author_adr&gt;1 Division of Hematology and Oncology, Vanderbilt-Ingram Cancer Center, Nashville, TN.; 1 Division of Hematology and Oncology, Vanderbilt-Ingram Cancer Center, Nashville, TN.; 2 Massachusetts General Hospital, Boston, MA.; 3 MD Anderson Cancer Center, Houston, TX.; 4 Abramson Cancer Center, University of Pennsylvania, Philadelphia, PA.&lt;/_author_adr&gt;&lt;_created&gt;64298699&lt;/_created&gt;&lt;_date&gt;2019-01-01&lt;/_date&gt;&lt;_date_display&gt;2019 Jan&lt;/_date_display&gt;&lt;_db_updated&gt;PubMed&lt;/_db_updated&gt;&lt;_doi&gt;10.1200/EDBK_237821&lt;/_doi&gt;&lt;_isbn&gt;1548-8756 (Electronic); 1548-8748 (Linking)&lt;/_isbn&gt;&lt;_journal&gt;Am Soc Clin Oncol Educ Book&lt;/_journal&gt;&lt;_language&gt;eng&lt;/_language&gt;&lt;_modified&gt;64455327&lt;/_modified&gt;&lt;_pages&gt;e187-e197&lt;/_pages&gt;&lt;_subject_headings&gt;Anaplastic Lymphoma Kinase/*genetics; Antineoplastic Agents/therapeutic use; Carcinoma, Non-Small-Cell Lung/drug therapy/*genetics/mortality/*pathology; ErbB Receptors/genetics; *Gene Rearrangement; Genetic Association Studies; Genetic Predisposition to Disease; Humans; Lung Neoplasms/drug therapy/*genetics/mortality/*pathology; Molecular Targeted Therapy; *Mutation; Protein Kinase Inhibitors/therapeutic use; Retreatment&lt;/_subject_headings&gt;&lt;_tertiary_title&gt;American Society of Clinical Oncology educational book. American Society of_x000d__x000a_      Clinical Oncology. Annual Meeting&lt;/_tertiary_title&gt;&lt;_type_work&gt;Journal Article; Review&lt;/_type_work&gt;&lt;_url&gt;http://www.ncbi.nlm.nih.gov/entrez/query.fcgi?cmd=Retrieve&amp;amp;db=pubmed&amp;amp;dopt=Abstract&amp;amp;list_uids=31099642&amp;amp;query_hl=1&lt;/_url&gt;&lt;_volume&gt;39&lt;/_volume&gt;&lt;/Details&gt;&lt;Extra&gt;&lt;DBUID&gt;{F96A950B-833F-4880-A151-76DA2D6A2879}&lt;/DBUID&gt;&lt;/Extra&gt;&lt;/Item&gt;&lt;/References&gt;&lt;/Group&gt;&lt;Group&gt;&lt;References&gt;&lt;Item&gt;&lt;ID&gt;519&lt;/ID&gt;&lt;UID&gt;{DC6D96DA-DD1D-4590-ACF0-85B6B4BE95E1}&lt;/UID&gt;&lt;Title&gt;The landscape of EGFR pathways and personalized management of non-small-cell lung cancer&lt;/Title&gt;&lt;Template&gt;Journal Article&lt;/Template&gt;&lt;Star&gt;0&lt;/Star&gt;&lt;Tag&gt;0&lt;/Tag&gt;&lt;Author&gt;Cheng, L; Zhang, S; Alexander, R; Yao, Y; MacLennan, G T; Pan, C X; Huang, J; Wang, M; Montironi, R; Lopez-Beltran, A&lt;/Author&gt;&lt;Year&gt;2011&lt;/Year&gt;&lt;Details&gt;&lt;_accessed&gt;64330487&lt;/_accessed&gt;&lt;_accession_num&gt;21463141&lt;/_accession_num&gt;&lt;_author_adr&gt;Department of Pathology &amp;amp; Laboratory Medicine, Indiana University School of Medicine, 350 West 11th Street, Clarian Pathology Laboratory Room 4010, Indianapolis, IN 46202, USA.&lt;/_author_adr&gt;&lt;_collection_scope&gt;SCIE&lt;/_collection_scope&gt;&lt;_created&gt;64298699&lt;/_created&gt;&lt;_date&gt;2011-04-01&lt;/_date&gt;&lt;_date_display&gt;2011 Apr&lt;/_date_display&gt;&lt;_db_updated&gt;PubMed&lt;/_db_updated&gt;&lt;_doi&gt;10.2217/fon.11.25&lt;/_doi&gt;&lt;_impact_factor&gt;   3.404&lt;/_impact_factor&gt;&lt;_isbn&gt;1744-8301 (Electronic); 1479-6694 (Linking)&lt;/_isbn&gt;&lt;_issue&gt;4&lt;/_issue&gt;&lt;_journal&gt;Future Oncol&lt;/_journal&gt;&lt;_language&gt;eng&lt;/_language&gt;&lt;_modified&gt;64330487&lt;/_modified&gt;&lt;_pages&gt;519-41&lt;/_pages&gt;&lt;_subject_headings&gt;Antibodies, Monoclonal/*therapeutic use; Carcinoma, Non-Small-Cell Lung/*drug therapy/genetics/metabolism; ErbB Receptors/antagonists &amp;amp; inhibitors/genetics/*metabolism; Humans; Lung Neoplasms/*drug therapy/genetics/metabolism; *Molecular Targeted Therapy; Signal Transduction/*drug effects&lt;/_subject_headings&gt;&lt;_tertiary_title&gt;Future oncology (London, England)&lt;/_tertiary_title&gt;&lt;_type_work&gt;Journal Article; Review&lt;/_type_work&gt;&lt;_url&gt;http://www.ncbi.nlm.nih.gov/entrez/query.fcgi?cmd=Retrieve&amp;amp;db=pubmed&amp;amp;dopt=Abstract&amp;amp;list_uids=21463141&amp;amp;query_hl=1&lt;/_url&gt;&lt;_volume&gt;7&lt;/_volume&gt;&lt;/Details&gt;&lt;Extra&gt;&lt;DBUID&gt;{F96A950B-833F-4880-A151-76DA2D6A2879}&lt;/DBUID&gt;&lt;/Extra&gt;&lt;/Item&gt;&lt;/References&gt;&lt;/Group&gt;&lt;/Citation&gt;_x000a_"/>
    <w:docVar w:name="NE.Ref{C8FC1393-FB9E-4149-A4F0-46FFB5124393}" w:val=" ADDIN NE.Ref.{C8FC1393-FB9E-4149-A4F0-46FFB5124393}&lt;Citation&gt;&lt;Group&gt;&lt;References&gt;&lt;Item&gt;&lt;ID&gt;541&lt;/ID&gt;&lt;UID&gt;{729BD2CE-6BEF-4BC6-911B-E9239A3422B0}&lt;/UID&gt;&lt;Title&gt;Role of [(1)(8)F]FDG PET in prediction of KRAS and EGFR mutation status in patients with advanced non-small-cell lung cancer&lt;/Title&gt;&lt;Template&gt;Journal Article&lt;/Template&gt;&lt;Star&gt;0&lt;/Star&gt;&lt;Tag&gt;0&lt;/Tag&gt;&lt;Author&gt;Caicedo, C; Garcia-Velloso, M J; Lozano, M D; Labiano, T; Vigil, Diaz C; Lopez-Picazo, J M; Gurpide, A; Zulueta, J J; Richter, Echevarria JA; Perez, Gracia JL&lt;/Author&gt;&lt;Year&gt;2014&lt;/Year&gt;&lt;Details&gt;&lt;_accession_num&gt;24990403&lt;/_accession_num&gt;&lt;_author_adr&gt;Nuclear Medicine Department, University Clinic of Navarra, University of Navarra, Avda. Pio XII 36, 31008, Pamplona, Spain.&lt;/_author_adr&gt;&lt;_date_display&gt;2014 Nov&lt;/_date_display&gt;&lt;_date&gt;2014-11-01&lt;/_date&gt;&lt;_doi&gt;10.1007/s00259-014-2833-4&lt;/_doi&gt;&lt;_isbn&gt;1619-7089 (Electronic); 1619-7070 (Linking)&lt;/_isbn&gt;&lt;_issue&gt;11&lt;/_issue&gt;&lt;_journal&gt;Eur J Nucl Med Mol Imaging&lt;/_journal&gt;&lt;_language&gt;eng&lt;/_language&gt;&lt;_pages&gt;2058-65&lt;/_pages&gt;&lt;_subject_headings&gt;Adult; Aged; Aged, 80 and over; Carcinoma, Non-Small-Cell Lung/*diagnostic imaging/genetics/pathology; ErbB Receptors/*genetics; Female; *Fluorodeoxyglucose F18; Humans; Lung Neoplasms/*diagnostic imaging/genetics/pathology; Male; Middle Aged; Multivariate Analysis; *Mutation; *Positron-Emission Tomography; Proto-Oncogene Proteins/*genetics; Proto-Oncogene Proteins p21(ras); Tomography, X-Ray Computed; ras Proteins/*genetics&lt;/_subject_headings&gt;&lt;_tertiary_title&gt;European journal of nuclear medicine and molecular imaging&lt;/_tertiary_title&gt;&lt;_type_work&gt;Journal Article; Research Support, Non-U.S. Gov&amp;apos;t&lt;/_type_work&gt;&lt;_url&gt;http://www.ncbi.nlm.nih.gov/entrez/query.fcgi?cmd=Retrieve&amp;amp;db=pubmed&amp;amp;dopt=Abstract&amp;amp;list_uids=24990403&amp;amp;query_hl=1&lt;/_url&gt;&lt;_volume&gt;41&lt;/_volume&gt;&lt;_created&gt;64298751&lt;/_created&gt;&lt;_modified&gt;64298752&lt;/_modified&gt;&lt;_db_updated&gt;PubMed&lt;/_db_updated&gt;&lt;_impact_factor&gt;   9.236&lt;/_impact_factor&gt;&lt;/Details&gt;&lt;Extra&gt;&lt;DBUID&gt;{F96A950B-833F-4880-A151-76DA2D6A2879}&lt;/DBUID&gt;&lt;/Extra&gt;&lt;/Item&gt;&lt;/References&gt;&lt;/Group&gt;&lt;/Citation&gt;_x000a_"/>
    <w:docVar w:name="NE.Ref{DA1004D2-A58B-43D5-9C92-50868BAF3DDB}" w:val=" ADDIN NE.Ref.{DA1004D2-A58B-43D5-9C92-50868BAF3DDB}&lt;Citation&gt;&lt;Group&gt;&lt;References&gt;&lt;Item&gt;&lt;ID&gt;520&lt;/ID&gt;&lt;UID&gt;{107EE939-9F44-478D-9623-F0980FB13D8D}&lt;/UID&gt;&lt;Title&gt;Mechanisms of Resistance to Epidermal Growth Factor Receptor Inhibitors and Novel Therapeutic Strategies to Overcome Resistance in NSCLC Patients&lt;/Title&gt;&lt;Template&gt;Journal Article&lt;/Template&gt;&lt;Star&gt;0&lt;/Star&gt;&lt;Tag&gt;0&lt;/Tag&gt;&lt;Author&gt;Lin, L; Bivona, T G&lt;/Author&gt;&lt;Year&gt;2012&lt;/Year&gt;&lt;Details&gt;&lt;_accession_num&gt;22970367&lt;/_accession_num&gt;&lt;_author_adr&gt;Division of Hematology/Oncology, Department of Medicine, USCF Helen Diller Family Comprehensive Cancer Center, University of California, San Francisco, San Francisco, CA 94158, USA.&lt;/_author_adr&gt;&lt;_date_display&gt;2012&lt;/_date_display&gt;&lt;_date&gt;2012-01-20&lt;/_date&gt;&lt;_doi&gt;10.1155/2012/817297&lt;/_doi&gt;&lt;_isbn&gt;2090-2115 (Electronic); 2090-2107 (Linking)&lt;/_isbn&gt;&lt;_journal&gt;Chemother Res Pract&lt;/_journal&gt;&lt;_language&gt;eng&lt;/_language&gt;&lt;_pages&gt;817297&lt;/_pages&gt;&lt;_tertiary_title&gt;Chemotherapy research and practice&lt;/_tertiary_title&gt;&lt;_type_work&gt;Journal Article&lt;/_type_work&gt;&lt;_url&gt;http://www.ncbi.nlm.nih.gov/entrez/query.fcgi?cmd=Retrieve&amp;amp;db=pubmed&amp;amp;dopt=Abstract&amp;amp;list_uids=22970367&amp;amp;query_hl=1&lt;/_url&gt;&lt;_volume&gt;2012&lt;/_volume&gt;&lt;_created&gt;64298704&lt;/_created&gt;&lt;_modified&gt;64298705&lt;/_modified&gt;&lt;_db_updated&gt;PubMed&lt;/_db_updated&gt;&lt;/Details&gt;&lt;Extra&gt;&lt;DBUID&gt;{F96A950B-833F-4880-A151-76DA2D6A2879}&lt;/DBUID&gt;&lt;/Extra&gt;&lt;/Item&gt;&lt;/References&gt;&lt;/Group&gt;&lt;Group&gt;&lt;References&gt;&lt;Item&gt;&lt;ID&gt;521&lt;/ID&gt;&lt;UID&gt;{C77BE5F4-7DD6-423F-8609-4358F0FA2C93}&lt;/UID&gt;&lt;Title&gt;Impact of Specific Epidermal Growth Factor Receptor (EGFR) Mutations and Clinical Characteristics on Outcomes After Treatment With EGFR Tyrosine Kinase Inhibitors  Versus Chemotherapy in EGFR-Mutant Lung Cancer: A Meta-Analysis&lt;/Title&gt;&lt;Template&gt;Journal Article&lt;/Template&gt;&lt;Star&gt;0&lt;/Star&gt;&lt;Tag&gt;0&lt;/Tag&gt;&lt;Author&gt;Lee, C K; Wu, Y L; Ding, P N; Lord, S J; Inoue, A; Zhou, C; Mitsudomi, T; Rosell, R; Pavlakis, N; Links, M; Gebski, V; Gralla, R J; Yang, J C&lt;/Author&gt;&lt;Year&gt;2015&lt;/Year&gt;&lt;Details&gt;&lt;_accession_num&gt;25897154&lt;/_accession_num&gt;&lt;_author_adr&gt;Chee Khoon Lee, Pei Ni Ding, Sarah J. Lord, and Val Gebski, National Health and Medical Research Council Clinical Trials Centre, The University of Sydney; Chee Khoon Lee and Matthew Links, Cancer Care Centre, St George Hospital; Pei Ni Ding, Liverpool Hospital; Sarah J. Lord, School of Medicine, The University of Notre Dame; Nick Pavlakis, Royal North Shore Hospital, Sydney, Australia; Yi-Long Wu, Guangdong Lung Cancer Institute, Guangdong General Hospital and Guangdong Academy of Medical Sciences, Guangdong; Caicun Zhou, Shanghai Pulmonary Hospital, School  of Medicine, Tongji University, Shanghai, China; Akira Inoue, Tohoku University Hospital, Sendai; Tetsuya Mitsudomi, Kinki University School of Medicine, Osaka-Sayama, Japan; Rafael Rosell, Catalan Institute of Oncology, Germans Trias  i Pujol Health Sciences Institute and Hospital, Barcelona, Spain; Richard J. Gralla, Albert Einstein College of Medicine, Jacobi Medical Center, Bronx, NY; James Chih-Hsin Yang, Graduate Institute of Oncology, National Taiwan University, and National Taiwan University Hospital, Taipei, Taiwan.; Chee Khoon Lee, Pei Ni Ding, Sarah J. Lord, and Val Gebski, National Health and Medical Research Council Clinical Trials Centre, The University of Sydney; Chee Khoon Lee and Matthew Links, Cancer Care Centre, St George Hospital; Pei Ni Ding, Liverpool Hospital; Sarah J. Lord, School of Medicine, The University of Notre Dame; Nick Pavlakis, Royal North Shore Hospital, Sydney, Australia; Yi-Long Wu, Guangdong Lung Cancer Institute, Guangdong General Hospital and Guangdong Academy of Medical Sciences, Guangdong; Caicun Zhou, Shanghai Pulmonary Hospital, School  of Medicine, Tongji University, Shanghai, China; Akira Inoue, Tohoku University Hospital, Sendai; Tetsuya Mitsudomi, Kinki University School of Medicine, Osaka-Sayama, Japan; Rafael Rosell, Catalan Institute of Oncology, Germans Trias  i Pujol Health Sciences Institute and Hospital, Barcelona, Spain; Richard J. Gralla, Albert Einstein College of Medicine, Jacobi Medical Center, Bronx, NY; James Chih-Hsin Yang, Graduate Institute of Oncology, National Taiwan University, and National Taiwan University Hospital, Taipei, Taiwan.; Chee Khoon Lee, Pei Ni Ding, Sarah J. Lord, and Val Gebski, National Health and Medical Research Council Clinical Trials Centre, The University of Sydney; Chee Khoon Lee and Matthew Links, Cancer Care Centre, St George Hospital; Pei Ni Ding, Liverpool Hospital; Sarah J. Lord, School of Medicine, The University of Notre Dame; Nick Pavlakis, Royal North Shore Hospital, Sydney, Australia; Yi-Long Wu, Guangdong Lung Cancer Institute, Guangdong General Hospital and Guangdong Academy of Medical Sciences, Guangdong; Caicun Zhou, Shanghai Pulmonary Hospital, School  of Medicine, Tongji University, Shanghai, China; Akira Inoue, Tohoku University Hospital, Sendai; Tetsuya Mitsudomi, Kinki University School of Medicine, Osaka-Sayama, Japan; Rafael Rosell, Catalan Institute of Oncology, Germans Trias  i Pujol Health Sciences Institute and Hospital, Barcelona, Spain; Richard J. Gralla, Albert Einstein College of Medicine, Jacobi Medical Center, Bronx, NY; James Chih-Hsin Yang, Graduate Institute of Oncology, National Taiwan University, and National Taiwan University Hospital, Taipei, Taiwan.; Chee Khoon Lee, Pei Ni Ding, Sarah J. Lord, and Val Gebski, National Health and Medical Research Council Clinical Trials Centre, The University of Sydney; Chee Khoon Lee and Matthew Links, Cancer Care Centre, St George Hospital; Pei Ni Ding, Liverpool Hospital; Sarah J. Lord, School of Medicine, The University of Notre Dame; Nick Pavlakis, Royal North Shore Hospital, Sydney, Australia; Yi-Long Wu, Guangdong Lung Cancer Institute, Guangdong General Hospital and Guangdong Academy of Medical Sciences, Guangdong; Caicun Zhou, Shanghai Pulmonary Hospital, School  of Medicine, Tongji University, Shanghai, China; Akira Inoue, Tohoku University Hospital, Sendai; Tetsuya Mitsudomi, Kinki University School of Medicine, Osaka-Sayama, Japan; Rafael Rosell, Catalan Institute of Oncology, Germans Trias  i Pujol Health Sciences Institute and Hospital, Barcelona, Spain; Richard J. Gralla, Albert Einstein College of Medicine, Jacobi Medical Center, Bronx, NY; James Chih-Hsin Yang, Graduate Institute of Oncology, National Taiwan University, and National Taiwan University Hospital, Taipei, Taiwan.; Chee Khoon Lee, Pei Ni Ding, Sarah J. Lord, and Val Gebski, National Health and Medical Research Council Clinical Trials Centre, The University of Sydney; Chee Khoon Lee and Matthew Links, Cancer Care Centre, St George Hospital; Pei Ni Ding, Liverpool Hospital; Sarah J. Lord, School of Medicine, The University of Notre Dame; Nick Pavlakis, Royal North Shore Hospital, Sydney, Australia; Yi-Long Wu, Guangdong Lung Cancer Institute, Guangdong General Hospital and Guangdong Academy of Medical Sciences, Guangdong; Caicun Zhou, Shanghai Pulmonary Hospital, School  of Medicine, Tongji University, Shanghai, China; Akira Inoue, Tohoku University Hospital, Sendai; Tetsuya Mitsudomi, Kinki University School of Medicine, Osaka-Sayama, Japan; Rafael Rosell, Catalan Institute of Oncology, Germans Trias  i Pujol Health Sciences Institute and Hospital, Barcelona, Spain; Richard J. Gralla, Albert Einstein College of Medicine, Jacobi Medical Center, Bronx, NY; James Chih-Hsin Yang, Graduate Institute of Oncology, National Taiwan University, and National Taiwan University Hospital, Taipei, Taiwan.; Chee Khoon Lee, Pei Ni Ding, Sarah J. Lord, and Val Gebski, National Health and Medical Research Council Clinical Trials Centre, The University of Sydney; Chee Khoon Lee and Matthew Links, Cancer Care Centre, St George Hospital; Pei Ni Ding, Liverpool Hospital; Sarah J. Lord, School of Medicine, The University of Notre Dame; Nick Pavlakis, Royal North Shore Hospital, Sydney, Australia; Yi-Long Wu, Guangdong Lung Cancer Institute, Guangdong General Hospital and Guangdong Academy of Medical Sciences, Guangdong; Caicun Zhou, Shanghai Pulmonary Hospital, School  of Medicine, Tongji University, Shanghai, China; Akira Inoue, Tohoku University Hospital, Sendai; Tetsuya Mitsudomi, Kinki University School of Medicine, Osaka-Sayama, Japan; Rafael Rosell, Catalan Institute of Oncology, Germans Trias  i Pujol Health Sciences Institute and Hospital, Barcelona, Spain; Richard J. Gralla, Albert Einstein College of Medicine, Jacobi Medical Center, Bronx, NY; James Chih-Hsin Yang, Graduate Institute of Oncology, National Taiwan University, and National Taiwan University Hospital, Taipei, Taiwan.; Chee Khoon Lee, Pei Ni Ding, Sarah J. Lord, and Val Gebski, National Health and Medical Research Council Clinical Trials Centre, The University of Sydney; Chee Khoon Lee and Matthew Links, Cancer Care Centre, St George Hospital; Pei Ni Ding, Liverpool Hospital; Sarah J. Lord, School of Medicine, The University of Notre Dame; Nick Pavlakis, Royal North Shore Hospital, Sydney, Australia; Yi-Long Wu, Guangdong Lung Cancer Institute, Guangdong General Hospital and Guangdong Academy of Medical Sciences, Guangdong; Caicun Zhou, Shanghai Pulmonary Hospital, School  of Medicine, Tongji University, Shanghai, China; Akira Inoue, Tohoku University Hospital, Sendai; Tetsuya Mitsudomi, Kinki University School of Medicine, Osaka-Sayama, Japan; Rafael Rosell, Catalan Institute of Oncology, Germans Trias  i Pujol Health Sciences Institute and Hospital, Barcelona, Spain; Richard J. Gralla, Albert Einstein College of Medicine, Jacobi Medical Center, Bronx, NY; James Chih-Hsin Yang, Graduate Institute of Oncology, National Taiwan University, and National Taiwan University Hospital, Taipei, Taiwan.; Chee Khoon Lee, Pei Ni Ding, Sarah J. Lord, and Val Gebski, National Health and Medical Research Council Clinical Trials Centre, The University of Sydney; Chee Khoon Lee and Matthew Links, Cancer Care Centre, St George Hospital; Pei Ni Ding, Liverpool Hospital; Sarah J. Lord, School of Medicine, The University of Notre Dame; Nick Pavlakis, Royal North Shore Hospital, Sydney, Australia; Yi-Long Wu, Guangdong Lung Cancer Institute, Guangdong General Hospital and Guangdong Academy of Medical Sciences, Guangdong; Caicun Zhou, Shanghai Pulmonary Hospital, School  of Medicine, Tongji University, Shanghai, China; Akira Inoue, Tohoku University Hospital, Sendai; Tetsuya Mitsudomi, Kinki University School of Medicine, Osaka-Sayama, Japan; Rafael Rosell, Catalan Institute of Oncology, Germans Trias  i Pujol Health Sciences Institute and Hospital, Barcelona, Spain; Richard J. Gralla, Albert Einstein College of Medicine, Jacobi Medical Center, Bronx, NY; James Chih-Hsin Yang, Graduate Institute of Oncology, National Taiwan University, and National Taiwan University Hospital, Taipei, Taiwan.; Chee Khoon Lee, Pei Ni Ding, Sarah J. Lord, and Val Gebski, National Health and Medical Research Council Clinical Trials Centre, The University of Sydney; Chee Khoon Lee and Matthew Links, Cancer Care Centre, St George Hospital; Pei Ni Ding, Liverpool Hospital; Sarah J. Lord, School of Medicine, The University of Notre Dame; Nick Pavlakis, Royal North Shore Hospital, Sydney, Australia; Yi-Long Wu, Guangdong Lung Cancer Institute, Guangdong General Hospital and Guangdong Academy of Medical Sciences, Guangdong; Caicun Zhou, Shanghai Pulmonary Hospital, School  of Medicine, Tongji University, Shanghai, China; Akira Inoue, Tohoku University Hospital, Sendai; Tetsuya Mitsudomi, Kinki University School of Medicine, Osaka-Sayama, Japan; Rafael Rosell, Catalan Institute of Oncology, Germans Trias  i Pujol Health Sciences Institute and Hospital, Barcelona, Spain; Richard J. Gralla, Albert Einstein College of Medicine, Jacobi Medical Center, Bronx, NY; James Chih-Hsin Yang, Graduate Institute of Oncology, National Taiwan University, and National Taiwan University Hospital, Taipei, Taiwan.; Chee Khoon Lee, Pei Ni Ding, Sarah J. Lord, and Val Gebski, National Health and Medical Research Council Clinical Trials Centre, The University of Sydney; Chee Khoon Lee and Matthew Links, Cancer Care Centre, St George Hospital; Pei Ni Ding, Liverpool Hospital; Sarah J. Lord, School of Medicine, The University of Notre Dame; Nick Pavlakis, Royal North Shore Hospital, Sydney, Australia; Yi-Long Wu, Guangdong Lung Cancer Institute, Guangdong General Hospital and Guangdong Academy of Medical Sciences, Guangdong; Caicun Zhou, Shanghai Pulmonary Hospital, School  of Medicine, Tongji University, Shanghai, China; Akira Inoue, Tohoku University Hospital, Sendai; Tetsuya Mitsudomi, Kinki University School of Medicine, Osaka-Sayama, Japan; Rafael Rosell, Catalan Institute of Oncology, Germans Trias  i Pujol Health Sciences Institute and Hospital, Barcelona, Spain; Richard J. Gralla, Albert Einstein College of Medicine, Jacobi Medical Center, Bronx, NY; James Chih-Hsin Yang, Graduate Institute of Oncology, National Taiwan University, and National Taiwan University Hospital, Taipei, Taiwan.; Chee Khoon Lee, Pei Ni Ding, Sarah J. Lord, and Val Gebski, National Health and Medical Research Council Clinical Trials Centre, The University of Sydney; Chee Khoon Lee and Matthew Links, Cancer Care Centre, St George Hospital; Pei Ni Ding, Liverpool Hospital; Sarah J. Lord, School of Medicine, The University of Notre Dame; Nick Pavlakis, Royal North Shore Hospital, Sydney, Australia; Yi-Long Wu, Guangdong Lung Cancer Institute, Guangdong General Hospital and Guangdong Academy of Medical Sciences, Guangdong; Caicun Zhou, Shanghai Pulmonary Hospital, School  of Medicine, Tongji University, Shanghai, China; Akira Inoue, Tohoku University Hospital, Sendai; Tetsuya Mitsudomi, Kinki University School of Medicine, Osaka-Sayama, Japan; Rafael Rosell, Catalan Institute of Oncology, Germans Trias  i Pujol Health Sciences Institute and Hospital, Barcelona, Spain; Richard J. Gralla, Albert Einstein College of Medicine, Jacobi Medical Center, Bronx, NY; James Chih-Hsin Yang, Graduate Institute of Oncology, National Taiwan University, and National Taiwan University Hospital, Taipei, Taiwan.; Chee Khoon Lee, Pei Ni Ding, Sarah J. Lord, and Val Gebski, National Health and Medical Research Council Clinical Trials Centre, The University of Sydney; Chee Khoon Lee and Matthew Links, Cancer Care Centre, St George Hospital; Pei Ni Ding, Liverpool Hospital; Sarah J. Lord, School of Medicine, The University of Notre Dame; Nick Pavlakis, Royal North Shore Hospital, Sydney, Australia; Yi-Long Wu, Guangdong Lung Cancer Institute, Guangdong General Hospital and Guangdong Academy of Medical Sciences, Guangdong; Caicun Zhou, Shanghai Pulmonary Hospital, School  of Medicine, Tongji University, Shanghai, China; Akira Inoue, Tohoku University Hospital, Sendai; Tetsuya Mitsudomi, Kinki University School of Medicine, Osaka-Sayama, Japan; Rafael Rosell, Catalan Institute of Oncology, Germans Trias  i Pujol Health Sciences Institute and Hospital, Barcelona, Spain; Richard J. Gralla, Albert Einstein College of Medicine, Jacobi Medical Center, Bronx, NY; James Chih-Hsin Yang, Graduate Institute of Oncology, National Taiwan University, and National Taiwan University Hospital, Taipei, Taiwan.; Chee Khoon Lee, Pei Ni Ding, Sarah J. Lord, and Val Gebski, National Health and Medical Research Council Clinical Trials Centre, The University of Sydney; Chee Khoon Lee and Matthew Links, Cancer Care Centre, St George Hospital; Pei Ni Ding, Liverpool Hospital; Sarah J. Lord, School of Medicine, The University of Notre Dame; Nick Pavlakis, Royal North Shore Hospital, Sydney, Australia; Yi-Long Wu, Guangdong Lung Cancer Institute, Guangdong General Hospital and Guangdong Academy of Medical Sciences, Guangdong; Caicun Zhou, Shanghai Pulmonary Hospital, School  of Medicine, Tongji University, Shanghai, China; Akira Inoue, Tohoku University Hospital, Sendai; Tetsuya Mitsudomi, Kinki University School of Medicine, Osaka-Sayama, Japan; Rafael Rosell, Catalan Institute of Oncology, Germans Trias  i Pujol Health Sciences Institute and Hospital, Barcelona, Spain; Richard J. Gralla, Albert Einstein College of Medicine, Jacobi Medical Center, Bronx, NY; James Chih-Hsin Yang, Graduate Institute of Oncology, National Taiwan University, and National Taiwan University Hospital, Taipei, Taiwan. chihyang@ntu.edu.tw.&lt;/_author_adr&gt;&lt;_date_display&gt;2015 Jun 10&lt;/_date_display&gt;&lt;_date&gt;2015-06-10&lt;/_date&gt;&lt;_doi&gt;10.1200/JCO.2014.58.1736&lt;/_doi&gt;&lt;_isbn&gt;1527-7755 (Electronic); 0732-183X (Linking)&lt;/_isbn&gt;&lt;_issue&gt;17&lt;/_issue&gt;&lt;_journal&gt;J Clin Oncol&lt;/_journal&gt;&lt;_language&gt;eng&lt;/_language&gt;&lt;_ori_publication&gt;(c) 2015 by American Society of Clinical Oncology.&lt;/_ori_publication&gt;&lt;_pages&gt;1958-65&lt;/_pages&gt;&lt;_subject_headings&gt;Antineoplastic Agents/*therapeutic use; Carcinoma, Non-Small-Cell Lung/*drug therapy/*genetics; Disease-Free Survival; Enzyme Inhibitors/*therapeutic use; ErbB Receptors/*genetics; Female; Humans; Lung Neoplasms/*drug therapy/*genetics; Male; Mutation; Odds Ratio; Protein-Tyrosine Kinases/*antagonists &amp;amp; inhibitors; Risk Factors; Smoking/adverse effects; Treatment Outcome&lt;/_subject_headings&gt;&lt;_tertiary_title&gt;Journal of clinical oncology : official journal of the American Society of_x000d__x000a_      Clinical Oncology&lt;/_tertiary_title&gt;&lt;_type_work&gt;Journal Article; Meta-Analysis&lt;/_type_work&gt;&lt;_url&gt;http://www.ncbi.nlm.nih.gov/entrez/query.fcgi?cmd=Retrieve&amp;amp;db=pubmed&amp;amp;dopt=Abstract&amp;amp;list_uids=25897154&amp;amp;query_hl=1&lt;/_url&gt;&lt;_volume&gt;33&lt;/_volume&gt;&lt;_created&gt;64298706&lt;/_created&gt;&lt;_modified&gt;64298706&lt;/_modified&gt;&lt;_db_updated&gt;PubMed&lt;/_db_updated&gt;&lt;_impact_factor&gt;  44.544&lt;/_impact_factor&gt;&lt;_collection_scope&gt;SCI;SCIE&lt;/_collection_scope&gt;&lt;/Details&gt;&lt;Extra&gt;&lt;DBUID&gt;{F96A950B-833F-4880-A151-76DA2D6A2879}&lt;/DBUID&gt;&lt;/Extra&gt;&lt;/Item&gt;&lt;/References&gt;&lt;/Group&gt;&lt;Group&gt;&lt;References&gt;&lt;Item&gt;&lt;ID&gt;522&lt;/ID&gt;&lt;UID&gt;{926E207D-4733-42BA-BF68-23A1684243BE}&lt;/UID&gt;&lt;Title&gt;NCCN Guidelines Insights: Non-Small Cell Lung Cancer, Version 1.2020&lt;/Title&gt;&lt;Template&gt;Journal Article&lt;/Template&gt;&lt;Star&gt;0&lt;/Star&gt;&lt;Tag&gt;0&lt;/Tag&gt;&lt;Author&gt;Ettinger, D S; Wood, D E; Aggarwal, C; Aisner, D L; Akerley, W; Bauman, J R; Bharat, A; Bruno, D S; Chang, J Y; Chirieac, L R; D&amp;apos;Amico, T A; Dilling, T J; Dobelbower, M; Gettinger, S; Govindan, R; Gubens, M A; Hennon, M; Horn, L; Lackner, R P; Lanuti, M; Leal, T A; Lin, J; Loo, BW Jr; Martins, R G; Otterson, G A; Patel, S P; Reckamp, K L; Riely, G J; Schild, S E; Shapiro, T A; Stevenson, J; Swanson, S J; Tauer, K W; Yang, S C; Gregory, K; Hughes, M&lt;/Author&gt;&lt;Year&gt;2019&lt;/Year&gt;&lt;Details&gt;&lt;_accession_num&gt;31805526&lt;/_accession_num&gt;&lt;_author_adr&gt;1The Sidney Kimmel Comprehensive Cancer Center at Johns Hopkins.; 2University of Washington/Seattle Cancer Care Alliance.; 3Abramson Cancer Center at the University of Pennsylvania.; 4University of Colorado Cancer Center.; 5Huntsman Cancer Institute at the University of Utah.; 6Fox Chase Cancer Center.; 7Robert H. Lurie Comprehensive Cancer Center of Northwestern University.; 8Case Comprehensive Cancer Center/University Hospitals Seidman Cancer Center and  Cleveland Clinic Taussig Cancer Institute.; 9The University of Texas MD Anderson Cancer Center.; 10Dana-Farber/Brigham and Women&amp;apos;s Cancer Center.; 11Duke Cancer Institute.; 12Moffitt Cancer Center.; 13O&amp;apos;Neal Comprehensive Cancer Center at UAB.; 14Yale Cancer Center/Smilow Cancer Hospital.; 15Siteman Cancer Center at Barnes-Jewish Hospital and Washington University School of Medicine.; 16UCSF Helen Diller Family Comprehensive Cancer Center.; 17Roswell Park Comprehensive Cancer Institute.; 18Vanderbilt-Ingram Cancer Center.; 19Fred &amp;amp; Pamela Buffett Cancer Center.; 20Massachusetts General Hospital Cancer Center.; 21University of Wisconsin Carbone Cancer Center.; 22University of Michigan Rogel Cancer Center.; 23Stanford Cancer Institute.; 2University of Washington/Seattle Cancer Care Alliance.; 24The Ohio State University Comprehensive Cancer Center - James Cancer Hospital and Solove Research Institute.; 25UC San Diego Moores Cancer Center.; 26City of Hope National Medical Center.; 27Memorial Sloan Kettering Cancer Center.; 28Mayo Clinic Cancer Center.; 1The Sidney Kimmel Comprehensive Cancer Center at Johns Hopkins.; 8Case Comprehensive Cancer Center/University Hospitals Seidman Cancer Center and  Cleveland Clinic Taussig Cancer Institute.; 10Dana-Farber/Brigham and Women&amp;apos;s Cancer Center.; 29St. Jude Children&amp;apos;s Research Hospital/The University of Tennessee Health Science Center; and.; 1The Sidney Kimmel Comprehensive Cancer Center at Johns Hopkins.; 30National Comprehensive Cancer Network.; 30National Comprehensive Cancer Network.&lt;/_author_adr&gt;&lt;_date_display&gt;2019 Dec&lt;/_date_display&gt;&lt;_date&gt;2019-12-01&lt;/_date&gt;&lt;_doi&gt;10.6004/jnccn.2019.0059&lt;/_doi&gt;&lt;_isbn&gt;1540-1413 (Electronic); 1540-1405 (Linking)&lt;/_isbn&gt;&lt;_issue&gt;12&lt;/_issue&gt;&lt;_journal&gt;J Natl Compr Canc Netw&lt;/_journal&gt;&lt;_language&gt;eng&lt;/_language&gt;&lt;_pages&gt;1464-1472&lt;/_pages&gt;&lt;_subject_headings&gt;Antineoplastic Agents/*therapeutic use; Carcinoma, Non-Small-Cell Lung/*drug therapy/immunology/pathology; Humans; Immunotherapy/*methods; Lung Neoplasms/*drug therapy/immunology/pathology; Practice Guidelines as Topic/*standards&lt;/_subject_headings&gt;&lt;_tertiary_title&gt;Journal of the National Comprehensive Cancer Network : JNCCN&lt;/_tertiary_title&gt;&lt;_type_work&gt;Journal Article&lt;/_type_work&gt;&lt;_url&gt;http://www.ncbi.nlm.nih.gov/entrez/query.fcgi?cmd=Retrieve&amp;amp;db=pubmed&amp;amp;dopt=Abstract&amp;amp;list_uids=31805526&amp;amp;query_hl=1&lt;/_url&gt;&lt;_volume&gt;17&lt;/_volume&gt;&lt;_created&gt;64298708&lt;/_created&gt;&lt;_modified&gt;64298710&lt;/_modified&gt;&lt;_db_updated&gt;PubMed&lt;/_db_updated&gt;&lt;_impact_factor&gt;  11.908&lt;/_impact_factor&gt;&lt;/Details&gt;&lt;Extra&gt;&lt;DBUID&gt;{F96A950B-833F-4880-A151-76DA2D6A2879}&lt;/DBUID&gt;&lt;/Extra&gt;&lt;/Item&gt;&lt;/References&gt;&lt;/Group&gt;&lt;/Citation&gt;_x000a_"/>
    <w:docVar w:name="NE.Ref{DF1241DE-373D-4E10-A5E9-EBEC10AE6505}" w:val=" ADDIN NE.Ref.{DF1241DE-373D-4E10-A5E9-EBEC10AE6505}&lt;Citation&gt;&lt;Group&gt;&lt;References&gt;&lt;Item&gt;&lt;ID&gt;534&lt;/ID&gt;&lt;UID&gt;{47628D7B-D5AF-4F0F-91F1-BA3E9D30B9B9}&lt;/UID&gt;&lt;Title&gt;[(18)F]FDG PET radiomics to predict disease-free survival in cervical cancer: a multi-scanner/center study with external validation&lt;/Title&gt;&lt;Template&gt;Journal Article&lt;/Template&gt;&lt;Star&gt;0&lt;/Star&gt;&lt;Tag&gt;0&lt;/Tag&gt;&lt;Author&gt;Ferreira, M; Lovinfosse, P; Hermesse, J; Decuypere, M; Rousseau, C; Lucia, F; Schick, U; Reinhold, C; Robin, P; Hatt, M; Visvikis, D; Bernard, C; Leijenaar, RTH; Kridelka, F; Lambin, P; Meyer, P E; Hustinx, R&lt;/Author&gt;&lt;Year&gt;2021&lt;/Year&gt;&lt;Details&gt;&lt;_accessed&gt;64330459&lt;/_accessed&gt;&lt;_accession_num&gt;33772334&lt;/_accession_num&gt;&lt;_author_adr&gt;GIGA-CRC in vivo Imaging, University of Liege, GIGA, Avenue de l&amp;apos;Hopital 11, 4000, Liege, Belgium. m.Ferreira@student.uliege.be.; Division of Nuclear Medicine and Oncological Imaging, University Hospital of Liege, Liege, Belgium.; Department of Radiation Oncology, Liege University Hospital, Liege, Belgium.; Division of Oncological Gynecology, University Hospital of Liege, Liege, Belgium.; Universite de Nantes, CNRS, Inserm, CRCINA, F-44000, Nantes, France.; ICO Rene Gauducheau, F-44800, Saint-Herblain, France.; Radiation Oncology Department, University Hospital, Brest, France.; LaTIM, INSERM, UMR 1101, Univ Brest, Brest, France.; Radiation Oncology Department, University Hospital, Brest, France.; LaTIM, INSERM, UMR 1101, Univ Brest, Brest, France.; Department of Radiology, McGill University Health Centre (MUHC), Montreal, Canada.; Department of Nuclear Medicine and EA3878, Brest University Hospital, University  of Brest, Brest, France.; LaTIM, INSERM, UMR 1101, Univ Brest, Brest, France.; LaTIM, INSERM, UMR 1101, Univ Brest, Brest, France.; Division of Nuclear Medicine and Oncological Imaging, University Hospital of Liege, Liege, Belgium.; Oncoradiomics SA, Clos Chanmurly 13, 4000, Liege, Belgium.; The-D Lab, Precision Medicine, GROW-School for Oncology and Developmental Biology, Maastricht University Medical Centre, Maastricht, Netherlands.; Division of Oncological Gynecology, University Hospital of Liege, Liege, Belgium.; The-D Lab, Precision Medicine, GROW-School for Oncology and Developmental Biology, Maastricht University Medical Centre, Maastricht, Netherlands.; Department of Radiology and Nuclear Medicine, Maastricht University Medical Centre, Maastricht, The Netherlands.; Bioinformatics and Systems Biology Lab, University of Liege, Liege, Belgium.; GIGA-CRC in vivo Imaging, University of Liege, GIGA, Avenue de l&amp;apos;Hopital 11, 4000, Liege, Belgium.&lt;/_author_adr&gt;&lt;_created&gt;64298745&lt;/_created&gt;&lt;_date&gt;2021-10-01&lt;/_date&gt;&lt;_date_display&gt;2021 Oct&lt;/_date_display&gt;&lt;_db_updated&gt;PubMed&lt;/_db_updated&gt;&lt;_doi&gt;10.1007/s00259-021-05303-5&lt;/_doi&gt;&lt;_impact_factor&gt;   9.236&lt;/_impact_factor&gt;&lt;_isbn&gt;1619-7089 (Electronic); 1619-7070 (Linking)&lt;/_isbn&gt;&lt;_issue&gt;11&lt;/_issue&gt;&lt;_journal&gt;Eur J Nucl Med Mol Imaging&lt;/_journal&gt;&lt;_keywords&gt;*Cervical cancer; *Disease-free survival; *Machine learning; *Radiomics; *[18F]FDG PET/CT&lt;/_keywords&gt;&lt;_language&gt;eng&lt;/_language&gt;&lt;_modified&gt;64330459&lt;/_modified&gt;&lt;_ori_publication&gt;(c) 2021. The Author(s), under exclusive licence to Springer-Verlag GmbH Germany,_x000d__x000a_      part of Springer Nature.&lt;/_ori_publication&gt;&lt;_pages&gt;3432-3443&lt;/_pages&gt;&lt;_subject_headings&gt;Bayes Theorem; Disease-Free Survival; Female; *Fluorodeoxyglucose F18; Humans; Neoplasm Recurrence, Local; Positron Emission Tomography Computed Tomography; Radiopharmaceuticals; Reproducibility of Results; Retrospective Studies; *Uterine Cervical Neoplasms/diagnostic imaging&lt;/_subject_headings&gt;&lt;_tertiary_title&gt;European journal of nuclear medicine and molecular imaging&lt;/_tertiary_title&gt;&lt;_type_work&gt;Journal Article&lt;/_type_work&gt;&lt;_url&gt;http://www.ncbi.nlm.nih.gov/entrez/query.fcgi?cmd=Retrieve&amp;amp;db=pubmed&amp;amp;dopt=Abstract&amp;amp;list_uids=33772334&amp;amp;query_hl=1&lt;/_url&gt;&lt;_volume&gt;48&lt;/_volume&gt;&lt;/Details&gt;&lt;Extra&gt;&lt;DBUID&gt;{F96A950B-833F-4880-A151-76DA2D6A2879}&lt;/DBUID&gt;&lt;/Extra&gt;&lt;/Item&gt;&lt;/References&gt;&lt;/Group&gt;&lt;/Citation&gt;_x000a_"/>
    <w:docVar w:name="NE.Ref{E08D486F-7ED5-4AAE-8E7E-55089EEDFB18}" w:val=" ADDIN NE.Ref.{E08D486F-7ED5-4AAE-8E7E-55089EEDFB18}&lt;Citation&gt;&lt;Group&gt;&lt;References&gt;&lt;Item&gt;&lt;ID&gt;554&lt;/ID&gt;&lt;UID&gt;{18B2FD8A-FB02-41B8-91A1-0AD90EC5189B}&lt;/UID&gt;&lt;Title&gt;Computational Radiomics System to Decode the Radiographic Phenotype&lt;/Title&gt;&lt;Template&gt;Journal Article&lt;/Template&gt;&lt;Star&gt;0&lt;/Star&gt;&lt;Tag&gt;0&lt;/Tag&gt;&lt;Author&gt;van Griethuysen, JJM; Fedorov, A; Parmar, C; Hosny, A; Aucoin, N; Narayan, V; Beets-Tan, RGH; Fillion-Robin, J C; Pieper, S; Aerts, HJWL&lt;/Author&gt;&lt;Year&gt;2017&lt;/Year&gt;&lt;Details&gt;&lt;_accessed&gt;64455327&lt;/_accessed&gt;&lt;_accession_num&gt;29092951&lt;/_accession_num&gt;&lt;_author_adr&gt;Department of Radiation Oncology, Dana-Farber Cancer Institute, Brigham and Women&amp;apos;s Hospital, Harvard Medical School, Boston, Massachusetts.; Netherlands Cancer Institute (NKI), Amsterdam, the Netherlands.; GROW-School for Oncology and Developmental Biology, Maastricht University Medical Center, Maastricht, the Netherlands.; Department of Radiology, Brigham and Women&amp;apos;s Hospital, Harvard Medical School, Boston, Massachusetts.; Department of Radiation Oncology, Dana-Farber Cancer Institute, Brigham and Women&amp;apos;s Hospital, Harvard Medical School, Boston, Massachusetts.; Department of Radiation Oncology, Dana-Farber Cancer Institute, Brigham and Women&amp;apos;s Hospital, Harvard Medical School, Boston, Massachusetts.; Department of Radiology, Brigham and Women&amp;apos;s Hospital, Harvard Medical School, Boston, Massachusetts.; Department of Radiation Oncology, Dana-Farber Cancer Institute, Brigham and Women&amp;apos;s Hospital, Harvard Medical School, Boston, Massachusetts.; Netherlands Cancer Institute (NKI), Amsterdam, the Netherlands.; GROW-School for Oncology and Developmental Biology, Maastricht University Medical Center, Maastricht, the Netherlands.; Kitware, Clifton Park, New York.; Isomics, Cambridge, Massachusetts.; Department of Radiation Oncology, Dana-Farber Cancer Institute, Brigham and Women&amp;apos;s Hospital, Harvard Medical School, Boston, Massachusetts. Hugo_Aerts@dfci.harvard.edu.; Department of Radiology, Brigham and Women&amp;apos;s Hospital, Harvard Medical School, Boston, Massachusetts.&lt;/_author_adr&gt;&lt;_collection_scope&gt;SCI;SCIE&lt;/_collection_scope&gt;&lt;_created&gt;64298784&lt;/_created&gt;&lt;_date&gt;2017-11-01&lt;/_date&gt;&lt;_date_display&gt;2017 Nov 1&lt;/_date_display&gt;&lt;_db_updated&gt;PubMed&lt;/_db_updated&gt;&lt;_doi&gt;10.1158/0008-5472.CAN-17-0339&lt;/_doi&gt;&lt;_impact_factor&gt;  12.701&lt;/_impact_factor&gt;&lt;_isbn&gt;1538-7445 (Electronic); 0008-5472 (Linking)&lt;/_isbn&gt;&lt;_issue&gt;21&lt;/_issue&gt;&lt;_journal&gt;Cancer Res&lt;/_journal&gt;&lt;_language&gt;eng&lt;/_language&gt;&lt;_modified&gt;64455327&lt;/_modified&gt;&lt;_ori_publication&gt;(c)2017 American Association for Cancer Research.&lt;/_ori_publication&gt;&lt;_pages&gt;e104-e107&lt;/_pages&gt;&lt;_subject_headings&gt;*Algorithms; Computational Biology/*methods; Humans; Image Processing, Computer-Assisted/*methods; Lung/diagnostic imaging/pathology; Neoplasms/*diagnostic imaging; Radiography/*methods; Reproducibility of Results&lt;/_subject_headings&gt;&lt;_tertiary_title&gt;Cancer research&lt;/_tertiary_title&gt;&lt;_type_work&gt;Journal Article; Research Support, N.I.H., Extramural&lt;/_type_work&gt;&lt;_url&gt;http://www.ncbi.nlm.nih.gov/entrez/query.fcgi?cmd=Retrieve&amp;amp;db=pubmed&amp;amp;dopt=Abstract&amp;amp;list_uids=29092951&amp;amp;query_hl=1&lt;/_url&gt;&lt;_volume&gt;77&lt;/_volume&gt;&lt;/Details&gt;&lt;Extra&gt;&lt;DBUID&gt;{F96A950B-833F-4880-A151-76DA2D6A2879}&lt;/DBUID&gt;&lt;/Extra&gt;&lt;/Item&gt;&lt;/References&gt;&lt;/Group&gt;&lt;/Citation&gt;_x000a_"/>
    <w:docVar w:name="NE.Ref{E2E2A76E-20BA-4FC5-9015-D7FAE49787D1}" w:val=" ADDIN NE.Ref.{E2E2A76E-20BA-4FC5-9015-D7FAE49787D1}&lt;Citation&gt;&lt;Group&gt;&lt;References&gt;&lt;Item&gt;&lt;ID&gt;519&lt;/ID&gt;&lt;UID&gt;{DC6D96DA-DD1D-4590-ACF0-85B6B4BE95E1}&lt;/UID&gt;&lt;Title&gt;The landscape of EGFR pathways and personalized management of non-small-cell lung cancer&lt;/Title&gt;&lt;Template&gt;Journal Article&lt;/Template&gt;&lt;Star&gt;0&lt;/Star&gt;&lt;Tag&gt;0&lt;/Tag&gt;&lt;Author&gt;Cheng, L; Zhang, S; Alexander, R; Yao, Y; MacLennan, G T; Pan, C X; Huang, J; Wang, M; Montironi, R; Lopez-Beltran, A&lt;/Author&gt;&lt;Year&gt;2011&lt;/Year&gt;&lt;Details&gt;&lt;_accession_num&gt;21463141&lt;/_accession_num&gt;&lt;_author_adr&gt;Department of Pathology &amp;amp; Laboratory Medicine, Indiana University School of Medicine, 350 West 11th Street, Clarian Pathology Laboratory Room 4010, Indianapolis, IN 46202, USA.&lt;/_author_adr&gt;&lt;_date_display&gt;2011 Apr&lt;/_date_display&gt;&lt;_date&gt;2011-04-01&lt;/_date&gt;&lt;_doi&gt;10.2217/fon.11.25&lt;/_doi&gt;&lt;_isbn&gt;1744-8301 (Electronic); 1479-6694 (Linking)&lt;/_isbn&gt;&lt;_issue&gt;4&lt;/_issue&gt;&lt;_journal&gt;Future Oncol&lt;/_journal&gt;&lt;_language&gt;eng&lt;/_language&gt;&lt;_pages&gt;519-41&lt;/_pages&gt;&lt;_subject_headings&gt;Antibodies, Monoclonal/*therapeutic use; Carcinoma, Non-Small-Cell Lung/*drug therapy/genetics/metabolism; ErbB Receptors/antagonists &amp;amp; inhibitors/genetics/*metabolism; Humans; Lung Neoplasms/*drug therapy/genetics/metabolism; *Molecular Targeted Therapy; Signal Transduction/*drug effects&lt;/_subject_headings&gt;&lt;_tertiary_title&gt;Future oncology (London, England)&lt;/_tertiary_title&gt;&lt;_type_work&gt;Journal Article; Review&lt;/_type_work&gt;&lt;_url&gt;http://www.ncbi.nlm.nih.gov/entrez/query.fcgi?cmd=Retrieve&amp;amp;db=pubmed&amp;amp;dopt=Abstract&amp;amp;list_uids=21463141&amp;amp;query_hl=1&lt;/_url&gt;&lt;_volume&gt;7&lt;/_volume&gt;&lt;_created&gt;64298699&lt;/_created&gt;&lt;_modified&gt;64298701&lt;/_modified&gt;&lt;_db_updated&gt;PubMed&lt;/_db_updated&gt;&lt;_impact_factor&gt;   3.404&lt;/_impact_factor&gt;&lt;_collection_scope&gt;SCIE&lt;/_collection_scope&gt;&lt;/Details&gt;&lt;Extra&gt;&lt;DBUID&gt;{F96A950B-833F-4880-A151-76DA2D6A2879}&lt;/DBUID&gt;&lt;/Extra&gt;&lt;/Item&gt;&lt;/References&gt;&lt;/Group&gt;&lt;/Citation&gt;_x000a_"/>
    <w:docVar w:name="NE.Ref{E3011B3A-0FA7-427C-8FC7-18BCE1E44B03}" w:val=" ADDIN NE.Ref.{E3011B3A-0FA7-427C-8FC7-18BCE1E44B03}&lt;Citation&gt;&lt;Group&gt;&lt;References&gt;&lt;Item&gt;&lt;ID&gt;544&lt;/ID&gt;&lt;UID&gt;{2E7CF3B9-12D4-4914-B239-3C729F2AC253}&lt;/UID&gt;&lt;Title&gt;Value of (18)F-FDG PET/CT for predicting EGFR mutations and positive ALK expression in patients with non-small cell lung cancer: a retrospective analysis  of 849 Chinese patients&lt;/Title&gt;&lt;Template&gt;Journal Article&lt;/Template&gt;&lt;Star&gt;0&lt;/Star&gt;&lt;Tag&gt;0&lt;/Tag&gt;&lt;Author&gt;Lv, Z; Fan, J; Xu, J; Wu, F; Huang, Q; Guo, M; Liao, T; Liu, S; Lan, X; Liao, S; Geng, W; Jin, Y&lt;/Author&gt;&lt;Year&gt;2018&lt;/Year&gt;&lt;Details&gt;&lt;_accession_num&gt;29164298&lt;/_accession_num&gt;&lt;_author_adr&gt;Key Laboratory of Respiratory Diseases of the Ministry of health, Department of Respiratory and Critical Care Medicine, Union Hospital, Tongji Medical College, Huazhong University of Science and Technology, 1277 Jiefang Avenue, Wuhan, 430022, China.; Key Laboratory of Respiratory Diseases of the Ministry of health, Department of Respiratory and Critical Care Medicine, Union Hospital, Tongji Medical College, Huazhong University of Science and Technology, 1277 Jiefang Avenue, Wuhan, 430022, China.; Key Laboratory of Respiratory Diseases of the Ministry of health, Department of Respiratory and Critical Care Medicine, Union Hospital, Tongji Medical College, Huazhong University of Science and Technology, 1277 Jiefang Avenue, Wuhan, 430022, China.; Key Laboratory of Respiratory Diseases of the Ministry of health, Department of Respiratory and Critical Care Medicine, Union Hospital, Tongji Medical College, Huazhong University of Science and Technology, 1277 Jiefang Avenue, Wuhan, 430022, China.; Key Laboratory of Respiratory Diseases of the Ministry of health, Department of Respiratory and Critical Care Medicine, Union Hospital, Tongji Medical College, Huazhong University of Science and Technology, 1277 Jiefang Avenue, Wuhan, 430022, China.; Key Laboratory of Respiratory Diseases of the Ministry of health, Department of Respiratory and Critical Care Medicine, Union Hospital, Tongji Medical College, Huazhong University of Science and Technology, 1277 Jiefang Avenue, Wuhan, 430022, China.; Key Laboratory of Respiratory Diseases of the Ministry of health, Department of Respiratory and Critical Care Medicine, Union Hospital, Tongji Medical College, Huazhong University of Science and Technology, 1277 Jiefang Avenue, Wuhan, 430022, China.; Key Laboratory of Respiratory Diseases of the Ministry of health, Department of Respiratory and Critical Care Medicine, Union Hospital, Tongji Medical College, Huazhong University of Science and Technology, 1277 Jiefang Avenue, Wuhan, 430022, China.; Department of Nuclear Medicine, Union Hospital, Tongji Medical College, Huazhong  University of Science and Technology, Wuhan, 430022, China.; Hubei Key Laboratory of Molecular Imaging, Union Hospital, Tongji Medical College, Huazhong University of Science and Technology, Wuhan, 430022, China.; Department of Nuclear Medicine, Union Hospital, Tongji Medical College, Huazhong  University of Science and Technology, Wuhan, 430022, China.; Hubei Key Laboratory of Molecular Imaging, Union Hospital, Tongji Medical College, Huazhong University of Science and Technology, Wuhan, 430022, China.; Biobank, Union Hospital, Tongji Medical College, Huazhong University of Science and Technology, Wuhan, 430022, China.; Key Laboratory of Respiratory Diseases of the Ministry of health, Department of Respiratory and Critical Care Medicine, Union Hospital, Tongji Medical College, Huazhong University of Science and Technology, 1277 Jiefang Avenue, Wuhan, 430022, China. whuhjy@126.com.&lt;/_author_adr&gt;&lt;_created&gt;64298756&lt;/_created&gt;&lt;_date&gt;2018-05-01&lt;/_date&gt;&lt;_date_display&gt;2018 May&lt;/_date_display&gt;&lt;_db_updated&gt;PubMed&lt;/_db_updated&gt;&lt;_doi&gt;10.1007/s00259-017-3885-z&lt;/_doi&gt;&lt;_impact_factor&gt;   9.236&lt;/_impact_factor&gt;&lt;_isbn&gt;1619-7089 (Electronic); 1619-7070 (Linking)&lt;/_isbn&gt;&lt;_issue&gt;5&lt;/_issue&gt;&lt;_journal&gt;Eur J Nucl Med Mol Imaging&lt;/_journal&gt;&lt;_keywords&gt;*Anaplastic lymphoma kinase; *Epidermal growth factor receptor; *Mutation; *Non-small cell lung cancer; *Positron emission tomography; *Standard uptake value&lt;/_keywords&gt;&lt;_language&gt;eng&lt;/_language&gt;&lt;_modified&gt;64298756&lt;/_modified&gt;&lt;_pages&gt;735-750&lt;/_pages&gt;&lt;_subject_headings&gt;Adaptor Proteins, Signal Transducing; Aged; Anaplastic Lymphoma Kinase/*metabolism; Carcinoma, Non-Small-Cell Lung/*diagnostic imaging/genetics; ErbB Receptors/*genetics; Female; Fluorodeoxyglucose F18; Humans; Lung Neoplasms/*diagnostic imaging/genetics; Male; Middle Aged; Mutation; *Positron Emission Tomography Computed Tomography; Retrospective Studies; Tomography, X-Ray Computed&lt;/_subject_headings&gt;&lt;_tertiary_title&gt;European journal of nuclear medicine and molecular imaging&lt;/_tertiary_title&gt;&lt;_type_work&gt;Journal Article&lt;/_type_work&gt;&lt;_url&gt;http://www.ncbi.nlm.nih.gov/entrez/query.fcgi?cmd=Retrieve&amp;amp;db=pubmed&amp;amp;dopt=Abstract&amp;amp;list_uids=29164298&amp;amp;query_hl=1&lt;/_url&gt;&lt;_volume&gt;45&lt;/_volume&gt;&lt;/Details&gt;&lt;Extra&gt;&lt;DBUID&gt;{F96A950B-833F-4880-A151-76DA2D6A2879}&lt;/DBUID&gt;&lt;/Extra&gt;&lt;/Item&gt;&lt;/References&gt;&lt;/Group&gt;&lt;Group&gt;&lt;References&gt;&lt;Item&gt;&lt;ID&gt;551&lt;/ID&gt;&lt;UID&gt;{26CAC5D6-58B0-49C4-8F14-9EAF939A99B6}&lt;/UID&gt;&lt;Title&gt;(18)F-fluorodeoxyglucose positron emission tomography/computed tomography-based radiomic features for prediction of epidermal growth factor receptor mutation status and prognosis in patients with lung adenocarcinoma&lt;/Title&gt;&lt;Template&gt;Journal Article&lt;/Template&gt;&lt;Star&gt;0&lt;/Star&gt;&lt;Tag&gt;0&lt;/Tag&gt;&lt;Author&gt;Yang, B; Ji, H S; Zhou, C S; Dong, H; Ma, L; Ge, Y Q; Zhu, C H; Tian, J H; Zhang, L J; Zhu, H; Lu, G M&lt;/Author&gt;&lt;Year&gt;2020&lt;/Year&gt;&lt;Details&gt;&lt;_accessed&gt;64455327&lt;/_accessed&gt;&lt;_accession_num&gt;32676320&lt;/_accession_num&gt;&lt;_author_adr&gt;Department of Medical Imaging, Affiliated Jinling Hospital, Medical School of Nanjing University, Nanjing 210002, China.; Department of Nuclear Medicine, Affiliated Jinling Hospital, Medical School of Nanjing University, Nanjing 210002, China.; Department of Medical Imaging, Affiliated Jinling Hospital, Medical School of Nanjing University, Nanjing 210002, China.; College of Medical Imaging, Xuzhou Medical University, Xuzhou 221000, China.; Department of Medical Imaging, Affiliated Jinling Hospital, Medical School of Nanjing University, Nanjing 210002, China.; Siemens Healthineers Ltd. Shanghai 200000, China.; Department of Nuclear Medicine, Peking Union Medical College Hospital, Beijing 100730, China.; Department of Nuclear Medicine, The Chinese PLA General Hospital, Beijing 100730, China.; Department of Medical Imaging, Affiliated Jinling Hospital, Medical School of Nanjing University, Nanjing 210002, China.; Department of Nuclear Medicine, Affiliated Jinling Hospital, Medical School of Nanjing University, Nanjing 210002, China.; Department of Medical Imaging, Affiliated Jinling Hospital, Medical School of Nanjing University, Nanjing 210002, China.&lt;/_author_adr&gt;&lt;_created&gt;64298773&lt;/_created&gt;&lt;_date&gt;2020-06-01&lt;/_date&gt;&lt;_date_display&gt;2020 Jun&lt;/_date_display&gt;&lt;_db_updated&gt;PubMed&lt;/_db_updated&gt;&lt;_doi&gt;10.21037/tlcr-19-592&lt;/_doi&gt;&lt;_impact_factor&gt;   6.498&lt;/_impact_factor&gt;&lt;_isbn&gt;2218-6751 (Print); 2218-6751 (Linking)&lt;/_isbn&gt;&lt;_issue&gt;3&lt;/_issue&gt;&lt;_journal&gt;Transl Lung Cancer Res&lt;/_journal&gt;&lt;_keywords&gt;Lung adenocarcinoma; epidermal growth factor receptor (EGFR); positron emission tomography; prognosis; radiomics&lt;/_keywords&gt;&lt;_language&gt;eng&lt;/_language&gt;&lt;_modified&gt;64455327&lt;/_modified&gt;&lt;_ori_publication&gt;2020 Translational Lung Cancer Research. All rights reserved.&lt;/_ori_publication&gt;&lt;_pages&gt;563-574&lt;/_pages&gt;&lt;_tertiary_title&gt;Translational lung cancer research&lt;/_tertiary_title&gt;&lt;_type_work&gt;Journal Article&lt;/_type_work&gt;&lt;_url&gt;http://www.ncbi.nlm.nih.gov/entrez/query.fcgi?cmd=Retrieve&amp;amp;db=pubmed&amp;amp;dopt=Abstract&amp;amp;list_uids=32676320&amp;amp;query_hl=1&lt;/_url&gt;&lt;_volume&gt;9&lt;/_volume&gt;&lt;/Details&gt;&lt;Extra&gt;&lt;DBUID&gt;{F96A950B-833F-4880-A151-76DA2D6A2879}&lt;/DBUID&gt;&lt;/Extra&gt;&lt;/Item&gt;&lt;/References&gt;&lt;/Group&gt;&lt;/Citation&gt;_x000a_"/>
    <w:docVar w:name="NE.Ref{E43284DD-E4AB-4FF1-AD9D-5D655B3CFACA}" w:val=" ADDIN NE.Ref.{E43284DD-E4AB-4FF1-AD9D-5D655B3CFACA}&lt;Citation&gt;&lt;Group&gt;&lt;References&gt;&lt;Item&gt;&lt;ID&gt;538&lt;/ID&gt;&lt;UID&gt;{6DC72036-390A-49F9-8F2E-AA640A2CA38A}&lt;/UID&gt;&lt;Title&gt;A clinically practical radiomics-clinical combined model based on PET/CT data and nomogram predicts EGFR mutation in lung adenocarcinoma&lt;/Title&gt;&lt;Template&gt;Journal Article&lt;/Template&gt;&lt;Star&gt;0&lt;/Star&gt;&lt;Tag&gt;0&lt;/Tag&gt;&lt;Author&gt;Chang, C; Zhou, S; Yu, H; Zhao, W; Ge, Y; Duan, S; Wang, R; Qian, X; Lei, B; Wang, L; Liu, L; Ruan, M; Yan, H; Sun, X; Xie, W&lt;/Author&gt;&lt;Year&gt;2021&lt;/Year&gt;&lt;Details&gt;&lt;_accession_num&gt;33544167&lt;/_accession_num&gt;&lt;_author_adr&gt;Department of Nuclear Medicine, Shanghai Chest Hospital, Shanghai Jiao Tong University, No. 241 West Huaihai Road, Shanghai, 200030, China.; Clinical and Translational Center in Shanghai Chest Hospital, Shanghai Key Laboratory for Molecular Imaging, Shanghai University of Medicine and Health Sciences, Shanghai, 201318, China.; Department of Thoracic Surgery, Shanghai Chest Hospital, Shanghai Jiao Tong University, No. 241 West Huaihai Road, Shanghai, 200030, China.; Department of Radiology, Shanghai Chest Hospital, Shanghai Jiao Tong University,  No. 241 West Huaihai Road, Shanghai, 200030, China.; Department of Radiology, Second Affiliated Hospital of Soochow University, No. 1055 Sanxiang Road, Gusu District, Suzhou, 215000, Jiangsu, China.; GE Healthcare China, Pudong New Town, No. 1, Huatuo Road, Shanghai, 210000, China.; GE Healthcare China, Pudong New Town, No. 1, Huatuo Road, Shanghai, 210000, China.; Department of Thoracic Surgery, Shanghai Chest Hospital, Shanghai Jiao Tong University, No. 241 West Huaihai Road, Shanghai, 200030, China.; Institute for Medical Imaging Technology, School of Biomedical Engineering, Shanghai Jiao Tong University, Shanghai, 200030, China.; Department of Nuclear Medicine, Shanghai Chest Hospital, Shanghai Jiao Tong University, No. 241 West Huaihai Road, Shanghai, 200030, China.; Department of Nuclear Medicine, Shanghai Chest Hospital, Shanghai Jiao Tong University, No. 241 West Huaihai Road, Shanghai, 200030, China.; Department of Nuclear Medicine, Shanghai Chest Hospital, Shanghai Jiao Tong University, No. 241 West Huaihai Road, Shanghai, 200030, China.; Clinical and Translational Center in Shanghai Chest Hospital, Shanghai Key Laboratory for Molecular Imaging, Shanghai University of Medicine and Health Sciences, Shanghai, 201318, China.; Department of Nuclear Medicine, Shanghai Chest Hospital, Shanghai Jiao Tong University, No. 241 West Huaihai Road, Shanghai, 200030, China.; Department of Nuclear Medicine, Shanghai Chest Hospital, Shanghai Jiao Tong University, No. 241 West Huaihai Road, Shanghai, 200030, China.; Department of Nuclear Medicine, Shanghai Chest Hospital, Shanghai Jiao Tong University, No. 241 West Huaihai Road, Shanghai, 200030, China.; Clinical and Translational Center in Shanghai Chest Hospital, Shanghai Key Laboratory for Molecular Imaging, Shanghai University of Medicine and Health Sciences, Shanghai, 201318, China.; Department of Nuclear Medicine, Shanghai Chest Hospital, Shanghai Jiao Tong University, No. 241 West Huaihai Road, Shanghai, 200030, China. xknuclear@163.com.; Clinical and Translational Center in Shanghai Chest Hospital, Shanghai Key Laboratory for Molecular Imaging, Shanghai University of Medicine and Health Sciences, Shanghai, 201318, China. xknuclear@163.com.&lt;/_author_adr&gt;&lt;_collection_scope&gt;SCI;SCIE&lt;/_collection_scope&gt;&lt;_created&gt;64298749&lt;/_created&gt;&lt;_date&gt;2021-08-01&lt;/_date&gt;&lt;_date_display&gt;2021 Aug&lt;/_date_display&gt;&lt;_db_updated&gt;PubMed&lt;/_db_updated&gt;&lt;_doi&gt;10.1007/s00330-020-07676-x&lt;/_doi&gt;&lt;_impact_factor&gt;   5.315&lt;/_impact_factor&gt;&lt;_isbn&gt;1432-1084 (Electronic); 0938-7994 (Linking)&lt;/_isbn&gt;&lt;_issue&gt;8&lt;/_issue&gt;&lt;_journal&gt;Eur Radiol&lt;/_journal&gt;&lt;_keywords&gt;Epidermal growth factor receptor; Lung adenocarcinoma; PET/CT; Radiomics; Risk factors&lt;/_keywords&gt;&lt;_language&gt;eng&lt;/_language&gt;&lt;_modified&gt;64298749&lt;/_modified&gt;&lt;_ori_publication&gt;(c) 2021. European Society of Radiology.&lt;/_ori_publication&gt;&lt;_pages&gt;6259-6268&lt;/_pages&gt;&lt;_subject_headings&gt;*Adenocarcinoma of Lung/diagnostic imaging/genetics; ErbB Receptors/genetics; Humans; *Lung Neoplasms/diagnostic imaging/genetics; Mutation; Nomograms; Positron Emission Tomography Computed Tomography; Retrospective Studies; Tomography, X-Ray Computed&lt;/_subject_headings&gt;&lt;_tertiary_title&gt;European radiology&lt;/_tertiary_title&gt;&lt;_type_work&gt;Journal Article&lt;/_type_work&gt;&lt;_url&gt;http://www.ncbi.nlm.nih.gov/entrez/query.fcgi?cmd=Retrieve&amp;amp;db=pubmed&amp;amp;dopt=Abstract&amp;amp;list_uids=33544167&amp;amp;query_hl=1&lt;/_url&gt;&lt;_volume&gt;31&lt;/_volume&gt;&lt;/Details&gt;&lt;Extra&gt;&lt;DBUID&gt;{F96A950B-833F-4880-A151-76DA2D6A2879}&lt;/DBUID&gt;&lt;/Extra&gt;&lt;/Item&gt;&lt;/References&gt;&lt;/Group&gt;&lt;/Citation&gt;_x000a_"/>
    <w:docVar w:name="NE.Ref{E4D8FF01-E363-44C5-9DD3-8B640B5189F6}" w:val=" ADDIN NE.Ref.{E4D8FF01-E363-44C5-9DD3-8B640B5189F6}&lt;Citation&gt;&lt;Group&gt;&lt;References&gt;&lt;Item&gt;&lt;ID&gt;551&lt;/ID&gt;&lt;UID&gt;{26CAC5D6-58B0-49C4-8F14-9EAF939A99B6}&lt;/UID&gt;&lt;Title&gt;(18)F-fluorodeoxyglucose positron emission tomography/computed tomography-based radiomic features for prediction of epidermal growth factor receptor mutation status and prognosis in patients with lung adenocarcinoma&lt;/Title&gt;&lt;Template&gt;Journal Article&lt;/Template&gt;&lt;Star&gt;0&lt;/Star&gt;&lt;Tag&gt;0&lt;/Tag&gt;&lt;Author&gt;Yang, B; Ji, H S; Zhou, C S; Dong, H; Ma, L; Ge, Y Q; Zhu, C H; Tian, J H; Zhang, L J; Zhu, H; Lu, G M&lt;/Author&gt;&lt;Year&gt;2020&lt;/Year&gt;&lt;Details&gt;&lt;_accessed&gt;64455327&lt;/_accessed&gt;&lt;_accession_num&gt;32676320&lt;/_accession_num&gt;&lt;_author_adr&gt;Department of Medical Imaging, Affiliated Jinling Hospital, Medical School of Nanjing University, Nanjing 210002, China.; Department of Nuclear Medicine, Affiliated Jinling Hospital, Medical School of Nanjing University, Nanjing 210002, China.; Department of Medical Imaging, Affiliated Jinling Hospital, Medical School of Nanjing University, Nanjing 210002, China.; College of Medical Imaging, Xuzhou Medical University, Xuzhou 221000, China.; Department of Medical Imaging, Affiliated Jinling Hospital, Medical School of Nanjing University, Nanjing 210002, China.; Siemens Healthineers Ltd. Shanghai 200000, China.; Department of Nuclear Medicine, Peking Union Medical College Hospital, Beijing 100730, China.; Department of Nuclear Medicine, The Chinese PLA General Hospital, Beijing 100730, China.; Department of Medical Imaging, Affiliated Jinling Hospital, Medical School of Nanjing University, Nanjing 210002, China.; Department of Nuclear Medicine, Affiliated Jinling Hospital, Medical School of Nanjing University, Nanjing 210002, China.; Department of Medical Imaging, Affiliated Jinling Hospital, Medical School of Nanjing University, Nanjing 210002, China.&lt;/_author_adr&gt;&lt;_created&gt;64298773&lt;/_created&gt;&lt;_date&gt;2020-06-01&lt;/_date&gt;&lt;_date_display&gt;2020 Jun&lt;/_date_display&gt;&lt;_db_updated&gt;PubMed&lt;/_db_updated&gt;&lt;_doi&gt;10.21037/tlcr-19-592&lt;/_doi&gt;&lt;_impact_factor&gt;   6.498&lt;/_impact_factor&gt;&lt;_isbn&gt;2218-6751 (Print); 2218-6751 (Linking)&lt;/_isbn&gt;&lt;_issue&gt;3&lt;/_issue&gt;&lt;_journal&gt;Transl Lung Cancer Res&lt;/_journal&gt;&lt;_keywords&gt;Lung adenocarcinoma; epidermal growth factor receptor (EGFR); positron emission tomography; prognosis; radiomics&lt;/_keywords&gt;&lt;_language&gt;eng&lt;/_language&gt;&lt;_modified&gt;64455327&lt;/_modified&gt;&lt;_ori_publication&gt;2020 Translational Lung Cancer Research. All rights reserved.&lt;/_ori_publication&gt;&lt;_pages&gt;563-574&lt;/_pages&gt;&lt;_tertiary_title&gt;Translational lung cancer research&lt;/_tertiary_title&gt;&lt;_type_work&gt;Journal Article&lt;/_type_work&gt;&lt;_url&gt;http://www.ncbi.nlm.nih.gov/entrez/query.fcgi?cmd=Retrieve&amp;amp;db=pubmed&amp;amp;dopt=Abstract&amp;amp;list_uids=32676320&amp;amp;query_hl=1&lt;/_url&gt;&lt;_volume&gt;9&lt;/_volume&gt;&lt;/Details&gt;&lt;Extra&gt;&lt;DBUID&gt;{F96A950B-833F-4880-A151-76DA2D6A2879}&lt;/DBUID&gt;&lt;/Extra&gt;&lt;/Item&gt;&lt;/References&gt;&lt;/Group&gt;&lt;/Citation&gt;_x000a_"/>
    <w:docVar w:name="NE.Ref{F433E032-F1F4-4852-BD66-BFE64048ECCE}" w:val=" ADDIN NE.Ref.{F433E032-F1F4-4852-BD66-BFE64048ECCE}&lt;Citation&gt;&lt;Group&gt;&lt;References&gt;&lt;Item&gt;&lt;ID&gt;540&lt;/ID&gt;&lt;UID&gt;{24EE4979-DC6A-4E4C-9AA4-0A5D29D87B36}&lt;/UID&gt;&lt;Title&gt;Value of pre-therapy (18)F-FDG PET/CT radiomics in predicting EGFR mutation status in patients with non-small cell lung cancer&lt;/Title&gt;&lt;Template&gt;Journal Article&lt;/Template&gt;&lt;Star&gt;0&lt;/Star&gt;&lt;Tag&gt;0&lt;/Tag&gt;&lt;Author&gt;Zhang, J; Zhao, X; Zhao, Y; Zhang, J; Zhang, Z; Wang, J; Wang, Y; Dai, M; Han, J&lt;/Author&gt;&lt;Year&gt;2020&lt;/Year&gt;&lt;Details&gt;&lt;_accession_num&gt;31728587&lt;/_accession_num&gt;&lt;_author_adr&gt;Department of Nuclear Medicine, The Fourth Hospital of Hebei Medical University,  12 Jiankang Road, Shijiazhuang, 050011, Hebei, China.; Department of Nuclear Medicine, Baoding No. 1 Central Hospital, Baoding, 071000,  Hebei, China.; Department of Nuclear Medicine, The Fourth Hospital of Hebei Medical University,  12 Jiankang Road, Shijiazhuang, 050011, Hebei, China. xinm_zhao@163.com.; Department of Medical Oncology, The Fourth Hospital of Hebei Medical University,  Shijiazhuang, 050011, Hebei, China.; Department of Nuclear Medicine, The Fourth Hospital of Hebei Medical University,  12 Jiankang Road, Shijiazhuang, 050011, Hebei, China.; Department of Nuclear Medicine, The Fourth Hospital of Hebei Medical University,  12 Jiankang Road, Shijiazhuang, 050011, Hebei, China.; Department of Nuclear Medicine, The Fourth Hospital of Hebei Medical University,  12 Jiankang Road, Shijiazhuang, 050011, Hebei, China.; Department of Nuclear Medicine, The Fourth Hospital of Hebei Medical University,  12 Jiankang Road, Shijiazhuang, 050011, Hebei, China.; Department of Nuclear Medicine, The Fourth Hospital of Hebei Medical University,  12 Jiankang Road, Shijiazhuang, 050011, Hebei, China.; Department of Nuclear Medicine, The Fourth Hospital of Hebei Medical University,  12 Jiankang Road, Shijiazhuang, 050011, Hebei, China.&lt;/_author_adr&gt;&lt;_created&gt;64298751&lt;/_created&gt;&lt;_date&gt;2020-05-01&lt;/_date&gt;&lt;_date_display&gt;2020 May&lt;/_date_display&gt;&lt;_db_updated&gt;PubMed&lt;/_db_updated&gt;&lt;_doi&gt;10.1007/s00259-019-04592-1&lt;/_doi&gt;&lt;_impact_factor&gt;   9.236&lt;/_impact_factor&gt;&lt;_isbn&gt;1619-7089 (Electronic); 1619-7070 (Linking)&lt;/_isbn&gt;&lt;_issue&gt;5&lt;/_issue&gt;&lt;_journal&gt;Eur J Nucl Med Mol Imaging&lt;/_journal&gt;&lt;_keywords&gt;*18F-FDG; *Epidermal growth factor receptor; *Non-small cell lung cancer; *PET/CT; *Radiomics&lt;/_keywords&gt;&lt;_language&gt;eng&lt;/_language&gt;&lt;_modified&gt;64298751&lt;/_modified&gt;&lt;_pages&gt;1137-1146&lt;/_pages&gt;&lt;_subject_headings&gt;*Carcinoma, Non-Small-Cell Lung/diagnostic imaging/genetics; ErbB Receptors/genetics; Fluorodeoxyglucose F18; Humans; *Lung Neoplasms/diagnostic imaging/genetics; Mutation; Positron Emission Tomography Computed Tomography&lt;/_subject_headings&gt;&lt;_tertiary_title&gt;European journal of nuclear medicine and molecular imaging&lt;/_tertiary_title&gt;&lt;_type_work&gt;Journal Article; Research Support, Non-U.S. Gov&amp;apos;t&lt;/_type_work&gt;&lt;_url&gt;http://www.ncbi.nlm.nih.gov/entrez/query.fcgi?cmd=Retrieve&amp;amp;db=pubmed&amp;amp;dopt=Abstract&amp;amp;list_uids=31728587&amp;amp;query_hl=1&lt;/_url&gt;&lt;_volume&gt;47&lt;/_volume&gt;&lt;/Details&gt;&lt;Extra&gt;&lt;DBUID&gt;{F96A950B-833F-4880-A151-76DA2D6A2879}&lt;/DBUID&gt;&lt;/Extra&gt;&lt;/Item&gt;&lt;/References&gt;&lt;/Group&gt;&lt;/Citation&gt;_x000a_"/>
    <w:docVar w:name="NE.Ref{F4CC5D72-22B1-47E1-BFF6-35B1B1AF34F0}" w:val=" ADDIN NE.Ref.{F4CC5D72-22B1-47E1-BFF6-35B1B1AF34F0}&lt;Citation&gt;&lt;Group&gt;&lt;References&gt;&lt;Item&gt;&lt;ID&gt;569&lt;/ID&gt;&lt;UID&gt;{8114C03A-484E-4A85-BC99-719CED86882B}&lt;/UID&gt;&lt;Title&gt;Non-invasive decision support for NSCLC treatment using PET/CT radiomics&lt;/Title&gt;&lt;Template&gt;Journal Article&lt;/Template&gt;&lt;Star&gt;0&lt;/Star&gt;&lt;Tag&gt;0&lt;/Tag&gt;&lt;Author&gt;Mu, W; Jiang, L; Zhang, J; Shi, Y; Gray, J E; Tunali, I; Gao, C; Sun, Y; Tian, J; Zhao, X; Sun, X; Gillies, R J; Schabath, M B&lt;/Author&gt;&lt;Year&gt;2020&lt;/Year&gt;&lt;Details&gt;&lt;_accessed&gt;64455320&lt;/_accessed&gt;&lt;_accession_num&gt;33067442&lt;/_accession_num&gt;&lt;_author_adr&gt;Department of Cancer Physiology, H. Lee Moffitt Cancer Center and Research Institute, Tampa, FL, USA.; Department of Nuclear Medicine, Shanghai Pulmonary Hospital, Tongji University School of Medicine, Shanghai, China.; Department of Nuclear Medicine, the Fourth Hospital of Hebei Medical University,  Hebei, China.; Department of Nuclear Medicine, Baoding No.1 Central Hospital, Baoding, Hebei, China.; Department of Cancer Physiology, H. Lee Moffitt Cancer Center and Research Institute, Tampa, FL, USA.; Department of Thoracic Oncology, H. Lee Moffitt Cancer Center and Research Institute, Tampa, FL, USA.; Department of Cancer Physiology, H. Lee Moffitt Cancer Center and Research Institute, Tampa, FL, USA.; NHC and CAMS Key Laboratory of Molecular Probe and Targeted Theranostics, Molecular Imaging Research Center (MIRC), Harbin Medical University, Harbin, Heilongjiang, China.; TOF-PET/CT/MR center, the Fourth Hospital of Harbin Medical University, Harbin Medical University, Harbin, Heilongjiang, China.; NHC and CAMS Key Laboratory of Molecular Probe and Targeted Theranostics, Molecular Imaging Research Center (MIRC), Harbin Medical University, Harbin, Heilongjiang, China.; TOF-PET/CT/MR center, the Fourth Hospital of Harbin Medical University, Harbin Medical University, Harbin, Heilongjiang, China.; Beijing Advanced Innovation Center for Big Data-Based Precision Medicine, School  of Medicine, Beihang University, Beijing, China.; CAS Key Laboratory of Molecular Imaging, Institute of Automation, Chinese Academy of Sciences, Beijing, China.; Department of Nuclear Medicine, the Fourth Hospital of Hebei Medical University,  Hebei, China. xinm_zhao@163.com.; NHC and CAMS Key Laboratory of Molecular Probe and Targeted Theranostics, Molecular Imaging Research Center (MIRC), Harbin Medical University, Harbin, Heilongjiang, China. sunxl@ems.hrbmu.edu.cn.; TOF-PET/CT/MR center, the Fourth Hospital of Harbin Medical University, Harbin Medical University, Harbin, Heilongjiang, China. sunxl@ems.hrbmu.edu.cn.; Department of Cancer Physiology, H. Lee Moffitt Cancer Center and Research Institute, Tampa, FL, USA. Robert.Gillies@Moffitt.org.; Department of Thoracic Oncology, H. Lee Moffitt Cancer Center and Research Institute, Tampa, FL, USA. matthew.schabath@moffitt.org.; Department of Cancer Epidemiology, H. Lee Moffitt Cancer Center and Research Institute, Tampa, FL, USA. matthew.schabath@moffitt.org.&lt;/_author_adr&gt;&lt;_collection_scope&gt;SCI;SCIE&lt;/_collection_scope&gt;&lt;_created&gt;64298887&lt;/_created&gt;&lt;_date&gt;2020-10-16&lt;/_date&gt;&lt;_date_display&gt;2020 Oct 16&lt;/_date_display&gt;&lt;_db_updated&gt;PubMed&lt;/_db_updated&gt;&lt;_doi&gt;10.1038/s41467-020-19116-x&lt;/_doi&gt;&lt;_impact_factor&gt;  14.919&lt;/_impact_factor&gt;&lt;_isbn&gt;2041-1723 (Electronic); 2041-1723 (Linking)&lt;/_isbn&gt;&lt;_issue&gt;1&lt;/_issue&gt;&lt;_journal&gt;Nat Commun&lt;/_journal&gt;&lt;_language&gt;eng&lt;/_language&gt;&lt;_modified&gt;64455320&lt;/_modified&gt;&lt;_pages&gt;5228&lt;/_pages&gt;&lt;_subject_headings&gt;Aged; Carcinoma, Non-Small-Cell Lung/*diagnostic imaging/drug_x000d__x000a_      therapy/genetics/mortality; *Deep Learning; ErbB Receptors/genetics/metabolism; Female; Humans; Lung Neoplasms/*diagnostic imaging/drug therapy/genetics/mortality; Male; Middle Aged; Mutation; Positron Emission Tomography Computed Tomography; Progression-Free Survival; Protein Kinase Inhibitors/*administration &amp;amp; dosage&lt;/_subject_headings&gt;&lt;_tertiary_title&gt;Nature communications&lt;/_tertiary_title&gt;&lt;_type_work&gt;Journal Article; Multicenter Study; Research Support, N.I.H., Extramural; Research Support, Non-U.S. Gov&amp;apos;t&lt;/_type_work&gt;&lt;_url&gt;http://www.ncbi.nlm.nih.gov/entrez/query.fcgi?cmd=Retrieve&amp;amp;db=pubmed&amp;amp;dopt=Abstract&amp;amp;list_uids=33067442&amp;amp;query_hl=1&lt;/_url&gt;&lt;_volume&gt;11&lt;/_volume&gt;&lt;/Details&gt;&lt;Extra&gt;&lt;DBUID&gt;{F96A950B-833F-4880-A151-76DA2D6A2879}&lt;/DBUID&gt;&lt;/Extra&gt;&lt;/Item&gt;&lt;/References&gt;&lt;/Group&gt;&lt;/Citation&gt;_x000a_"/>
    <w:docVar w:name="NE.Ref{F8E5F38D-9A20-4415-A814-4043B6524DD2}" w:val=" ADDIN NE.Ref.{F8E5F38D-9A20-4415-A814-4043B6524DD2}&lt;Citation&gt;&lt;Group&gt;&lt;References&gt;&lt;Item&gt;&lt;ID&gt;553&lt;/ID&gt;&lt;UID&gt;{D332BD82-06FA-4587-96A0-B87C502E3766}&lt;/UID&gt;&lt;Title&gt;From Handcrafted to Deep-Learning-Based Cancer Radiomics: Challenges and Opportunities&lt;/Title&gt;&lt;Template&gt;Journal Article&lt;/Template&gt;&lt;Star&gt;0&lt;/Star&gt;&lt;Tag&gt;0&lt;/Tag&gt;&lt;Author&gt;Parnian, Afshar; Arash, Mohammadi; Konstantinos, N Plataniotis; Anastasia, Oikonomou; Habib, Benali&lt;/Author&gt;&lt;Year&gt;2019&lt;/Year&gt;&lt;Details&gt;&lt;_accessed&gt;64455315&lt;/_accessed&gt;&lt;_author_aff&gt;Concordia Institute for Information System Engineering, Montreal, Quebec, Canada;Concordia Institute for Information System Engineering, Montreal, Quebec, Canada;Electrical and Computer Engineering, University of Toronto, Ontario, Canada;Cardiothoracic Imaging Division, Sunnybrook Health Science Centre, Toronto, Ontario, Canada;Electrical and Computer Engineering, Concordia University, Montreal, Quebec, Canada&lt;/_author_aff&gt;&lt;_collection_scope&gt;SCI;SCIE;EI&lt;/_collection_scope&gt;&lt;_created&gt;64298781&lt;/_created&gt;&lt;_date&gt;2019-07-01&lt;/_date&gt;&lt;_db_updated&gt;CNKI - Reference&lt;/_db_updated&gt;&lt;_impact_factor&gt;  12.551&lt;/_impact_factor&gt;&lt;_issue&gt;4&lt;/_issue&gt;&lt;_journal&gt;IEEE Signal Processing Magazine&lt;/_journal&gt;&lt;_modified&gt;64455315&lt;/_modified&gt;&lt;_url&gt;https://kns.cnki.net/kcms/detail/detail.aspx?FileName=SJIE397CF7EC42AEDECCCCD42655BE22D82A&amp;amp;DbName=GARJ2019&lt;/_url&gt;&lt;_volume&gt;36&lt;/_volume&gt;&lt;/Details&gt;&lt;Extra&gt;&lt;DBUID&gt;{F96A950B-833F-4880-A151-76DA2D6A2879}&lt;/DBUID&gt;&lt;/Extra&gt;&lt;/Item&gt;&lt;/References&gt;&lt;/Group&gt;&lt;/Citation&gt;_x000a_"/>
    <w:docVar w:name="NE.Ref{FFD4C996-1358-466C-B661-279BE2BCDB1E}" w:val=" ADDIN NE.Ref.{FFD4C996-1358-466C-B661-279BE2BCDB1E}&lt;Citation&gt;&lt;Group&gt;&lt;References&gt;&lt;Item&gt;&lt;ID&gt;535&lt;/ID&gt;&lt;UID&gt;{9CA0112B-88C4-45B7-8604-3AC9E4366599}&lt;/UID&gt;&lt;Title&gt;PET/CT and the Response to Immunotherapy in Lung Cancer&lt;/Title&gt;&lt;Template&gt;Journal Article&lt;/Template&gt;&lt;Star&gt;0&lt;/Star&gt;&lt;Tag&gt;0&lt;/Tag&gt;&lt;Author&gt;Evangelista, L; Sepulcri, M; Pasello, G&lt;/Author&gt;&lt;Year&gt;2020&lt;/Year&gt;&lt;Details&gt;&lt;_accession_num&gt;31858908&lt;/_accession_num&gt;&lt;_author_adr&gt;Nuclear Medicine Unit, Department of Medicine - DIMED, University of Padua, 35128 Padua, Italy.; Radiation Oncology Unit, Veneto Institute of Oncology IOV - IRCCS, Padua, Italy.; Oncology 2 Unit, Veneto Institute of Oncology IOV - IRCCS, Padua, Italy.&lt;/_author_adr&gt;&lt;_date_display&gt;2020&lt;/_date_display&gt;&lt;_date&gt;2020-01-20&lt;/_date&gt;&lt;_doi&gt;10.2174/1874471013666191220105449&lt;/_doi&gt;&lt;_isbn&gt;1874-4729 (Electronic); 1874-4710 (Linking)&lt;/_isbn&gt;&lt;_issue&gt;3&lt;/_issue&gt;&lt;_journal&gt;Curr Radiopharm&lt;/_journal&gt;&lt;_keywords&gt;18F-FDG; Immunotherapy; PET/CT; immunotherapy; lung cancer; response to therapy&lt;/_keywords&gt;&lt;_language&gt;eng&lt;/_language&gt;&lt;_ori_publication&gt;Copyright(c) Bentham Science Publishers; For any queries, please email at_x000d__x000a_      epub@benthamscience.net.&lt;/_ori_publication&gt;&lt;_pages&gt;177-184&lt;/_pages&gt;&lt;_subject_headings&gt;Fluorodeoxyglucose F18; Humans; Immunotherapy/*methods; Lung Neoplasms/*diagnostic imaging/*drug therapy; *Positron Emission Tomography Computed Tomography; Prognosis; Radiopharmaceuticals; Response Evaluation Criteria in Solid Tumors&lt;/_subject_headings&gt;&lt;_tertiary_title&gt;Current radiopharmaceuticals&lt;/_tertiary_title&gt;&lt;_type_work&gt;Journal Article; Review&lt;/_type_work&gt;&lt;_url&gt;http://www.ncbi.nlm.nih.gov/entrez/query.fcgi?cmd=Retrieve&amp;amp;db=pubmed&amp;amp;dopt=Abstract&amp;amp;list_uids=31858908&amp;amp;query_hl=1&lt;/_url&gt;&lt;_volume&gt;13&lt;/_volume&gt;&lt;_created&gt;64298746&lt;/_created&gt;&lt;_modified&gt;64298746&lt;/_modified&gt;&lt;_db_updated&gt;PubMed&lt;/_db_updated&gt;&lt;/Details&gt;&lt;Extra&gt;&lt;DBUID&gt;{F96A950B-833F-4880-A151-76DA2D6A2879}&lt;/DBUID&gt;&lt;/Extra&gt;&lt;/Item&gt;&lt;/References&gt;&lt;/Group&gt;&lt;/Citation&gt;_x000a_"/>
    <w:docVar w:name="ne_docsoft" w:val="MSWord"/>
    <w:docVar w:name="ne_docversion" w:val="NoteExpress 2.0"/>
    <w:docVar w:name="ne_stylename" w:val="EUROPEAN JOURNAL OF NUCLEAR MEDICINE AND MOLECULAR IMAGING"/>
  </w:docVars>
  <w:rsids>
    <w:rsidRoot w:val="00172A27"/>
    <w:rsid w:val="00000546"/>
    <w:rsid w:val="00000CF2"/>
    <w:rsid w:val="00005D41"/>
    <w:rsid w:val="00015C21"/>
    <w:rsid w:val="00016CE4"/>
    <w:rsid w:val="00020E66"/>
    <w:rsid w:val="00021321"/>
    <w:rsid w:val="00024F56"/>
    <w:rsid w:val="000266F7"/>
    <w:rsid w:val="00027B50"/>
    <w:rsid w:val="000302FE"/>
    <w:rsid w:val="00040435"/>
    <w:rsid w:val="00041E74"/>
    <w:rsid w:val="000541B5"/>
    <w:rsid w:val="0005561C"/>
    <w:rsid w:val="000571C1"/>
    <w:rsid w:val="00062B25"/>
    <w:rsid w:val="0006343E"/>
    <w:rsid w:val="00064BDB"/>
    <w:rsid w:val="000677D7"/>
    <w:rsid w:val="000703AF"/>
    <w:rsid w:val="00070FE0"/>
    <w:rsid w:val="00074FD2"/>
    <w:rsid w:val="00082E6F"/>
    <w:rsid w:val="00086A1D"/>
    <w:rsid w:val="0008798F"/>
    <w:rsid w:val="00093AA6"/>
    <w:rsid w:val="00096E73"/>
    <w:rsid w:val="000B0118"/>
    <w:rsid w:val="000B37CD"/>
    <w:rsid w:val="000B4F8D"/>
    <w:rsid w:val="000C7136"/>
    <w:rsid w:val="000D01AA"/>
    <w:rsid w:val="000D62F9"/>
    <w:rsid w:val="000E2679"/>
    <w:rsid w:val="000E4B25"/>
    <w:rsid w:val="000F6FD6"/>
    <w:rsid w:val="000F72EC"/>
    <w:rsid w:val="00100761"/>
    <w:rsid w:val="001019DF"/>
    <w:rsid w:val="001075E6"/>
    <w:rsid w:val="00117A94"/>
    <w:rsid w:val="00124BB1"/>
    <w:rsid w:val="00132DE4"/>
    <w:rsid w:val="0014430E"/>
    <w:rsid w:val="00146ED4"/>
    <w:rsid w:val="00150B52"/>
    <w:rsid w:val="001530F8"/>
    <w:rsid w:val="001628C1"/>
    <w:rsid w:val="00172A27"/>
    <w:rsid w:val="0017433C"/>
    <w:rsid w:val="00174343"/>
    <w:rsid w:val="00174C3E"/>
    <w:rsid w:val="001860AD"/>
    <w:rsid w:val="00191FB6"/>
    <w:rsid w:val="00193EDF"/>
    <w:rsid w:val="001A05F9"/>
    <w:rsid w:val="001A0C01"/>
    <w:rsid w:val="001A675C"/>
    <w:rsid w:val="001C4A1B"/>
    <w:rsid w:val="001C6BC4"/>
    <w:rsid w:val="001D3BE4"/>
    <w:rsid w:val="001D62DF"/>
    <w:rsid w:val="001F117A"/>
    <w:rsid w:val="001F550A"/>
    <w:rsid w:val="001F7328"/>
    <w:rsid w:val="00201457"/>
    <w:rsid w:val="0020258E"/>
    <w:rsid w:val="0022519B"/>
    <w:rsid w:val="002271CA"/>
    <w:rsid w:val="0022752E"/>
    <w:rsid w:val="00232FCB"/>
    <w:rsid w:val="00235969"/>
    <w:rsid w:val="0024023B"/>
    <w:rsid w:val="00240540"/>
    <w:rsid w:val="00240CEE"/>
    <w:rsid w:val="002462F2"/>
    <w:rsid w:val="002470D5"/>
    <w:rsid w:val="0025544D"/>
    <w:rsid w:val="00263982"/>
    <w:rsid w:val="002656F0"/>
    <w:rsid w:val="002704F4"/>
    <w:rsid w:val="002741A0"/>
    <w:rsid w:val="00285881"/>
    <w:rsid w:val="0028616C"/>
    <w:rsid w:val="00287FC6"/>
    <w:rsid w:val="00294041"/>
    <w:rsid w:val="002A161B"/>
    <w:rsid w:val="002A284D"/>
    <w:rsid w:val="002A30B9"/>
    <w:rsid w:val="002A3515"/>
    <w:rsid w:val="002A56F6"/>
    <w:rsid w:val="002A722E"/>
    <w:rsid w:val="002B0F33"/>
    <w:rsid w:val="002B39A5"/>
    <w:rsid w:val="002B6CFA"/>
    <w:rsid w:val="002B792B"/>
    <w:rsid w:val="002C2725"/>
    <w:rsid w:val="002C4B20"/>
    <w:rsid w:val="002C6EF7"/>
    <w:rsid w:val="002D561D"/>
    <w:rsid w:val="002E2029"/>
    <w:rsid w:val="002E27A2"/>
    <w:rsid w:val="002F10CD"/>
    <w:rsid w:val="002F63B4"/>
    <w:rsid w:val="002F6F36"/>
    <w:rsid w:val="00301AB1"/>
    <w:rsid w:val="00302EA0"/>
    <w:rsid w:val="00303DEE"/>
    <w:rsid w:val="003079D7"/>
    <w:rsid w:val="00314815"/>
    <w:rsid w:val="00317486"/>
    <w:rsid w:val="00317B39"/>
    <w:rsid w:val="00317E58"/>
    <w:rsid w:val="00327FBA"/>
    <w:rsid w:val="003417A5"/>
    <w:rsid w:val="00342FEC"/>
    <w:rsid w:val="00343497"/>
    <w:rsid w:val="00355B44"/>
    <w:rsid w:val="00374F2E"/>
    <w:rsid w:val="00384CC7"/>
    <w:rsid w:val="003907A8"/>
    <w:rsid w:val="00391CE4"/>
    <w:rsid w:val="00391FE1"/>
    <w:rsid w:val="00393E3B"/>
    <w:rsid w:val="0039506D"/>
    <w:rsid w:val="003A037E"/>
    <w:rsid w:val="003A1C1E"/>
    <w:rsid w:val="003A3F35"/>
    <w:rsid w:val="003B1A88"/>
    <w:rsid w:val="003B46DC"/>
    <w:rsid w:val="003C3F3D"/>
    <w:rsid w:val="003C524C"/>
    <w:rsid w:val="003C5A7B"/>
    <w:rsid w:val="003C5AFF"/>
    <w:rsid w:val="003C7FC5"/>
    <w:rsid w:val="003C7FCD"/>
    <w:rsid w:val="003D3CDD"/>
    <w:rsid w:val="003D3EE4"/>
    <w:rsid w:val="003E07D5"/>
    <w:rsid w:val="003E399F"/>
    <w:rsid w:val="003E4CE1"/>
    <w:rsid w:val="003F78EF"/>
    <w:rsid w:val="004078B2"/>
    <w:rsid w:val="00414268"/>
    <w:rsid w:val="00416B2C"/>
    <w:rsid w:val="00420622"/>
    <w:rsid w:val="0042228E"/>
    <w:rsid w:val="00423E00"/>
    <w:rsid w:val="004267C4"/>
    <w:rsid w:val="00427506"/>
    <w:rsid w:val="004300DC"/>
    <w:rsid w:val="00432CE5"/>
    <w:rsid w:val="00452F4D"/>
    <w:rsid w:val="00453C9E"/>
    <w:rsid w:val="00464DF6"/>
    <w:rsid w:val="00467003"/>
    <w:rsid w:val="00477363"/>
    <w:rsid w:val="00482FF9"/>
    <w:rsid w:val="0048559B"/>
    <w:rsid w:val="004B40BE"/>
    <w:rsid w:val="004B5E83"/>
    <w:rsid w:val="004B6933"/>
    <w:rsid w:val="004B7C27"/>
    <w:rsid w:val="004C6EF3"/>
    <w:rsid w:val="004C791A"/>
    <w:rsid w:val="004D05A3"/>
    <w:rsid w:val="004D3947"/>
    <w:rsid w:val="004D68C9"/>
    <w:rsid w:val="004E75C7"/>
    <w:rsid w:val="004F2DA8"/>
    <w:rsid w:val="004F4B14"/>
    <w:rsid w:val="00503B18"/>
    <w:rsid w:val="00506BB6"/>
    <w:rsid w:val="00510D4A"/>
    <w:rsid w:val="00516E67"/>
    <w:rsid w:val="00520F88"/>
    <w:rsid w:val="005224F7"/>
    <w:rsid w:val="005245AC"/>
    <w:rsid w:val="00541F13"/>
    <w:rsid w:val="00545C70"/>
    <w:rsid w:val="005472F3"/>
    <w:rsid w:val="00555090"/>
    <w:rsid w:val="00557B18"/>
    <w:rsid w:val="00571CC0"/>
    <w:rsid w:val="00585CD4"/>
    <w:rsid w:val="00591F2D"/>
    <w:rsid w:val="00592157"/>
    <w:rsid w:val="00592977"/>
    <w:rsid w:val="00593B79"/>
    <w:rsid w:val="0059795B"/>
    <w:rsid w:val="005A2B7C"/>
    <w:rsid w:val="005B20FD"/>
    <w:rsid w:val="005B598D"/>
    <w:rsid w:val="005B7256"/>
    <w:rsid w:val="005B79C2"/>
    <w:rsid w:val="005B79D4"/>
    <w:rsid w:val="005C04F6"/>
    <w:rsid w:val="005C187F"/>
    <w:rsid w:val="005C4CC5"/>
    <w:rsid w:val="005C7B9F"/>
    <w:rsid w:val="005D5EDB"/>
    <w:rsid w:val="005E2CC4"/>
    <w:rsid w:val="005E3914"/>
    <w:rsid w:val="005E7D92"/>
    <w:rsid w:val="005F47B9"/>
    <w:rsid w:val="005F54E7"/>
    <w:rsid w:val="005F616B"/>
    <w:rsid w:val="00605AFD"/>
    <w:rsid w:val="006067E1"/>
    <w:rsid w:val="00614351"/>
    <w:rsid w:val="00623CB0"/>
    <w:rsid w:val="00646311"/>
    <w:rsid w:val="00660438"/>
    <w:rsid w:val="00667996"/>
    <w:rsid w:val="00672E93"/>
    <w:rsid w:val="006732F7"/>
    <w:rsid w:val="006806F2"/>
    <w:rsid w:val="00684FB5"/>
    <w:rsid w:val="00695DB1"/>
    <w:rsid w:val="00696AB9"/>
    <w:rsid w:val="006A274B"/>
    <w:rsid w:val="006B1655"/>
    <w:rsid w:val="006B483F"/>
    <w:rsid w:val="006B6F87"/>
    <w:rsid w:val="006B7060"/>
    <w:rsid w:val="006C32EA"/>
    <w:rsid w:val="006C4C3D"/>
    <w:rsid w:val="006D0E0D"/>
    <w:rsid w:val="006D10F7"/>
    <w:rsid w:val="006D1E49"/>
    <w:rsid w:val="006E48C4"/>
    <w:rsid w:val="006E4E74"/>
    <w:rsid w:val="006E5335"/>
    <w:rsid w:val="006E5351"/>
    <w:rsid w:val="006F08A8"/>
    <w:rsid w:val="006F2EE2"/>
    <w:rsid w:val="006F31B6"/>
    <w:rsid w:val="006F5B5B"/>
    <w:rsid w:val="00702FBA"/>
    <w:rsid w:val="00703D96"/>
    <w:rsid w:val="0070764E"/>
    <w:rsid w:val="007076DF"/>
    <w:rsid w:val="00712691"/>
    <w:rsid w:val="00717114"/>
    <w:rsid w:val="00721003"/>
    <w:rsid w:val="00723E0D"/>
    <w:rsid w:val="0073266C"/>
    <w:rsid w:val="00733E2A"/>
    <w:rsid w:val="00734D9C"/>
    <w:rsid w:val="00746445"/>
    <w:rsid w:val="0074726C"/>
    <w:rsid w:val="0075123C"/>
    <w:rsid w:val="00753C25"/>
    <w:rsid w:val="00757CEB"/>
    <w:rsid w:val="007811EC"/>
    <w:rsid w:val="007844A8"/>
    <w:rsid w:val="007A2529"/>
    <w:rsid w:val="007A50EB"/>
    <w:rsid w:val="007C36E9"/>
    <w:rsid w:val="007C3921"/>
    <w:rsid w:val="007D206D"/>
    <w:rsid w:val="007D273C"/>
    <w:rsid w:val="007D3C2F"/>
    <w:rsid w:val="007D4C71"/>
    <w:rsid w:val="007D4D88"/>
    <w:rsid w:val="007E387F"/>
    <w:rsid w:val="007F2514"/>
    <w:rsid w:val="00801ACD"/>
    <w:rsid w:val="0080263B"/>
    <w:rsid w:val="00807F14"/>
    <w:rsid w:val="008131D9"/>
    <w:rsid w:val="00826EBC"/>
    <w:rsid w:val="00857253"/>
    <w:rsid w:val="00860E9F"/>
    <w:rsid w:val="00886BF5"/>
    <w:rsid w:val="008870B7"/>
    <w:rsid w:val="00890B64"/>
    <w:rsid w:val="008942FD"/>
    <w:rsid w:val="00897B41"/>
    <w:rsid w:val="008B53D8"/>
    <w:rsid w:val="008C16E7"/>
    <w:rsid w:val="008C2084"/>
    <w:rsid w:val="008D5E99"/>
    <w:rsid w:val="008D7D7F"/>
    <w:rsid w:val="008E174E"/>
    <w:rsid w:val="008E3789"/>
    <w:rsid w:val="008F017B"/>
    <w:rsid w:val="008F08E6"/>
    <w:rsid w:val="008F12FB"/>
    <w:rsid w:val="008F2C11"/>
    <w:rsid w:val="008F36A7"/>
    <w:rsid w:val="008F759F"/>
    <w:rsid w:val="00905D45"/>
    <w:rsid w:val="00910623"/>
    <w:rsid w:val="009126B6"/>
    <w:rsid w:val="00923586"/>
    <w:rsid w:val="00930190"/>
    <w:rsid w:val="00934F48"/>
    <w:rsid w:val="009365E4"/>
    <w:rsid w:val="00937143"/>
    <w:rsid w:val="009379ED"/>
    <w:rsid w:val="00946784"/>
    <w:rsid w:val="00957884"/>
    <w:rsid w:val="00957C72"/>
    <w:rsid w:val="00971355"/>
    <w:rsid w:val="00980EA0"/>
    <w:rsid w:val="00982319"/>
    <w:rsid w:val="009868C1"/>
    <w:rsid w:val="009873F9"/>
    <w:rsid w:val="00987C19"/>
    <w:rsid w:val="00993651"/>
    <w:rsid w:val="009A5A19"/>
    <w:rsid w:val="009B247B"/>
    <w:rsid w:val="009C1101"/>
    <w:rsid w:val="009C6350"/>
    <w:rsid w:val="009C7233"/>
    <w:rsid w:val="009D1661"/>
    <w:rsid w:val="009D46D3"/>
    <w:rsid w:val="009E28E3"/>
    <w:rsid w:val="009E5D82"/>
    <w:rsid w:val="009F0E88"/>
    <w:rsid w:val="009F2A8A"/>
    <w:rsid w:val="009F4ECE"/>
    <w:rsid w:val="009F5BB8"/>
    <w:rsid w:val="00A06DBD"/>
    <w:rsid w:val="00A07B1E"/>
    <w:rsid w:val="00A156B8"/>
    <w:rsid w:val="00A23F3C"/>
    <w:rsid w:val="00A36DF9"/>
    <w:rsid w:val="00A414FC"/>
    <w:rsid w:val="00A45F1F"/>
    <w:rsid w:val="00A604CE"/>
    <w:rsid w:val="00A642EE"/>
    <w:rsid w:val="00A70B2D"/>
    <w:rsid w:val="00A853FE"/>
    <w:rsid w:val="00AA2D09"/>
    <w:rsid w:val="00AA53CC"/>
    <w:rsid w:val="00AA67EA"/>
    <w:rsid w:val="00AA7ADC"/>
    <w:rsid w:val="00AB3B0C"/>
    <w:rsid w:val="00AC085E"/>
    <w:rsid w:val="00AC5487"/>
    <w:rsid w:val="00AD179E"/>
    <w:rsid w:val="00AD1CB3"/>
    <w:rsid w:val="00AD4B55"/>
    <w:rsid w:val="00AD5A71"/>
    <w:rsid w:val="00AE22F3"/>
    <w:rsid w:val="00AE6457"/>
    <w:rsid w:val="00AE672B"/>
    <w:rsid w:val="00AF35D9"/>
    <w:rsid w:val="00AF64B6"/>
    <w:rsid w:val="00B02405"/>
    <w:rsid w:val="00B110A7"/>
    <w:rsid w:val="00B114DE"/>
    <w:rsid w:val="00B1152D"/>
    <w:rsid w:val="00B172EB"/>
    <w:rsid w:val="00B23CD6"/>
    <w:rsid w:val="00B24100"/>
    <w:rsid w:val="00B33579"/>
    <w:rsid w:val="00B34BED"/>
    <w:rsid w:val="00B35AB8"/>
    <w:rsid w:val="00B41A99"/>
    <w:rsid w:val="00B44D38"/>
    <w:rsid w:val="00B565CD"/>
    <w:rsid w:val="00B644C4"/>
    <w:rsid w:val="00B72D17"/>
    <w:rsid w:val="00B73D18"/>
    <w:rsid w:val="00B75852"/>
    <w:rsid w:val="00B75967"/>
    <w:rsid w:val="00B83C94"/>
    <w:rsid w:val="00B87AE8"/>
    <w:rsid w:val="00B91C00"/>
    <w:rsid w:val="00B95B06"/>
    <w:rsid w:val="00BA1CA9"/>
    <w:rsid w:val="00BB3A15"/>
    <w:rsid w:val="00BC0129"/>
    <w:rsid w:val="00BC02A1"/>
    <w:rsid w:val="00BC2798"/>
    <w:rsid w:val="00BC2A5B"/>
    <w:rsid w:val="00BC68CB"/>
    <w:rsid w:val="00BD029B"/>
    <w:rsid w:val="00BD4C7F"/>
    <w:rsid w:val="00BD53CC"/>
    <w:rsid w:val="00BE6A03"/>
    <w:rsid w:val="00BF0CCA"/>
    <w:rsid w:val="00BF299F"/>
    <w:rsid w:val="00BF7731"/>
    <w:rsid w:val="00C10E3D"/>
    <w:rsid w:val="00C136E5"/>
    <w:rsid w:val="00C16606"/>
    <w:rsid w:val="00C232EB"/>
    <w:rsid w:val="00C26EDF"/>
    <w:rsid w:val="00C36138"/>
    <w:rsid w:val="00C45173"/>
    <w:rsid w:val="00C470CB"/>
    <w:rsid w:val="00C636AF"/>
    <w:rsid w:val="00C73F4B"/>
    <w:rsid w:val="00C74831"/>
    <w:rsid w:val="00C74D42"/>
    <w:rsid w:val="00C80368"/>
    <w:rsid w:val="00C81BCC"/>
    <w:rsid w:val="00C8557C"/>
    <w:rsid w:val="00C90F11"/>
    <w:rsid w:val="00C944B8"/>
    <w:rsid w:val="00CA15ED"/>
    <w:rsid w:val="00CA308A"/>
    <w:rsid w:val="00CA346F"/>
    <w:rsid w:val="00CA4159"/>
    <w:rsid w:val="00CA4BD6"/>
    <w:rsid w:val="00CB3420"/>
    <w:rsid w:val="00CB6F12"/>
    <w:rsid w:val="00CC145D"/>
    <w:rsid w:val="00CD0F71"/>
    <w:rsid w:val="00CD1CF6"/>
    <w:rsid w:val="00CE181B"/>
    <w:rsid w:val="00CE350F"/>
    <w:rsid w:val="00CE52B2"/>
    <w:rsid w:val="00CF76CA"/>
    <w:rsid w:val="00D0190F"/>
    <w:rsid w:val="00D047E6"/>
    <w:rsid w:val="00D10143"/>
    <w:rsid w:val="00D1278B"/>
    <w:rsid w:val="00D16E6D"/>
    <w:rsid w:val="00D236B9"/>
    <w:rsid w:val="00D25642"/>
    <w:rsid w:val="00D25A51"/>
    <w:rsid w:val="00D303B3"/>
    <w:rsid w:val="00D31034"/>
    <w:rsid w:val="00D315F7"/>
    <w:rsid w:val="00D36D64"/>
    <w:rsid w:val="00D41754"/>
    <w:rsid w:val="00D425B6"/>
    <w:rsid w:val="00D62040"/>
    <w:rsid w:val="00D7411A"/>
    <w:rsid w:val="00D74949"/>
    <w:rsid w:val="00D754B7"/>
    <w:rsid w:val="00D76971"/>
    <w:rsid w:val="00D87612"/>
    <w:rsid w:val="00D926F1"/>
    <w:rsid w:val="00D93457"/>
    <w:rsid w:val="00DB5A58"/>
    <w:rsid w:val="00DC2B0F"/>
    <w:rsid w:val="00DC4530"/>
    <w:rsid w:val="00DC7287"/>
    <w:rsid w:val="00DD6126"/>
    <w:rsid w:val="00DD76AA"/>
    <w:rsid w:val="00DD78E6"/>
    <w:rsid w:val="00E00035"/>
    <w:rsid w:val="00E00951"/>
    <w:rsid w:val="00E11D82"/>
    <w:rsid w:val="00E12134"/>
    <w:rsid w:val="00E166F6"/>
    <w:rsid w:val="00E17CA2"/>
    <w:rsid w:val="00E220A7"/>
    <w:rsid w:val="00E227F7"/>
    <w:rsid w:val="00E32FAB"/>
    <w:rsid w:val="00E35922"/>
    <w:rsid w:val="00E37854"/>
    <w:rsid w:val="00E44115"/>
    <w:rsid w:val="00E4757F"/>
    <w:rsid w:val="00E546FD"/>
    <w:rsid w:val="00E60540"/>
    <w:rsid w:val="00E73BEF"/>
    <w:rsid w:val="00E82F7B"/>
    <w:rsid w:val="00E879D6"/>
    <w:rsid w:val="00E95DCE"/>
    <w:rsid w:val="00EA625A"/>
    <w:rsid w:val="00EA79DB"/>
    <w:rsid w:val="00EB254C"/>
    <w:rsid w:val="00EB73C4"/>
    <w:rsid w:val="00EC05BC"/>
    <w:rsid w:val="00ED3693"/>
    <w:rsid w:val="00ED4E67"/>
    <w:rsid w:val="00EF130D"/>
    <w:rsid w:val="00EF41E5"/>
    <w:rsid w:val="00F008A9"/>
    <w:rsid w:val="00F00915"/>
    <w:rsid w:val="00F037AE"/>
    <w:rsid w:val="00F11CD2"/>
    <w:rsid w:val="00F122C9"/>
    <w:rsid w:val="00F12EC3"/>
    <w:rsid w:val="00F2405A"/>
    <w:rsid w:val="00F34F9E"/>
    <w:rsid w:val="00F36911"/>
    <w:rsid w:val="00F44C47"/>
    <w:rsid w:val="00F546F1"/>
    <w:rsid w:val="00F67BB2"/>
    <w:rsid w:val="00F70CF5"/>
    <w:rsid w:val="00F711CD"/>
    <w:rsid w:val="00F72F6D"/>
    <w:rsid w:val="00F73422"/>
    <w:rsid w:val="00F81CA2"/>
    <w:rsid w:val="00F83FEB"/>
    <w:rsid w:val="00F9220E"/>
    <w:rsid w:val="00F96800"/>
    <w:rsid w:val="00FC68F5"/>
    <w:rsid w:val="00FD2089"/>
    <w:rsid w:val="00FD6D31"/>
    <w:rsid w:val="00FD7248"/>
    <w:rsid w:val="00FE1BC0"/>
    <w:rsid w:val="00FE23C5"/>
    <w:rsid w:val="00FE5378"/>
    <w:rsid w:val="00FE7201"/>
    <w:rsid w:val="00FF2C93"/>
    <w:rsid w:val="00FF3DDF"/>
    <w:rsid w:val="017E646F"/>
    <w:rsid w:val="017F131A"/>
    <w:rsid w:val="01F62F61"/>
    <w:rsid w:val="020D1B40"/>
    <w:rsid w:val="0262292C"/>
    <w:rsid w:val="031216F4"/>
    <w:rsid w:val="03DC1950"/>
    <w:rsid w:val="058A0C8C"/>
    <w:rsid w:val="06B807E5"/>
    <w:rsid w:val="06C0230E"/>
    <w:rsid w:val="07436CC8"/>
    <w:rsid w:val="07500ECA"/>
    <w:rsid w:val="075B5620"/>
    <w:rsid w:val="0765136D"/>
    <w:rsid w:val="082A2CAB"/>
    <w:rsid w:val="09261240"/>
    <w:rsid w:val="0A3B3C06"/>
    <w:rsid w:val="0A5B73C1"/>
    <w:rsid w:val="0B76782E"/>
    <w:rsid w:val="0BC26807"/>
    <w:rsid w:val="0BD70C00"/>
    <w:rsid w:val="0C372F95"/>
    <w:rsid w:val="0C573148"/>
    <w:rsid w:val="0C9F24FC"/>
    <w:rsid w:val="0D1B2494"/>
    <w:rsid w:val="0D5311FB"/>
    <w:rsid w:val="0DA735DE"/>
    <w:rsid w:val="0DEF6259"/>
    <w:rsid w:val="0E34710E"/>
    <w:rsid w:val="0E7F2D47"/>
    <w:rsid w:val="0EE24B6D"/>
    <w:rsid w:val="0F503CB0"/>
    <w:rsid w:val="0F7C2FFA"/>
    <w:rsid w:val="0F8B251A"/>
    <w:rsid w:val="107F11AB"/>
    <w:rsid w:val="115B08A3"/>
    <w:rsid w:val="12014E00"/>
    <w:rsid w:val="1292709E"/>
    <w:rsid w:val="136E27B9"/>
    <w:rsid w:val="139E30F3"/>
    <w:rsid w:val="14A30D26"/>
    <w:rsid w:val="14C71425"/>
    <w:rsid w:val="14D62EA9"/>
    <w:rsid w:val="15031FA0"/>
    <w:rsid w:val="155836B7"/>
    <w:rsid w:val="15671D54"/>
    <w:rsid w:val="15F74CD7"/>
    <w:rsid w:val="16734728"/>
    <w:rsid w:val="17104C69"/>
    <w:rsid w:val="172263A6"/>
    <w:rsid w:val="173B43F4"/>
    <w:rsid w:val="1780443B"/>
    <w:rsid w:val="185065D8"/>
    <w:rsid w:val="187953F6"/>
    <w:rsid w:val="1955590E"/>
    <w:rsid w:val="19B107C1"/>
    <w:rsid w:val="19C06268"/>
    <w:rsid w:val="19EB34A7"/>
    <w:rsid w:val="1AB232E4"/>
    <w:rsid w:val="1AF55965"/>
    <w:rsid w:val="1AFF4BCE"/>
    <w:rsid w:val="1B080306"/>
    <w:rsid w:val="1B122762"/>
    <w:rsid w:val="1CB810E7"/>
    <w:rsid w:val="1CEB51DF"/>
    <w:rsid w:val="1D562D94"/>
    <w:rsid w:val="1DCA159D"/>
    <w:rsid w:val="1DFD21A4"/>
    <w:rsid w:val="1E191399"/>
    <w:rsid w:val="1E1F2025"/>
    <w:rsid w:val="1EA717C5"/>
    <w:rsid w:val="1F3B03AF"/>
    <w:rsid w:val="1F4247CD"/>
    <w:rsid w:val="1F4F6B54"/>
    <w:rsid w:val="20283D7E"/>
    <w:rsid w:val="20300AA2"/>
    <w:rsid w:val="20D24439"/>
    <w:rsid w:val="210B5354"/>
    <w:rsid w:val="2180399D"/>
    <w:rsid w:val="218E0668"/>
    <w:rsid w:val="22B1460E"/>
    <w:rsid w:val="23DE6C1B"/>
    <w:rsid w:val="2408305A"/>
    <w:rsid w:val="24153FA5"/>
    <w:rsid w:val="243F5C4A"/>
    <w:rsid w:val="24AE32A3"/>
    <w:rsid w:val="251E1DF9"/>
    <w:rsid w:val="256F4958"/>
    <w:rsid w:val="25D00C6E"/>
    <w:rsid w:val="265A6364"/>
    <w:rsid w:val="271073A1"/>
    <w:rsid w:val="274A164B"/>
    <w:rsid w:val="28373807"/>
    <w:rsid w:val="28D77982"/>
    <w:rsid w:val="29600D19"/>
    <w:rsid w:val="29B568E5"/>
    <w:rsid w:val="2A4C4C2F"/>
    <w:rsid w:val="2B0A6FB1"/>
    <w:rsid w:val="2B34402E"/>
    <w:rsid w:val="2B3743F3"/>
    <w:rsid w:val="2B953390"/>
    <w:rsid w:val="2BE821A6"/>
    <w:rsid w:val="2C7768C8"/>
    <w:rsid w:val="2C816F5F"/>
    <w:rsid w:val="2D7A2CAD"/>
    <w:rsid w:val="2D8A6187"/>
    <w:rsid w:val="2E3C2BC5"/>
    <w:rsid w:val="2EFE6E2D"/>
    <w:rsid w:val="2F073596"/>
    <w:rsid w:val="2F5767F9"/>
    <w:rsid w:val="2F5F25A9"/>
    <w:rsid w:val="3049421C"/>
    <w:rsid w:val="30E402A4"/>
    <w:rsid w:val="31F97F95"/>
    <w:rsid w:val="32A02A2A"/>
    <w:rsid w:val="33604C09"/>
    <w:rsid w:val="339F3395"/>
    <w:rsid w:val="33D7401E"/>
    <w:rsid w:val="348A654E"/>
    <w:rsid w:val="34F325FF"/>
    <w:rsid w:val="351331F9"/>
    <w:rsid w:val="358E07DF"/>
    <w:rsid w:val="35902B04"/>
    <w:rsid w:val="35E6370C"/>
    <w:rsid w:val="371A7AC9"/>
    <w:rsid w:val="372457B9"/>
    <w:rsid w:val="375021F0"/>
    <w:rsid w:val="3776358C"/>
    <w:rsid w:val="378A52BA"/>
    <w:rsid w:val="379E5B9F"/>
    <w:rsid w:val="38350824"/>
    <w:rsid w:val="39577019"/>
    <w:rsid w:val="39904B26"/>
    <w:rsid w:val="39C12F31"/>
    <w:rsid w:val="3A3419D7"/>
    <w:rsid w:val="3AA03581"/>
    <w:rsid w:val="3B9C597E"/>
    <w:rsid w:val="3BAB4B7E"/>
    <w:rsid w:val="3BE904C2"/>
    <w:rsid w:val="3C8841DA"/>
    <w:rsid w:val="3CBD0327"/>
    <w:rsid w:val="3CF40715"/>
    <w:rsid w:val="3D006466"/>
    <w:rsid w:val="3D631484"/>
    <w:rsid w:val="3DE92640"/>
    <w:rsid w:val="3E6524DA"/>
    <w:rsid w:val="3EFD3E3E"/>
    <w:rsid w:val="3F406E97"/>
    <w:rsid w:val="3F415B5C"/>
    <w:rsid w:val="40163267"/>
    <w:rsid w:val="41EA10F8"/>
    <w:rsid w:val="43CD0B19"/>
    <w:rsid w:val="44B95392"/>
    <w:rsid w:val="461B2DDC"/>
    <w:rsid w:val="46646A2F"/>
    <w:rsid w:val="467E27F6"/>
    <w:rsid w:val="46D324F5"/>
    <w:rsid w:val="48425B85"/>
    <w:rsid w:val="488F7DCC"/>
    <w:rsid w:val="48DC4EB8"/>
    <w:rsid w:val="4908205C"/>
    <w:rsid w:val="49372950"/>
    <w:rsid w:val="493D6429"/>
    <w:rsid w:val="49A25248"/>
    <w:rsid w:val="4A3D21FA"/>
    <w:rsid w:val="4B520ABD"/>
    <w:rsid w:val="4B7345D4"/>
    <w:rsid w:val="4BA268F1"/>
    <w:rsid w:val="4BEB208F"/>
    <w:rsid w:val="4BFD04EB"/>
    <w:rsid w:val="4C0E6E99"/>
    <w:rsid w:val="4C365A00"/>
    <w:rsid w:val="4C8B1B78"/>
    <w:rsid w:val="4CAF4354"/>
    <w:rsid w:val="4DFE39F4"/>
    <w:rsid w:val="4E7F7B46"/>
    <w:rsid w:val="4EA80C06"/>
    <w:rsid w:val="4F702CB0"/>
    <w:rsid w:val="5070381D"/>
    <w:rsid w:val="50ED26A5"/>
    <w:rsid w:val="52191B53"/>
    <w:rsid w:val="521E15C3"/>
    <w:rsid w:val="52202F54"/>
    <w:rsid w:val="52BF44C6"/>
    <w:rsid w:val="5332213E"/>
    <w:rsid w:val="53390CD8"/>
    <w:rsid w:val="538D3B33"/>
    <w:rsid w:val="53C322D3"/>
    <w:rsid w:val="53CA283A"/>
    <w:rsid w:val="54802FC9"/>
    <w:rsid w:val="54F546F3"/>
    <w:rsid w:val="55661D64"/>
    <w:rsid w:val="5609335F"/>
    <w:rsid w:val="567D3F6D"/>
    <w:rsid w:val="56910AF1"/>
    <w:rsid w:val="56A63A81"/>
    <w:rsid w:val="56C864EF"/>
    <w:rsid w:val="572976C7"/>
    <w:rsid w:val="57323DAF"/>
    <w:rsid w:val="573C182B"/>
    <w:rsid w:val="5747345F"/>
    <w:rsid w:val="574C623A"/>
    <w:rsid w:val="578D7A9E"/>
    <w:rsid w:val="57BA235F"/>
    <w:rsid w:val="585E4A19"/>
    <w:rsid w:val="58BB2C5D"/>
    <w:rsid w:val="59611234"/>
    <w:rsid w:val="5A3A33DD"/>
    <w:rsid w:val="5ADB606D"/>
    <w:rsid w:val="5B6A6B6B"/>
    <w:rsid w:val="5BAE76AA"/>
    <w:rsid w:val="5BB73D3C"/>
    <w:rsid w:val="5C1E7571"/>
    <w:rsid w:val="5C393468"/>
    <w:rsid w:val="5C4424A9"/>
    <w:rsid w:val="5CDA189C"/>
    <w:rsid w:val="5D576C2F"/>
    <w:rsid w:val="5D8935E8"/>
    <w:rsid w:val="5F0D17A2"/>
    <w:rsid w:val="5FAA064A"/>
    <w:rsid w:val="60085F60"/>
    <w:rsid w:val="601206E2"/>
    <w:rsid w:val="60486DEF"/>
    <w:rsid w:val="608761E2"/>
    <w:rsid w:val="61561780"/>
    <w:rsid w:val="623C143F"/>
    <w:rsid w:val="626617DF"/>
    <w:rsid w:val="629923ED"/>
    <w:rsid w:val="62A22234"/>
    <w:rsid w:val="62BC1B83"/>
    <w:rsid w:val="62C7416E"/>
    <w:rsid w:val="62D93906"/>
    <w:rsid w:val="63AB22D7"/>
    <w:rsid w:val="63DE70A0"/>
    <w:rsid w:val="644F4425"/>
    <w:rsid w:val="6550070E"/>
    <w:rsid w:val="65841341"/>
    <w:rsid w:val="65FA69A9"/>
    <w:rsid w:val="66240220"/>
    <w:rsid w:val="666C4CDD"/>
    <w:rsid w:val="66A23F66"/>
    <w:rsid w:val="66F9126F"/>
    <w:rsid w:val="671D0A2D"/>
    <w:rsid w:val="67673873"/>
    <w:rsid w:val="67E22141"/>
    <w:rsid w:val="68006E35"/>
    <w:rsid w:val="688A1DD4"/>
    <w:rsid w:val="68980FE1"/>
    <w:rsid w:val="6939564A"/>
    <w:rsid w:val="6A096807"/>
    <w:rsid w:val="6A1011E7"/>
    <w:rsid w:val="6A6305AE"/>
    <w:rsid w:val="6ADA492F"/>
    <w:rsid w:val="6B9F10FE"/>
    <w:rsid w:val="6C1D017D"/>
    <w:rsid w:val="6C5E79D2"/>
    <w:rsid w:val="6C907761"/>
    <w:rsid w:val="6CC514BF"/>
    <w:rsid w:val="6E2C4988"/>
    <w:rsid w:val="6E8606A6"/>
    <w:rsid w:val="6F255735"/>
    <w:rsid w:val="6FDC2381"/>
    <w:rsid w:val="70221C74"/>
    <w:rsid w:val="70B05E63"/>
    <w:rsid w:val="71117E75"/>
    <w:rsid w:val="71816E6E"/>
    <w:rsid w:val="72B30A24"/>
    <w:rsid w:val="72E908AE"/>
    <w:rsid w:val="731D21A3"/>
    <w:rsid w:val="7356799C"/>
    <w:rsid w:val="74330E46"/>
    <w:rsid w:val="74423302"/>
    <w:rsid w:val="749329A8"/>
    <w:rsid w:val="75197A63"/>
    <w:rsid w:val="758570D7"/>
    <w:rsid w:val="75EC18DA"/>
    <w:rsid w:val="763A03F0"/>
    <w:rsid w:val="765D0E8E"/>
    <w:rsid w:val="77453871"/>
    <w:rsid w:val="78615304"/>
    <w:rsid w:val="789A304E"/>
    <w:rsid w:val="791A3E30"/>
    <w:rsid w:val="799040F2"/>
    <w:rsid w:val="79E2420B"/>
    <w:rsid w:val="7A95264B"/>
    <w:rsid w:val="7C070929"/>
    <w:rsid w:val="7C3D1191"/>
    <w:rsid w:val="7C6418B3"/>
    <w:rsid w:val="7C7A6EEE"/>
    <w:rsid w:val="7C7C270C"/>
    <w:rsid w:val="7CE41D31"/>
    <w:rsid w:val="7CFB1883"/>
    <w:rsid w:val="7DE8507A"/>
    <w:rsid w:val="7E1125B0"/>
    <w:rsid w:val="7E4D5B58"/>
    <w:rsid w:val="7F127358"/>
    <w:rsid w:val="7F5D5251"/>
    <w:rsid w:val="7F903F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3FCA49"/>
  <w15:docId w15:val="{315F30B0-CA7D-42DD-9C36-2C6B24850C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uiPriority="99" w:qFormat="1"/>
    <w:lsdException w:name="footer" w:uiPriority="99" w:qFormat="1"/>
    <w:lsdException w:name="caption" w:qFormat="1"/>
    <w:lsdException w:name="footnote reference" w:semiHidden="1" w:uiPriority="99" w:unhideWhenUsed="1" w:qFormat="1"/>
    <w:lsdException w:name="annotation reference" w:qFormat="1"/>
    <w:lsdException w:name="line number" w:qFormat="1"/>
    <w:lsdException w:name="Title" w:qFormat="1"/>
    <w:lsdException w:name="Default Paragraph Font" w:semiHidden="1" w:uiPriority="1" w:unhideWhenUsed="1" w:qFormat="1"/>
    <w:lsdException w:name="Subtitle" w:qFormat="1"/>
    <w:lsdException w:name="Hyperlink" w:uiPriority="99"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unhideWhenUsed="1"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autoRedefine/>
    <w:qFormat/>
    <w:pPr>
      <w:widowControl w:val="0"/>
      <w:jc w:val="both"/>
    </w:pPr>
    <w:rPr>
      <w:rFonts w:asciiTheme="minorHAnsi" w:eastAsiaTheme="minorEastAsia" w:hAnsiTheme="minorHAnsi" w:cstheme="minorBidi"/>
      <w:kern w:val="2"/>
      <w:sz w:val="21"/>
      <w:szCs w:val="24"/>
    </w:rPr>
  </w:style>
  <w:style w:type="paragraph" w:styleId="1">
    <w:name w:val="heading 1"/>
    <w:basedOn w:val="a"/>
    <w:next w:val="a"/>
    <w:link w:val="10"/>
    <w:autoRedefine/>
    <w:uiPriority w:val="9"/>
    <w:qFormat/>
    <w:pPr>
      <w:keepNext/>
      <w:keepLines/>
      <w:spacing w:before="340" w:after="330" w:line="578" w:lineRule="auto"/>
      <w:outlineLvl w:val="0"/>
    </w:pPr>
    <w:rPr>
      <w:b/>
      <w:bCs/>
      <w:kern w:val="44"/>
      <w:sz w:val="44"/>
      <w:szCs w:val="44"/>
    </w:rPr>
  </w:style>
  <w:style w:type="paragraph" w:styleId="2">
    <w:name w:val="heading 2"/>
    <w:basedOn w:val="a"/>
    <w:next w:val="a"/>
    <w:autoRedefine/>
    <w:uiPriority w:val="9"/>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autoRedefine/>
    <w:qFormat/>
    <w:pPr>
      <w:autoSpaceDE w:val="0"/>
      <w:autoSpaceDN w:val="0"/>
      <w:spacing w:afterLines="50" w:after="50"/>
    </w:pPr>
    <w:rPr>
      <w:rFonts w:eastAsia="Times New Roman" w:cs="Times New Roman"/>
      <w:szCs w:val="20"/>
      <w:lang w:eastAsia="en-US"/>
    </w:rPr>
  </w:style>
  <w:style w:type="paragraph" w:styleId="a4">
    <w:name w:val="annotation text"/>
    <w:basedOn w:val="a"/>
    <w:link w:val="a5"/>
    <w:autoRedefine/>
    <w:qFormat/>
    <w:pPr>
      <w:jc w:val="left"/>
    </w:pPr>
  </w:style>
  <w:style w:type="paragraph" w:styleId="a6">
    <w:name w:val="footer"/>
    <w:basedOn w:val="a"/>
    <w:link w:val="a7"/>
    <w:autoRedefine/>
    <w:uiPriority w:val="99"/>
    <w:qFormat/>
    <w:pPr>
      <w:tabs>
        <w:tab w:val="center" w:pos="4153"/>
        <w:tab w:val="right" w:pos="8306"/>
      </w:tabs>
      <w:snapToGrid w:val="0"/>
      <w:jc w:val="left"/>
    </w:pPr>
    <w:rPr>
      <w:sz w:val="18"/>
    </w:rPr>
  </w:style>
  <w:style w:type="paragraph" w:styleId="a8">
    <w:name w:val="header"/>
    <w:basedOn w:val="a"/>
    <w:link w:val="a9"/>
    <w:autoRedefine/>
    <w:uiPriority w:val="99"/>
    <w:qFormat/>
    <w:pPr>
      <w:pBdr>
        <w:bottom w:val="single" w:sz="6" w:space="1" w:color="auto"/>
      </w:pBdr>
      <w:tabs>
        <w:tab w:val="center" w:pos="4153"/>
        <w:tab w:val="right" w:pos="8306"/>
      </w:tabs>
      <w:snapToGrid w:val="0"/>
      <w:jc w:val="center"/>
    </w:pPr>
    <w:rPr>
      <w:sz w:val="18"/>
      <w:szCs w:val="18"/>
    </w:rPr>
  </w:style>
  <w:style w:type="paragraph" w:styleId="aa">
    <w:name w:val="Normal (Web)"/>
    <w:basedOn w:val="a"/>
    <w:autoRedefine/>
    <w:uiPriority w:val="99"/>
    <w:unhideWhenUsed/>
    <w:qFormat/>
    <w:pPr>
      <w:widowControl/>
      <w:spacing w:before="100" w:beforeAutospacing="1" w:after="100" w:afterAutospacing="1"/>
      <w:jc w:val="left"/>
    </w:pPr>
    <w:rPr>
      <w:rFonts w:ascii="Gulim" w:eastAsia="Gulim" w:hAnsi="Gulim" w:cs="Gulim"/>
      <w:kern w:val="0"/>
      <w:sz w:val="24"/>
    </w:rPr>
  </w:style>
  <w:style w:type="paragraph" w:styleId="ab">
    <w:name w:val="annotation subject"/>
    <w:basedOn w:val="a4"/>
    <w:next w:val="a4"/>
    <w:link w:val="ac"/>
    <w:autoRedefine/>
    <w:qFormat/>
    <w:rPr>
      <w:b/>
      <w:bCs/>
    </w:rPr>
  </w:style>
  <w:style w:type="table" w:styleId="ad">
    <w:name w:val="Table Grid"/>
    <w:basedOn w:val="a1"/>
    <w:autoRedefine/>
    <w:uiPriority w:val="59"/>
    <w:qFormat/>
    <w:rPr>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line number"/>
    <w:basedOn w:val="a0"/>
    <w:autoRedefine/>
    <w:qFormat/>
    <w:rPr>
      <w:rFonts w:ascii="Times New Roman" w:eastAsia="Times New Roman" w:hAnsi="Times New Roman"/>
      <w:color w:val="auto"/>
      <w:sz w:val="20"/>
    </w:rPr>
  </w:style>
  <w:style w:type="character" w:styleId="af">
    <w:name w:val="Hyperlink"/>
    <w:basedOn w:val="a0"/>
    <w:autoRedefine/>
    <w:uiPriority w:val="99"/>
    <w:unhideWhenUsed/>
    <w:qFormat/>
    <w:rPr>
      <w:color w:val="0000FF"/>
      <w:u w:val="single"/>
    </w:rPr>
  </w:style>
  <w:style w:type="character" w:styleId="af0">
    <w:name w:val="annotation reference"/>
    <w:basedOn w:val="a0"/>
    <w:autoRedefine/>
    <w:qFormat/>
    <w:rPr>
      <w:sz w:val="21"/>
      <w:szCs w:val="21"/>
    </w:rPr>
  </w:style>
  <w:style w:type="character" w:styleId="af1">
    <w:name w:val="footnote reference"/>
    <w:basedOn w:val="a0"/>
    <w:autoRedefine/>
    <w:uiPriority w:val="99"/>
    <w:semiHidden/>
    <w:unhideWhenUsed/>
    <w:qFormat/>
    <w:rPr>
      <w:vertAlign w:val="superscript"/>
    </w:rPr>
  </w:style>
  <w:style w:type="character" w:customStyle="1" w:styleId="a9">
    <w:name w:val="页眉 字符"/>
    <w:basedOn w:val="a0"/>
    <w:link w:val="a8"/>
    <w:autoRedefine/>
    <w:uiPriority w:val="99"/>
    <w:qFormat/>
    <w:rPr>
      <w:kern w:val="2"/>
      <w:sz w:val="18"/>
      <w:szCs w:val="18"/>
    </w:rPr>
  </w:style>
  <w:style w:type="character" w:customStyle="1" w:styleId="a5">
    <w:name w:val="批注文字 字符"/>
    <w:basedOn w:val="a0"/>
    <w:link w:val="a4"/>
    <w:autoRedefine/>
    <w:qFormat/>
    <w:rPr>
      <w:kern w:val="2"/>
      <w:sz w:val="21"/>
      <w:szCs w:val="24"/>
    </w:rPr>
  </w:style>
  <w:style w:type="character" w:customStyle="1" w:styleId="ac">
    <w:name w:val="批注主题 字符"/>
    <w:basedOn w:val="a5"/>
    <w:link w:val="ab"/>
    <w:autoRedefine/>
    <w:qFormat/>
    <w:rPr>
      <w:b/>
      <w:bCs/>
      <w:kern w:val="2"/>
      <w:sz w:val="21"/>
      <w:szCs w:val="24"/>
    </w:rPr>
  </w:style>
  <w:style w:type="paragraph" w:customStyle="1" w:styleId="11">
    <w:name w:val="修订1"/>
    <w:autoRedefine/>
    <w:hidden/>
    <w:uiPriority w:val="99"/>
    <w:semiHidden/>
    <w:qFormat/>
    <w:rPr>
      <w:rFonts w:asciiTheme="minorHAnsi" w:eastAsiaTheme="minorEastAsia" w:hAnsiTheme="minorHAnsi" w:cstheme="minorBidi"/>
      <w:kern w:val="2"/>
      <w:sz w:val="21"/>
      <w:szCs w:val="24"/>
    </w:rPr>
  </w:style>
  <w:style w:type="table" w:customStyle="1" w:styleId="12">
    <w:name w:val="网格型1"/>
    <w:basedOn w:val="a1"/>
    <w:autoRedefine/>
    <w:uiPriority w:val="99"/>
    <w:qFormat/>
    <w:pPr>
      <w:widowControl w:val="0"/>
      <w:jc w:val="both"/>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0">
    <w:name w:val="修订2"/>
    <w:autoRedefine/>
    <w:hidden/>
    <w:uiPriority w:val="99"/>
    <w:semiHidden/>
    <w:qFormat/>
    <w:rPr>
      <w:rFonts w:asciiTheme="minorHAnsi" w:eastAsiaTheme="minorEastAsia" w:hAnsiTheme="minorHAnsi" w:cstheme="minorBidi"/>
      <w:kern w:val="2"/>
      <w:sz w:val="21"/>
      <w:szCs w:val="24"/>
    </w:rPr>
  </w:style>
  <w:style w:type="paragraph" w:customStyle="1" w:styleId="3">
    <w:name w:val="修订3"/>
    <w:autoRedefine/>
    <w:hidden/>
    <w:uiPriority w:val="99"/>
    <w:semiHidden/>
    <w:qFormat/>
    <w:rPr>
      <w:rFonts w:asciiTheme="minorHAnsi" w:eastAsiaTheme="minorEastAsia" w:hAnsiTheme="minorHAnsi" w:cstheme="minorBidi"/>
      <w:kern w:val="2"/>
      <w:sz w:val="21"/>
      <w:szCs w:val="24"/>
    </w:rPr>
  </w:style>
  <w:style w:type="paragraph" w:styleId="af2">
    <w:name w:val="List Paragraph"/>
    <w:basedOn w:val="a"/>
    <w:autoRedefine/>
    <w:uiPriority w:val="99"/>
    <w:qFormat/>
    <w:pPr>
      <w:ind w:firstLineChars="200" w:firstLine="420"/>
    </w:pPr>
  </w:style>
  <w:style w:type="table" w:customStyle="1" w:styleId="21">
    <w:name w:val="网格型2"/>
    <w:autoRedefine/>
    <w:uiPriority w:val="59"/>
    <w:qFormat/>
    <w:rPr>
      <w:rFonts w:ascii="等线" w:eastAsia="等线" w:hAnsi="等线"/>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10">
    <w:name w:val="标题 1 字符"/>
    <w:basedOn w:val="a0"/>
    <w:link w:val="1"/>
    <w:autoRedefine/>
    <w:uiPriority w:val="9"/>
    <w:qFormat/>
    <w:rPr>
      <w:rFonts w:asciiTheme="minorHAnsi" w:eastAsiaTheme="minorEastAsia" w:hAnsiTheme="minorHAnsi" w:cstheme="minorBidi"/>
      <w:b/>
      <w:bCs/>
      <w:kern w:val="44"/>
      <w:sz w:val="44"/>
      <w:szCs w:val="44"/>
    </w:rPr>
  </w:style>
  <w:style w:type="table" w:customStyle="1" w:styleId="110">
    <w:name w:val="网格型11"/>
    <w:basedOn w:val="a1"/>
    <w:autoRedefine/>
    <w:uiPriority w:val="99"/>
    <w:qFormat/>
    <w:pPr>
      <w:widowControl w:val="0"/>
      <w:jc w:val="both"/>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无间隔1"/>
    <w:next w:val="af3"/>
    <w:autoRedefine/>
    <w:uiPriority w:val="1"/>
    <w:qFormat/>
    <w:pPr>
      <w:jc w:val="center"/>
    </w:pPr>
    <w:rPr>
      <w:rFonts w:eastAsia="等线"/>
      <w:sz w:val="24"/>
      <w:szCs w:val="22"/>
    </w:rPr>
  </w:style>
  <w:style w:type="paragraph" w:styleId="af3">
    <w:name w:val="No Spacing"/>
    <w:autoRedefine/>
    <w:uiPriority w:val="1"/>
    <w:qFormat/>
    <w:pPr>
      <w:widowControl w:val="0"/>
      <w:jc w:val="both"/>
    </w:pPr>
    <w:rPr>
      <w:rFonts w:asciiTheme="minorHAnsi" w:eastAsiaTheme="minorEastAsia" w:hAnsiTheme="minorHAnsi" w:cstheme="minorBidi"/>
      <w:kern w:val="2"/>
      <w:sz w:val="21"/>
      <w:szCs w:val="24"/>
    </w:rPr>
  </w:style>
  <w:style w:type="table" w:customStyle="1" w:styleId="TableGrid1">
    <w:name w:val="Table Grid1"/>
    <w:basedOn w:val="a1"/>
    <w:autoRedefine/>
    <w:uiPriority w:val="59"/>
    <w:qFormat/>
    <w:rPr>
      <w:rFonts w:ascii="Arial" w:eastAsia="Times New Roman" w:hAnsi="Arial"/>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a0"/>
    <w:autoRedefine/>
    <w:qFormat/>
    <w:rPr>
      <w:rFonts w:ascii="Times-Roman" w:hAnsi="Times-Roman" w:hint="default"/>
      <w:color w:val="000000"/>
      <w:sz w:val="20"/>
      <w:szCs w:val="20"/>
    </w:rPr>
  </w:style>
  <w:style w:type="character" w:customStyle="1" w:styleId="a7">
    <w:name w:val="页脚 字符"/>
    <w:basedOn w:val="a0"/>
    <w:link w:val="a6"/>
    <w:autoRedefine/>
    <w:uiPriority w:val="99"/>
    <w:qFormat/>
    <w:rPr>
      <w:rFonts w:asciiTheme="minorHAnsi" w:eastAsiaTheme="minorEastAsia" w:hAnsiTheme="minorHAnsi" w:cstheme="minorBidi"/>
      <w:kern w:val="2"/>
      <w:sz w:val="1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javascript:;" TargetMode="Externa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6.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E7908FFA-227D-4C45-90EC-78A9BF05356B}">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16</Pages>
  <Words>2881</Words>
  <Characters>16425</Characters>
  <Application>Microsoft Office Word</Application>
  <DocSecurity>0</DocSecurity>
  <Lines>136</Lines>
  <Paragraphs>38</Paragraphs>
  <ScaleCrop>false</ScaleCrop>
  <Company/>
  <LinksUpToDate>false</LinksUpToDate>
  <CharactersWithSpaces>19268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ZY</dc:creator>
  <dc:description>NE.Bib</dc:description>
  <cp:lastModifiedBy>zuo yolanda</cp:lastModifiedBy>
  <cp:revision>347</cp:revision>
  <cp:lastPrinted>2023-02-10T13:37:00Z</cp:lastPrinted>
  <dcterms:created xsi:type="dcterms:W3CDTF">2022-01-21T05:08:00Z</dcterms:created>
  <dcterms:modified xsi:type="dcterms:W3CDTF">2024-05-23T10:08:00Z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3AB4573EBC184952A4D748CEF97B0FCA_13</vt:lpwstr>
  </property>
</Properties>
</file>