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DB51D0">
      <w:pPr>
        <w:rPr>
          <w:rFonts w:hint="default" w:ascii="Times New Roman" w:hAnsi="Times New Roman"/>
          <w:b/>
          <w:bCs/>
          <w:sz w:val="20"/>
          <w:szCs w:val="20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Table S2</w:t>
      </w:r>
      <w:bookmarkStart w:id="0" w:name="_GoBack"/>
      <w:bookmarkEnd w:id="0"/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 xml:space="preserve">. Best overall response </w:t>
      </w:r>
    </w:p>
    <w:tbl>
      <w:tblPr>
        <w:tblStyle w:val="3"/>
        <w:tblW w:w="83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5"/>
        <w:gridCol w:w="1605"/>
        <w:gridCol w:w="1762"/>
        <w:gridCol w:w="2175"/>
      </w:tblGrid>
      <w:tr w14:paraId="1D387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825" w:type="dxa"/>
            <w:tcBorders>
              <w:top w:val="single" w:color="auto" w:sz="8" w:space="0"/>
              <w:left w:val="nil"/>
              <w:bottom w:val="single" w:color="000000" w:sz="8" w:space="0"/>
              <w:right w:val="nil"/>
            </w:tcBorders>
          </w:tcPr>
          <w:p w14:paraId="07F5D23B">
            <w:pPr>
              <w:jc w:val="left"/>
              <w:rPr>
                <w:rFonts w:ascii="Times New Roman" w:hAnsi="Times New Roman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</w:rPr>
              <w:t>Response</w:t>
            </w:r>
          </w:p>
        </w:tc>
        <w:tc>
          <w:tcPr>
            <w:tcW w:w="1605" w:type="dxa"/>
            <w:tcBorders>
              <w:top w:val="single" w:color="auto" w:sz="8" w:space="0"/>
              <w:left w:val="nil"/>
              <w:bottom w:val="single" w:color="000000" w:sz="8" w:space="0"/>
              <w:right w:val="nil"/>
            </w:tcBorders>
          </w:tcPr>
          <w:p w14:paraId="58858C76">
            <w:pPr>
              <w:jc w:val="center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All</w:t>
            </w:r>
          </w:p>
          <w:p w14:paraId="70CBF681">
            <w:pPr>
              <w:jc w:val="center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N=124</w:t>
            </w: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)</w:t>
            </w:r>
          </w:p>
        </w:tc>
        <w:tc>
          <w:tcPr>
            <w:tcW w:w="1762" w:type="dxa"/>
            <w:tcBorders>
              <w:top w:val="single" w:color="auto" w:sz="8" w:space="0"/>
              <w:left w:val="nil"/>
              <w:bottom w:val="single" w:color="000000" w:sz="8" w:space="0"/>
              <w:right w:val="nil"/>
            </w:tcBorders>
            <w:vAlign w:val="center"/>
          </w:tcPr>
          <w:p w14:paraId="0BC30D93">
            <w:pPr>
              <w:jc w:val="center"/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Favorable subset</w:t>
            </w:r>
          </w:p>
          <w:p w14:paraId="3200B81B">
            <w:pPr>
              <w:jc w:val="center"/>
              <w:rPr>
                <w:rFonts w:hint="default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(N=41)</w:t>
            </w:r>
          </w:p>
        </w:tc>
        <w:tc>
          <w:tcPr>
            <w:tcW w:w="2175" w:type="dxa"/>
            <w:tcBorders>
              <w:top w:val="single" w:color="auto" w:sz="8" w:space="0"/>
              <w:left w:val="nil"/>
              <w:bottom w:val="single" w:color="000000" w:sz="8" w:space="0"/>
              <w:right w:val="nil"/>
            </w:tcBorders>
            <w:vAlign w:val="center"/>
          </w:tcPr>
          <w:p w14:paraId="7A2B1C8C">
            <w:pPr>
              <w:jc w:val="center"/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Unfavorable subset</w:t>
            </w:r>
          </w:p>
          <w:p w14:paraId="28725199">
            <w:pPr>
              <w:jc w:val="center"/>
              <w:rPr>
                <w:rFonts w:hint="default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(N=83)</w:t>
            </w:r>
          </w:p>
        </w:tc>
      </w:tr>
      <w:tr w14:paraId="2EA3F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825" w:type="dxa"/>
            <w:tcBorders>
              <w:top w:val="single" w:color="000000" w:sz="8" w:space="0"/>
              <w:left w:val="nil"/>
              <w:bottom w:val="nil"/>
              <w:right w:val="nil"/>
            </w:tcBorders>
          </w:tcPr>
          <w:p w14:paraId="3976841C">
            <w:pPr>
              <w:ind w:firstLine="0" w:firstLineChars="0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Objective response rate, </w:t>
            </w: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N</w:t>
            </w: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(%)</w:t>
            </w:r>
          </w:p>
        </w:tc>
        <w:tc>
          <w:tcPr>
            <w:tcW w:w="1605" w:type="dxa"/>
            <w:tcBorders>
              <w:top w:val="single" w:color="000000" w:sz="8" w:space="0"/>
              <w:left w:val="nil"/>
              <w:bottom w:val="nil"/>
              <w:right w:val="nil"/>
            </w:tcBorders>
          </w:tcPr>
          <w:p w14:paraId="03C0F9EF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69(55.65)</w:t>
            </w:r>
          </w:p>
        </w:tc>
        <w:tc>
          <w:tcPr>
            <w:tcW w:w="1762" w:type="dxa"/>
            <w:tcBorders>
              <w:top w:val="single" w:color="000000" w:sz="8" w:space="0"/>
              <w:left w:val="nil"/>
              <w:bottom w:val="nil"/>
              <w:right w:val="nil"/>
            </w:tcBorders>
            <w:vAlign w:val="center"/>
          </w:tcPr>
          <w:p w14:paraId="71E46E1B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33(80.49)</w:t>
            </w:r>
          </w:p>
        </w:tc>
        <w:tc>
          <w:tcPr>
            <w:tcW w:w="2175" w:type="dxa"/>
            <w:tcBorders>
              <w:top w:val="single" w:color="000000" w:sz="8" w:space="0"/>
              <w:left w:val="nil"/>
              <w:bottom w:val="nil"/>
              <w:right w:val="nil"/>
            </w:tcBorders>
            <w:vAlign w:val="center"/>
          </w:tcPr>
          <w:p w14:paraId="64313553">
            <w:pPr>
              <w:ind w:firstLine="0" w:firstLineChars="0"/>
              <w:jc w:val="both"/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36(43.37)</w:t>
            </w:r>
          </w:p>
        </w:tc>
      </w:tr>
      <w:tr w14:paraId="2B939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</w:tcPr>
          <w:p w14:paraId="7CC3E38F">
            <w:pPr>
              <w:ind w:firstLine="0" w:firstLineChars="0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Best overall response, </w:t>
            </w: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N</w:t>
            </w: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(%)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14:paraId="389A1933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AC371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ACD9E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2A50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14:paraId="6F360A38">
            <w:pPr>
              <w:ind w:firstLine="210" w:firstLineChars="100"/>
              <w:rPr>
                <w:rFonts w:hint="default" w:ascii="Times New Roman" w:hAnsi="Times New Roman" w:eastAsiaTheme="minorEastAsia" w:cstheme="minorBidi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1"/>
                <w:szCs w:val="21"/>
                <w:vertAlign w:val="baseline"/>
              </w:rPr>
              <w:t>Complete response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09F0B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19(15.32)</w:t>
            </w: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A4337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15(36.59)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F7436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4(4.82)</w:t>
            </w:r>
          </w:p>
        </w:tc>
      </w:tr>
      <w:tr w14:paraId="706EB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14:paraId="68FF1E6B">
            <w:pPr>
              <w:ind w:firstLine="210" w:firstLineChars="100"/>
              <w:rPr>
                <w:rFonts w:hint="default" w:ascii="Times New Roman" w:hAnsi="Times New Roman" w:eastAsiaTheme="minorEastAsia" w:cstheme="minorBidi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Partial response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DB0BB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50(40.32)</w:t>
            </w: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901C9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18(43.90)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56E2A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32(38.55)</w:t>
            </w:r>
          </w:p>
        </w:tc>
      </w:tr>
      <w:tr w14:paraId="12D4A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14:paraId="708CA87C">
            <w:pPr>
              <w:ind w:firstLine="210" w:firstLineChars="100"/>
              <w:rPr>
                <w:rFonts w:hint="default" w:ascii="Times New Roman" w:hAnsi="Times New Roman" w:eastAsiaTheme="minorEastAsia" w:cstheme="minorBidi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1"/>
                <w:szCs w:val="21"/>
                <w:vertAlign w:val="baseline"/>
              </w:rPr>
              <w:t>Stable disease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3DC9A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33(26.61)</w:t>
            </w: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DF88E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5(12.20)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0C66D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28(33.73)</w:t>
            </w:r>
          </w:p>
        </w:tc>
      </w:tr>
      <w:tr w14:paraId="17497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14:paraId="3419C0DD">
            <w:pPr>
              <w:ind w:firstLine="210" w:firstLineChars="100"/>
              <w:rPr>
                <w:rFonts w:hint="default" w:ascii="Times New Roman" w:hAnsi="Times New Roman" w:eastAsiaTheme="minorEastAsia" w:cstheme="minorBidi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Progressive disease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28E48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15(12.10)</w:t>
            </w: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5526C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2(4.88)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B074F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13(15.66)</w:t>
            </w:r>
          </w:p>
        </w:tc>
      </w:tr>
      <w:tr w14:paraId="1031B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14:paraId="60DEE905">
            <w:pPr>
              <w:ind w:firstLine="210" w:firstLineChars="100"/>
              <w:rPr>
                <w:rFonts w:hint="eastAsia" w:ascii="Times New Roman" w:hAnsi="Times New Roman" w:eastAsiaTheme="minorEastAsia" w:cstheme="minorBidi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1"/>
                <w:szCs w:val="21"/>
                <w:vertAlign w:val="baseline"/>
              </w:rPr>
              <w:t>Nonevaluable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E187C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7(5.65)</w:t>
            </w: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30ECA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1(2.44)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44550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6(7.23)</w:t>
            </w:r>
          </w:p>
        </w:tc>
      </w:tr>
      <w:tr w14:paraId="70F54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2825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top"/>
          </w:tcPr>
          <w:p w14:paraId="51E871B8">
            <w:pPr>
              <w:rPr>
                <w:rFonts w:ascii="Times New Roman" w:hAnsi="Times New Roman" w:eastAsiaTheme="minorEastAsia" w:cstheme="minorBidi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1"/>
                <w:szCs w:val="21"/>
                <w:vertAlign w:val="baseline"/>
              </w:rPr>
              <w:t xml:space="preserve">Disease control rate, </w:t>
            </w:r>
            <w:r>
              <w:rPr>
                <w:rFonts w:hint="eastAsia" w:ascii="Times New Roman" w:hAnsi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N</w:t>
            </w:r>
            <w:r>
              <w:rPr>
                <w:rFonts w:hint="default" w:ascii="Times New Roman" w:hAnsi="Times New Roman"/>
                <w:b w:val="0"/>
                <w:bCs w:val="0"/>
                <w:sz w:val="21"/>
                <w:szCs w:val="21"/>
                <w:vertAlign w:val="baseline"/>
              </w:rPr>
              <w:t xml:space="preserve"> (%)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69C4AEAA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102(82.26)</w:t>
            </w:r>
          </w:p>
        </w:tc>
        <w:tc>
          <w:tcPr>
            <w:tcW w:w="1762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5BC9E014">
            <w:pPr>
              <w:ind w:firstLine="0" w:firstLineChars="0"/>
              <w:jc w:val="both"/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38(92.68)</w:t>
            </w:r>
          </w:p>
        </w:tc>
        <w:tc>
          <w:tcPr>
            <w:tcW w:w="2175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2A5B2D4D">
            <w:pPr>
              <w:ind w:firstLine="0" w:firstLineChars="0"/>
              <w:jc w:val="both"/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64(77.11)</w:t>
            </w:r>
          </w:p>
        </w:tc>
      </w:tr>
    </w:tbl>
    <w:p w14:paraId="605A936D"/>
    <w:p w14:paraId="52E88C41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RiY2Y3YjhkYTU2MjE5MGU5YmI2OTM2MWQ5NGJmMmQifQ=="/>
  </w:docVars>
  <w:rsids>
    <w:rsidRoot w:val="02521954"/>
    <w:rsid w:val="02521954"/>
    <w:rsid w:val="068E19BA"/>
    <w:rsid w:val="0AB8634C"/>
    <w:rsid w:val="0C7D1CC6"/>
    <w:rsid w:val="0E55705C"/>
    <w:rsid w:val="104A67C5"/>
    <w:rsid w:val="20090683"/>
    <w:rsid w:val="25A76203"/>
    <w:rsid w:val="3400389B"/>
    <w:rsid w:val="413D4376"/>
    <w:rsid w:val="444F636A"/>
    <w:rsid w:val="4D3F4F80"/>
    <w:rsid w:val="4D8311E5"/>
    <w:rsid w:val="4FFD106F"/>
    <w:rsid w:val="5E704E2D"/>
    <w:rsid w:val="5F5B4C46"/>
    <w:rsid w:val="621E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415</Characters>
  <Lines>0</Lines>
  <Paragraphs>0</Paragraphs>
  <TotalTime>3</TotalTime>
  <ScaleCrop>false</ScaleCrop>
  <LinksUpToDate>false</LinksUpToDate>
  <CharactersWithSpaces>439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2022-11-21T08:17:00Z</dcterms:created>
  <dc:creator>啊清</dc:creator>
  <cp:lastModifiedBy>Riqing Huang</cp:lastModifiedBy>
  <dcterms:modified xsi:type="dcterms:W3CDTF">2024-11-03T10:49:14Z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EE55A6B608F74A3B83AA701C833D14F9</vt:lpwstr>
  </property>
</Properties>
</file>