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44678" w14:textId="77777777" w:rsidR="00A06DF3" w:rsidRDefault="00A06DF3" w:rsidP="00A06DF3">
      <w:pPr>
        <w:pStyle w:val="1"/>
        <w:rPr>
          <w:rFonts w:eastAsia="宋体"/>
        </w:rPr>
      </w:pPr>
      <w:r>
        <w:rPr>
          <w:rFonts w:eastAsia="宋体" w:hint="eastAsia"/>
        </w:rPr>
        <w:t>Supporting information</w:t>
      </w:r>
    </w:p>
    <w:p w14:paraId="3130424F" w14:textId="66C5CD0F" w:rsidR="00A06DF3" w:rsidRDefault="00A06DF3" w:rsidP="00A06DF3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>
        <w:rPr>
          <w:noProof/>
          <w:lang w:val="en-US" w:eastAsia="zh-CN"/>
        </w:rPr>
        <w:drawing>
          <wp:inline distT="0" distB="0" distL="0" distR="0" wp14:anchorId="028D3FFC" wp14:editId="5F8AB16F">
            <wp:extent cx="5274310" cy="4952365"/>
            <wp:effectExtent l="0" t="0" r="0" b="0"/>
            <wp:docPr id="2438862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CACF0" w14:textId="77777777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Supplemental Figure1</w:t>
      </w:r>
    </w:p>
    <w:p w14:paraId="1B333DAB" w14:textId="77777777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Higher </w:t>
      </w:r>
      <w:r>
        <w:rPr>
          <w:rFonts w:ascii="Times New Roman" w:hAnsi="Times New Roman" w:hint="eastAsia"/>
          <w:i/>
          <w:sz w:val="18"/>
          <w:szCs w:val="18"/>
        </w:rPr>
        <w:t>CSNK1E</w:t>
      </w:r>
      <w:r>
        <w:rPr>
          <w:rFonts w:ascii="Times New Roman" w:hAnsi="Times New Roman" w:hint="eastAsia"/>
          <w:sz w:val="18"/>
          <w:szCs w:val="18"/>
        </w:rPr>
        <w:t xml:space="preserve"> expression levels are associated with poorer overall survival across various clinical and demographic variables. The specific hazard ratios (HR) and P-values are as follows: T1&amp;T2: HR = 1.78, </w:t>
      </w:r>
      <w:r>
        <w:rPr>
          <w:rFonts w:ascii="Times New Roman" w:hAnsi="Times New Roman" w:hint="eastAsia"/>
          <w:i/>
          <w:iCs/>
          <w:sz w:val="18"/>
          <w:szCs w:val="18"/>
        </w:rPr>
        <w:t xml:space="preserve">p </w:t>
      </w:r>
      <w:r>
        <w:rPr>
          <w:rFonts w:ascii="Times New Roman" w:hAnsi="Times New Roman" w:hint="eastAsia"/>
          <w:sz w:val="18"/>
          <w:szCs w:val="18"/>
        </w:rPr>
        <w:t xml:space="preserve">= 0.016 (Supplemental Figure1A); T3&amp;T4: HR = 1.93,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= 0.019 (Supplemental Figure1B); M0: HR = 1.71,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= 0.016 (Supplemental Figure1C); N0: HR = 1.82,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 = 0.008 (Supplemental Figure1D); Stage I&amp;II: HR = 1.74,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= 0.027 (Supplemental Figure1E); Male: HR = 1.73,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 = 0.017 (Supplemental Figure1F); </w:t>
      </w:r>
      <w:r>
        <w:rPr>
          <w:rFonts w:ascii="Times New Roman" w:hAnsi="Times New Roman" w:hint="eastAsia"/>
          <w:sz w:val="18"/>
          <w:szCs w:val="18"/>
        </w:rPr>
        <w:t>≤</w:t>
      </w:r>
      <w:r>
        <w:rPr>
          <w:rFonts w:ascii="Times New Roman" w:hAnsi="Times New Roman" w:hint="eastAsia"/>
          <w:sz w:val="18"/>
          <w:szCs w:val="18"/>
        </w:rPr>
        <w:t xml:space="preserve"> 60: HR = 2.00,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 = 0.013 (Supplemental Figure1G); &gt; 60: HR = 1.72, </w:t>
      </w:r>
      <w:r>
        <w:rPr>
          <w:rFonts w:ascii="Times New Roman" w:hAnsi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>= 0.023 (Supplemental Figure1H).</w:t>
      </w:r>
    </w:p>
    <w:p w14:paraId="17D191BB" w14:textId="25D26B11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7FDC46EA" wp14:editId="15A99554">
            <wp:extent cx="5274310" cy="3211195"/>
            <wp:effectExtent l="0" t="0" r="0" b="0"/>
            <wp:docPr id="19290823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066C8" w14:textId="77777777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Supplemental Figure2</w:t>
      </w:r>
    </w:p>
    <w:p w14:paraId="1F03FB2C" w14:textId="77777777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Stacked Bar Chart of Relative Percentages of Immune </w:t>
      </w:r>
      <w:proofErr w:type="gramStart"/>
      <w:r>
        <w:rPr>
          <w:rFonts w:ascii="Times New Roman" w:hAnsi="Times New Roman" w:hint="eastAsia"/>
          <w:sz w:val="18"/>
          <w:szCs w:val="18"/>
        </w:rPr>
        <w:t>Cells(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Supplemental Figure2A). Lollipop Chart of Significant Correlation Between </w:t>
      </w:r>
      <w:r>
        <w:rPr>
          <w:rFonts w:ascii="Times New Roman" w:hAnsi="Times New Roman" w:hint="eastAsia"/>
          <w:i/>
          <w:sz w:val="18"/>
          <w:szCs w:val="18"/>
        </w:rPr>
        <w:t>CSNK1E</w:t>
      </w:r>
      <w:r>
        <w:rPr>
          <w:rFonts w:ascii="Times New Roman" w:hAnsi="Times New Roman" w:hint="eastAsia"/>
          <w:sz w:val="18"/>
          <w:szCs w:val="18"/>
        </w:rPr>
        <w:t xml:space="preserve"> and Immune </w:t>
      </w:r>
      <w:proofErr w:type="gramStart"/>
      <w:r>
        <w:rPr>
          <w:rFonts w:ascii="Times New Roman" w:hAnsi="Times New Roman" w:hint="eastAsia"/>
          <w:sz w:val="18"/>
          <w:szCs w:val="18"/>
        </w:rPr>
        <w:t>Cells(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Supplemental Figure2B). Violin Plot of Immune Cell Proportions in Control and Treatment </w:t>
      </w:r>
      <w:proofErr w:type="gramStart"/>
      <w:r>
        <w:rPr>
          <w:rFonts w:ascii="Times New Roman" w:hAnsi="Times New Roman" w:hint="eastAsia"/>
          <w:sz w:val="18"/>
          <w:szCs w:val="18"/>
        </w:rPr>
        <w:t>Groups(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Supplemental Figure2C). Correlation Heatmap of Immune </w:t>
      </w:r>
      <w:proofErr w:type="gramStart"/>
      <w:r>
        <w:rPr>
          <w:rFonts w:ascii="Times New Roman" w:hAnsi="Times New Roman" w:hint="eastAsia"/>
          <w:sz w:val="18"/>
          <w:szCs w:val="18"/>
        </w:rPr>
        <w:t>Cells(</w:t>
      </w:r>
      <w:proofErr w:type="gramEnd"/>
      <w:r>
        <w:rPr>
          <w:rFonts w:ascii="Times New Roman" w:hAnsi="Times New Roman" w:hint="eastAsia"/>
          <w:sz w:val="18"/>
          <w:szCs w:val="18"/>
        </w:rPr>
        <w:t>Supplemental Figure2D).</w:t>
      </w:r>
    </w:p>
    <w:p w14:paraId="76C78BC4" w14:textId="39E9591F" w:rsidR="00A06DF3" w:rsidRDefault="00A06DF3" w:rsidP="00A06DF3">
      <w:r>
        <w:rPr>
          <w:noProof/>
          <w:lang w:val="en-US" w:eastAsia="zh-CN"/>
        </w:rPr>
        <w:lastRenderedPageBreak/>
        <w:drawing>
          <wp:inline distT="0" distB="0" distL="0" distR="0" wp14:anchorId="40996AD5" wp14:editId="1678F8B1">
            <wp:extent cx="5274310" cy="6130290"/>
            <wp:effectExtent l="0" t="0" r="0" b="0"/>
            <wp:docPr id="2069850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D4AA" w14:textId="77777777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Supplemental Figure3</w:t>
      </w:r>
    </w:p>
    <w:p w14:paraId="0B705E58" w14:textId="77777777" w:rsidR="00A06DF3" w:rsidRDefault="00A06DF3" w:rsidP="00A06DF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The radar chart illustrates the expression levels of </w:t>
      </w:r>
      <w:r>
        <w:rPr>
          <w:rFonts w:ascii="Times New Roman" w:hAnsi="Times New Roman" w:hint="eastAsia"/>
          <w:i/>
          <w:sz w:val="18"/>
          <w:szCs w:val="18"/>
        </w:rPr>
        <w:t>CSNK1E</w:t>
      </w:r>
      <w:r>
        <w:rPr>
          <w:rFonts w:ascii="Times New Roman" w:hAnsi="Times New Roman" w:hint="eastAsia"/>
          <w:sz w:val="18"/>
          <w:szCs w:val="18"/>
        </w:rPr>
        <w:t xml:space="preserve"> in normal </w:t>
      </w:r>
      <w:proofErr w:type="spellStart"/>
      <w:r>
        <w:rPr>
          <w:rFonts w:ascii="Times New Roman" w:hAnsi="Times New Roman" w:hint="eastAsia"/>
          <w:sz w:val="18"/>
          <w:szCs w:val="18"/>
        </w:rPr>
        <w:t>tissuesand</w:t>
      </w:r>
      <w:proofErr w:type="spellEnd"/>
      <w:r>
        <w:rPr>
          <w:rFonts w:ascii="Times New Roman" w:hAnsi="Times New Roman" w:hint="eastAsia"/>
          <w:sz w:val="18"/>
          <w:szCs w:val="18"/>
        </w:rPr>
        <w:t xml:space="preserve"> tumor </w:t>
      </w:r>
      <w:proofErr w:type="gramStart"/>
      <w:r>
        <w:rPr>
          <w:rFonts w:ascii="Times New Roman" w:hAnsi="Times New Roman" w:hint="eastAsia"/>
          <w:sz w:val="18"/>
          <w:szCs w:val="18"/>
        </w:rPr>
        <w:t>tissues(</w:t>
      </w:r>
      <w:proofErr w:type="gramEnd"/>
      <w:r>
        <w:rPr>
          <w:rFonts w:ascii="Times New Roman" w:hAnsi="Times New Roman" w:hint="eastAsia"/>
          <w:sz w:val="18"/>
          <w:szCs w:val="18"/>
        </w:rPr>
        <w:t>Supplemental Figure3A). Survival analysis of CSNKE1(Supplemental Figure3B- Supplemental Figure3O).</w:t>
      </w:r>
    </w:p>
    <w:p w14:paraId="7D87BFD4" w14:textId="77777777" w:rsidR="00B440B8" w:rsidRDefault="00B440B8">
      <w:pPr>
        <w:rPr>
          <w:rFonts w:hint="eastAsia"/>
        </w:rPr>
      </w:pPr>
    </w:p>
    <w:sectPr w:rsidR="00B44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682C" w14:textId="77777777" w:rsidR="00A11574" w:rsidRDefault="00A11574" w:rsidP="00A06DF3">
      <w:pPr>
        <w:rPr>
          <w:rFonts w:hint="eastAsia"/>
        </w:rPr>
      </w:pPr>
      <w:r>
        <w:separator/>
      </w:r>
    </w:p>
  </w:endnote>
  <w:endnote w:type="continuationSeparator" w:id="0">
    <w:p w14:paraId="77F784F0" w14:textId="77777777" w:rsidR="00A11574" w:rsidRDefault="00A11574" w:rsidP="00A06D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97A1" w14:textId="77777777" w:rsidR="00A11574" w:rsidRDefault="00A11574" w:rsidP="00A06DF3">
      <w:pPr>
        <w:rPr>
          <w:rFonts w:hint="eastAsia"/>
        </w:rPr>
      </w:pPr>
      <w:r>
        <w:separator/>
      </w:r>
    </w:p>
  </w:footnote>
  <w:footnote w:type="continuationSeparator" w:id="0">
    <w:p w14:paraId="0B611AFB" w14:textId="77777777" w:rsidR="00A11574" w:rsidRDefault="00A11574" w:rsidP="00A06D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506"/>
    <w:rsid w:val="00A06DF3"/>
    <w:rsid w:val="00A11574"/>
    <w:rsid w:val="00AA48B4"/>
    <w:rsid w:val="00B440B8"/>
    <w:rsid w:val="00D6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39D088E-2F65-45C8-88A7-10F90177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DF3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D665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5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5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5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50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50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50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50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665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6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6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65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650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665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65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65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65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65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6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5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65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65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665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65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65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6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65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65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06D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06DF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06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06D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永乐 李</dc:creator>
  <cp:keywords/>
  <dc:description/>
  <cp:lastModifiedBy>永乐 李</cp:lastModifiedBy>
  <cp:revision>2</cp:revision>
  <dcterms:created xsi:type="dcterms:W3CDTF">2025-09-25T07:11:00Z</dcterms:created>
  <dcterms:modified xsi:type="dcterms:W3CDTF">2025-09-25T07:11:00Z</dcterms:modified>
</cp:coreProperties>
</file>