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E704" w14:textId="100FE374" w:rsidR="00CF28CA" w:rsidRPr="00CF28CA" w:rsidRDefault="00CF28CA" w:rsidP="00CF28CA">
      <w:pPr>
        <w:jc w:val="center"/>
        <w:rPr>
          <w:rFonts w:asciiTheme="majorBidi" w:hAnsiTheme="majorBidi" w:cstheme="majorBidi"/>
          <w:sz w:val="28"/>
          <w:szCs w:val="28"/>
        </w:rPr>
      </w:pPr>
      <w:r w:rsidRPr="00CF28CA">
        <w:rPr>
          <w:rFonts w:asciiTheme="majorBidi" w:hAnsiTheme="majorBidi" w:cstheme="majorBidi"/>
          <w:sz w:val="28"/>
          <w:szCs w:val="28"/>
        </w:rPr>
        <w:t>Evaluation Scale: Consistency with the MDT Decision (GIST Therapy, including Palliative Context, (Re)Imaging, and Clinical Trials)</w:t>
      </w:r>
    </w:p>
    <w:p w14:paraId="4394932E" w14:textId="5953B5EE" w:rsidR="00CF28CA" w:rsidRPr="00CF28CA" w:rsidRDefault="00CF28CA" w:rsidP="00CF28CA">
      <w:pPr>
        <w:rPr>
          <w:rFonts w:asciiTheme="majorBidi" w:hAnsiTheme="majorBidi" w:cstheme="majorBidi"/>
          <w:b/>
          <w:bCs/>
        </w:rPr>
      </w:pPr>
      <w:r w:rsidRPr="00CF28CA">
        <w:rPr>
          <w:rFonts w:asciiTheme="majorBidi" w:hAnsiTheme="majorBidi" w:cstheme="majorBidi"/>
          <w:b/>
          <w:bCs/>
        </w:rPr>
        <w:t xml:space="preserve">Definition: </w:t>
      </w:r>
    </w:p>
    <w:p w14:paraId="4D685B9E" w14:textId="47A4F229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This scale assesses how closely the LLM-generated recommendation aligns with the historical MDT decision for GIST therapy. Key factors include:</w:t>
      </w:r>
    </w:p>
    <w:p w14:paraId="378F9A96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Treatment intent (curative vs. palliative)  </w:t>
      </w:r>
    </w:p>
    <w:p w14:paraId="1B2A2C55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Selection of TKI line and dosing (e.g., Imatinib, Sunitinib, Regorafenib, </w:t>
      </w:r>
      <w:proofErr w:type="spellStart"/>
      <w:r w:rsidRPr="00CF28CA">
        <w:rPr>
          <w:rFonts w:asciiTheme="majorBidi" w:hAnsiTheme="majorBidi" w:cstheme="majorBidi"/>
        </w:rPr>
        <w:t>Ripretinib</w:t>
      </w:r>
      <w:proofErr w:type="spellEnd"/>
      <w:r w:rsidRPr="00CF28CA">
        <w:rPr>
          <w:rFonts w:asciiTheme="majorBidi" w:hAnsiTheme="majorBidi" w:cstheme="majorBidi"/>
        </w:rPr>
        <w:t xml:space="preserve">, </w:t>
      </w:r>
      <w:proofErr w:type="spellStart"/>
      <w:r w:rsidRPr="00CF28CA">
        <w:rPr>
          <w:rFonts w:asciiTheme="majorBidi" w:hAnsiTheme="majorBidi" w:cstheme="majorBidi"/>
        </w:rPr>
        <w:t>Avapritinib</w:t>
      </w:r>
      <w:proofErr w:type="spellEnd"/>
      <w:r w:rsidRPr="00CF28CA">
        <w:rPr>
          <w:rFonts w:asciiTheme="majorBidi" w:hAnsiTheme="majorBidi" w:cstheme="majorBidi"/>
        </w:rPr>
        <w:t xml:space="preserve">)  </w:t>
      </w:r>
    </w:p>
    <w:p w14:paraId="3BF3896D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Timing/indication for surgery (if relevant)  </w:t>
      </w:r>
    </w:p>
    <w:p w14:paraId="08EBFE8E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(Re)Imaging/restaging (intervals, modalities)  </w:t>
      </w:r>
    </w:p>
    <w:p w14:paraId="60914CE6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Monitoring and supportive care  </w:t>
      </w:r>
    </w:p>
    <w:p w14:paraId="4140000D" w14:textId="71CC59FB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Clinical trial recommendations (e.g., referral to a relevant trial if standard options are limited or if the MDT specifically recommended trial participation)  </w:t>
      </w:r>
    </w:p>
    <w:p w14:paraId="1D2180F4" w14:textId="61A62015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Consideration of mutational/resistance profiles  </w:t>
      </w:r>
    </w:p>
    <w:p w14:paraId="049B2D93" w14:textId="21C36FD6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Only the content is evaluated; linguistic formulation (wording) is irrelevant.</w:t>
      </w:r>
    </w:p>
    <w:p w14:paraId="5030038B" w14:textId="16E4B329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Rating Scale (1–5):</w:t>
      </w:r>
    </w:p>
    <w:p w14:paraId="1C2A195F" w14:textId="3B1C1B1E" w:rsidR="00CF28CA" w:rsidRPr="00CF28CA" w:rsidRDefault="00CF28CA" w:rsidP="00CF28CA">
      <w:pPr>
        <w:rPr>
          <w:rFonts w:asciiTheme="majorBidi" w:hAnsiTheme="majorBidi" w:cstheme="majorBidi"/>
          <w:b/>
          <w:bCs/>
        </w:rPr>
      </w:pPr>
      <w:r w:rsidRPr="00CF28CA">
        <w:rPr>
          <w:rFonts w:asciiTheme="majorBidi" w:hAnsiTheme="majorBidi" w:cstheme="majorBidi"/>
          <w:b/>
          <w:bCs/>
        </w:rPr>
        <w:t>5 – Completely Consistent</w:t>
      </w:r>
    </w:p>
    <w:p w14:paraId="161C1ACB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- The LLM recommendation matches the MDT decision in all critical aspects for the specific disease stage and treatment goal (curative or palliative). This may include:  </w:t>
      </w:r>
    </w:p>
    <w:p w14:paraId="4F3CA9F3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Correct TKI line and dosing (e.g., Imatinib </w:t>
      </w:r>
      <w:proofErr w:type="gramStart"/>
      <w:r w:rsidRPr="00CF28CA">
        <w:rPr>
          <w:rFonts w:asciiTheme="majorBidi" w:hAnsiTheme="majorBidi" w:cstheme="majorBidi"/>
        </w:rPr>
        <w:t>first-line</w:t>
      </w:r>
      <w:proofErr w:type="gramEnd"/>
      <w:r w:rsidRPr="00CF28CA">
        <w:rPr>
          <w:rFonts w:asciiTheme="majorBidi" w:hAnsiTheme="majorBidi" w:cstheme="majorBidi"/>
        </w:rPr>
        <w:t xml:space="preserve"> for metastatic disease, adjuvant Imatinib post-surgery, Sunitinib second-line, etc.)  </w:t>
      </w:r>
    </w:p>
    <w:p w14:paraId="65509EB3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Accurate surgical strategy (timing, indication), consistent with the MDT plan  </w:t>
      </w:r>
    </w:p>
    <w:p w14:paraId="60E5278B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(Re)Imaging/restaging intervals align with the MDT recommendation (e.g., the same or highly similar schedule for CT/MRI)  </w:t>
      </w:r>
    </w:p>
    <w:p w14:paraId="522AFCA0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Consideration of mutational status (e.g., PDGFRA D842V)  </w:t>
      </w:r>
    </w:p>
    <w:p w14:paraId="562A6D00" w14:textId="0A8B4714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If a specific clinical trial was recommended by the MDT (due to lack of standard options or resistance concerns), the LLM acknowledges or matches that same trial referral</w:t>
      </w:r>
    </w:p>
    <w:p w14:paraId="34A481E7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- Any minor differences are clinically negligible (e.g., minor wording or slight variations in a schedule that do not change the actual management).</w:t>
      </w:r>
    </w:p>
    <w:p w14:paraId="261839C9" w14:textId="77777777" w:rsidR="00CF28CA" w:rsidRPr="00CF28CA" w:rsidRDefault="00CF28CA" w:rsidP="00CF28CA">
      <w:pPr>
        <w:rPr>
          <w:rFonts w:asciiTheme="majorBidi" w:hAnsiTheme="majorBidi" w:cstheme="majorBidi"/>
        </w:rPr>
      </w:pPr>
    </w:p>
    <w:p w14:paraId="0A6D96B6" w14:textId="6E461F87" w:rsidR="00CF28CA" w:rsidRPr="00CF28CA" w:rsidRDefault="00CF28CA" w:rsidP="00CF28CA">
      <w:pPr>
        <w:rPr>
          <w:rFonts w:asciiTheme="majorBidi" w:hAnsiTheme="majorBidi" w:cstheme="majorBidi"/>
          <w:b/>
          <w:bCs/>
        </w:rPr>
      </w:pPr>
      <w:r w:rsidRPr="00CF28CA">
        <w:rPr>
          <w:rFonts w:asciiTheme="majorBidi" w:hAnsiTheme="majorBidi" w:cstheme="majorBidi"/>
          <w:b/>
          <w:bCs/>
        </w:rPr>
        <w:lastRenderedPageBreak/>
        <w:t>4 – Mostly Consistent</w:t>
      </w:r>
    </w:p>
    <w:p w14:paraId="293B6A8F" w14:textId="5A40A873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The LLM recommendation mirrors the overall MDT strategy and intent (curative vs. palliative) but shows small discrepancies in some details</w:t>
      </w:r>
      <w:r>
        <w:rPr>
          <w:rFonts w:asciiTheme="majorBidi" w:hAnsiTheme="majorBidi" w:cstheme="majorBidi"/>
        </w:rPr>
        <w:t>, for example</w:t>
      </w:r>
      <w:r w:rsidRPr="00CF28CA">
        <w:rPr>
          <w:rFonts w:asciiTheme="majorBidi" w:hAnsiTheme="majorBidi" w:cstheme="majorBidi"/>
        </w:rPr>
        <w:t>:</w:t>
      </w:r>
    </w:p>
    <w:p w14:paraId="6773AA64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Correct TKI choice and surgical indication, but slight variation in exact dosage or treatment duration  </w:t>
      </w:r>
    </w:p>
    <w:p w14:paraId="5B5CB23E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Minor differences in (re)imaging frequency (e.g., recommending scans every 9–10 weeks instead of every 8 weeks) that are unlikely to significantly affect patient outcomes  </w:t>
      </w:r>
    </w:p>
    <w:p w14:paraId="0E2ECE4A" w14:textId="482DC818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A clinical trial might be noted, but details differ slightly from the MDT’s suggestion (e.g., same phase study but different location), without fundamentally altering the intended approach</w:t>
      </w:r>
    </w:p>
    <w:p w14:paraId="34ACB796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- The fundamental treatment approach and goal remain clearly preserved.</w:t>
      </w:r>
    </w:p>
    <w:p w14:paraId="610BD300" w14:textId="77777777" w:rsidR="00CF28CA" w:rsidRPr="00CF28CA" w:rsidRDefault="00CF28CA" w:rsidP="00CF28CA">
      <w:pPr>
        <w:rPr>
          <w:rFonts w:asciiTheme="majorBidi" w:hAnsiTheme="majorBidi" w:cstheme="majorBidi"/>
        </w:rPr>
      </w:pPr>
    </w:p>
    <w:p w14:paraId="1DAA9B37" w14:textId="2AAF7E0D" w:rsidR="00CF28CA" w:rsidRPr="00CF28CA" w:rsidRDefault="00CF28CA" w:rsidP="00CF28CA">
      <w:pPr>
        <w:rPr>
          <w:rFonts w:asciiTheme="majorBidi" w:hAnsiTheme="majorBidi" w:cstheme="majorBidi"/>
          <w:b/>
          <w:bCs/>
        </w:rPr>
      </w:pPr>
      <w:r w:rsidRPr="00CF28CA">
        <w:rPr>
          <w:rFonts w:asciiTheme="majorBidi" w:hAnsiTheme="majorBidi" w:cstheme="majorBidi"/>
          <w:b/>
          <w:bCs/>
        </w:rPr>
        <w:t xml:space="preserve">3 – Moderately Consistent  </w:t>
      </w:r>
    </w:p>
    <w:p w14:paraId="35115C41" w14:textId="4220101F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There is partial alignment with the MDT decision, but also notable deviations that may affect patient care</w:t>
      </w:r>
      <w:r>
        <w:rPr>
          <w:rFonts w:asciiTheme="majorBidi" w:hAnsiTheme="majorBidi" w:cstheme="majorBidi"/>
        </w:rPr>
        <w:t>, for example</w:t>
      </w:r>
      <w:r w:rsidRPr="00CF28CA">
        <w:rPr>
          <w:rFonts w:asciiTheme="majorBidi" w:hAnsiTheme="majorBidi" w:cstheme="majorBidi"/>
        </w:rPr>
        <w:t xml:space="preserve">:  </w:t>
      </w:r>
    </w:p>
    <w:p w14:paraId="760D0A31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The general TKI selection or line is correct, yet the dosage, therapy duration, or timing might be suboptimal or unclear  </w:t>
      </w:r>
    </w:p>
    <w:p w14:paraId="6D4CFF2C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The (re)imaging schedule deviates enough to potentially delay detection of progression or treatment response (e.g., significantly longer intervals than recommended)  </w:t>
      </w:r>
    </w:p>
    <w:p w14:paraId="3DE6211D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The approach to surgery or the overall intent (curative vs. palliative) is somewhat aligned but includes decisions that could pose risks or lead to less optimal outcomes  </w:t>
      </w:r>
    </w:p>
    <w:p w14:paraId="40911F31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- These differences are substantial enough that they might alter clinical decision-making or quality of care.</w:t>
      </w:r>
    </w:p>
    <w:p w14:paraId="1A66637C" w14:textId="77777777" w:rsidR="00CF28CA" w:rsidRPr="00CF28CA" w:rsidRDefault="00CF28CA" w:rsidP="00CF28CA">
      <w:pPr>
        <w:rPr>
          <w:rFonts w:asciiTheme="majorBidi" w:hAnsiTheme="majorBidi" w:cstheme="majorBidi"/>
        </w:rPr>
      </w:pPr>
    </w:p>
    <w:p w14:paraId="650346DD" w14:textId="52E7422A" w:rsidR="00CF28CA" w:rsidRPr="00CF28CA" w:rsidRDefault="00CF28CA" w:rsidP="00CF28CA">
      <w:pPr>
        <w:rPr>
          <w:rFonts w:asciiTheme="majorBidi" w:hAnsiTheme="majorBidi" w:cstheme="majorBidi"/>
          <w:b/>
          <w:bCs/>
        </w:rPr>
      </w:pPr>
      <w:r w:rsidRPr="00CF28CA">
        <w:rPr>
          <w:rFonts w:asciiTheme="majorBidi" w:hAnsiTheme="majorBidi" w:cstheme="majorBidi"/>
          <w:b/>
          <w:bCs/>
        </w:rPr>
        <w:t>2 – Minimally Consistent</w:t>
      </w:r>
    </w:p>
    <w:p w14:paraId="49C27CAD" w14:textId="1F703939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- The LLM recommendation retains only a few core elements from the MDT plan, with most details significantly mismatched</w:t>
      </w:r>
      <w:r>
        <w:rPr>
          <w:rFonts w:asciiTheme="majorBidi" w:hAnsiTheme="majorBidi" w:cstheme="majorBidi"/>
        </w:rPr>
        <w:t>, for example</w:t>
      </w:r>
      <w:r w:rsidRPr="00CF28CA">
        <w:rPr>
          <w:rFonts w:asciiTheme="majorBidi" w:hAnsiTheme="majorBidi" w:cstheme="majorBidi"/>
        </w:rPr>
        <w:t xml:space="preserve">:  </w:t>
      </w:r>
    </w:p>
    <w:p w14:paraId="4535E45F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The recommended TKI might be correct in name, but placed in the wrong treatment line (e.g., </w:t>
      </w:r>
      <w:proofErr w:type="gramStart"/>
      <w:r w:rsidRPr="00CF28CA">
        <w:rPr>
          <w:rFonts w:asciiTheme="majorBidi" w:hAnsiTheme="majorBidi" w:cstheme="majorBidi"/>
        </w:rPr>
        <w:t>second-line</w:t>
      </w:r>
      <w:proofErr w:type="gramEnd"/>
      <w:r w:rsidRPr="00CF28CA">
        <w:rPr>
          <w:rFonts w:asciiTheme="majorBidi" w:hAnsiTheme="majorBidi" w:cstheme="majorBidi"/>
        </w:rPr>
        <w:t xml:space="preserve"> in a first-line scenario or vice versa)  </w:t>
      </w:r>
    </w:p>
    <w:p w14:paraId="3F86DD17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Critical discrepancies in (re)imaging (e.g., recommending minimal or no imaging in a scenario where close monitoring is essential)  </w:t>
      </w:r>
    </w:p>
    <w:p w14:paraId="33DC8742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lastRenderedPageBreak/>
        <w:t xml:space="preserve">  - Important surgery-related decisions (timing, intent) are overlooked or incorrectly applied (e.g., proposing immediate surgery in an advanced, unresectable stage)  </w:t>
      </w:r>
    </w:p>
    <w:p w14:paraId="2E3DC8E4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- The overall divergence is likely to compromise patient management compared to the MDT plan.</w:t>
      </w:r>
    </w:p>
    <w:p w14:paraId="1350AB79" w14:textId="77777777" w:rsidR="00CF28CA" w:rsidRPr="00CF28CA" w:rsidRDefault="00CF28CA" w:rsidP="00CF28CA">
      <w:pPr>
        <w:rPr>
          <w:rFonts w:asciiTheme="majorBidi" w:hAnsiTheme="majorBidi" w:cstheme="majorBidi"/>
        </w:rPr>
      </w:pPr>
    </w:p>
    <w:p w14:paraId="18CEEFDD" w14:textId="24253ABF" w:rsidR="00CF28CA" w:rsidRPr="00CF28CA" w:rsidRDefault="00CF28CA" w:rsidP="00CF28CA">
      <w:pPr>
        <w:rPr>
          <w:rFonts w:asciiTheme="majorBidi" w:hAnsiTheme="majorBidi" w:cstheme="majorBidi"/>
          <w:b/>
          <w:bCs/>
        </w:rPr>
      </w:pPr>
      <w:r w:rsidRPr="00CF28CA">
        <w:rPr>
          <w:rFonts w:asciiTheme="majorBidi" w:hAnsiTheme="majorBidi" w:cstheme="majorBidi"/>
          <w:b/>
          <w:bCs/>
        </w:rPr>
        <w:t>1 – Not Consistent</w:t>
      </w:r>
    </w:p>
    <w:p w14:paraId="55D4BFE2" w14:textId="3A6F35A8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- The LLM recommendation is fundamentally at odds with the MDT decision, likely resulting in a completely different and potentially harmful treatment strategy</w:t>
      </w:r>
      <w:r>
        <w:rPr>
          <w:rFonts w:asciiTheme="majorBidi" w:hAnsiTheme="majorBidi" w:cstheme="majorBidi"/>
        </w:rPr>
        <w:t>, for example</w:t>
      </w:r>
      <w:r w:rsidRPr="00CF28CA">
        <w:rPr>
          <w:rFonts w:asciiTheme="majorBidi" w:hAnsiTheme="majorBidi" w:cstheme="majorBidi"/>
        </w:rPr>
        <w:t xml:space="preserve">:  </w:t>
      </w:r>
    </w:p>
    <w:p w14:paraId="5DD22FB2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Misalignment of intent: A curative approach is replaced by a palliative regimen (or vice versa), ignoring the actual disease stage  </w:t>
      </w:r>
    </w:p>
    <w:p w14:paraId="637C9D66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Omission of an indicated TKI in metastatic disease or the use of a blatantly inappropriate TKI line (e.g., Sunitinib </w:t>
      </w:r>
      <w:proofErr w:type="gramStart"/>
      <w:r w:rsidRPr="00CF28CA">
        <w:rPr>
          <w:rFonts w:asciiTheme="majorBidi" w:hAnsiTheme="majorBidi" w:cstheme="majorBidi"/>
        </w:rPr>
        <w:t>first-line</w:t>
      </w:r>
      <w:proofErr w:type="gramEnd"/>
      <w:r w:rsidRPr="00CF28CA">
        <w:rPr>
          <w:rFonts w:asciiTheme="majorBidi" w:hAnsiTheme="majorBidi" w:cstheme="majorBidi"/>
        </w:rPr>
        <w:t xml:space="preserve"> for no valid reason)  </w:t>
      </w:r>
    </w:p>
    <w:p w14:paraId="3EAF34D0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Neglecting crucial (re)imaging or follow-up strategies, risking failure to detect progression or evaluate treatment response  </w:t>
      </w:r>
    </w:p>
    <w:p w14:paraId="6289D279" w14:textId="77777777" w:rsidR="00CF28CA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 xml:space="preserve">  - Ignoring major mutational considerations (e.g., prescribing Imatinib in the presence of a known PDGFRA D842V mutation)  </w:t>
      </w:r>
    </w:p>
    <w:p w14:paraId="701C1D8F" w14:textId="5C1C4733" w:rsidR="00844BAC" w:rsidRPr="00CF28CA" w:rsidRDefault="00CF28CA" w:rsidP="00CF28CA">
      <w:pPr>
        <w:rPr>
          <w:rFonts w:asciiTheme="majorBidi" w:hAnsiTheme="majorBidi" w:cstheme="majorBidi"/>
        </w:rPr>
      </w:pPr>
      <w:r w:rsidRPr="00CF28CA">
        <w:rPr>
          <w:rFonts w:asciiTheme="majorBidi" w:hAnsiTheme="majorBidi" w:cstheme="majorBidi"/>
        </w:rPr>
        <w:t>- The recommendation could drastically impact patient outcomes, indicating a near-total departure from the MDT plan.</w:t>
      </w:r>
    </w:p>
    <w:sectPr w:rsidR="00844BAC" w:rsidRPr="00CF2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CA"/>
    <w:rsid w:val="0006658A"/>
    <w:rsid w:val="000A0F25"/>
    <w:rsid w:val="000A77E9"/>
    <w:rsid w:val="000B2A2B"/>
    <w:rsid w:val="000D5FB8"/>
    <w:rsid w:val="000E34AC"/>
    <w:rsid w:val="001337ED"/>
    <w:rsid w:val="00144D58"/>
    <w:rsid w:val="00146F92"/>
    <w:rsid w:val="001606CD"/>
    <w:rsid w:val="001D1286"/>
    <w:rsid w:val="00212128"/>
    <w:rsid w:val="00266427"/>
    <w:rsid w:val="002714D4"/>
    <w:rsid w:val="002776CA"/>
    <w:rsid w:val="00282DAB"/>
    <w:rsid w:val="002E0FD7"/>
    <w:rsid w:val="002E410D"/>
    <w:rsid w:val="002F3EE4"/>
    <w:rsid w:val="00324E7B"/>
    <w:rsid w:val="00387A23"/>
    <w:rsid w:val="003D49CD"/>
    <w:rsid w:val="003E77F0"/>
    <w:rsid w:val="00402217"/>
    <w:rsid w:val="00413461"/>
    <w:rsid w:val="004327F4"/>
    <w:rsid w:val="00434AB3"/>
    <w:rsid w:val="00440518"/>
    <w:rsid w:val="004440A6"/>
    <w:rsid w:val="004461CC"/>
    <w:rsid w:val="004756AE"/>
    <w:rsid w:val="0049119E"/>
    <w:rsid w:val="004934CC"/>
    <w:rsid w:val="004D0FC3"/>
    <w:rsid w:val="004D3BE5"/>
    <w:rsid w:val="005130AC"/>
    <w:rsid w:val="00517A21"/>
    <w:rsid w:val="005274B3"/>
    <w:rsid w:val="0058494C"/>
    <w:rsid w:val="005A7DD3"/>
    <w:rsid w:val="005B0AFC"/>
    <w:rsid w:val="005F03EB"/>
    <w:rsid w:val="005F61A2"/>
    <w:rsid w:val="00613F5A"/>
    <w:rsid w:val="00644C59"/>
    <w:rsid w:val="00651D55"/>
    <w:rsid w:val="006B7906"/>
    <w:rsid w:val="006D132A"/>
    <w:rsid w:val="0072214C"/>
    <w:rsid w:val="007461EE"/>
    <w:rsid w:val="007B5207"/>
    <w:rsid w:val="00805957"/>
    <w:rsid w:val="0081399F"/>
    <w:rsid w:val="008145D6"/>
    <w:rsid w:val="00844BAC"/>
    <w:rsid w:val="00851B7F"/>
    <w:rsid w:val="00854213"/>
    <w:rsid w:val="00861254"/>
    <w:rsid w:val="008853C2"/>
    <w:rsid w:val="00894E19"/>
    <w:rsid w:val="008A6CFD"/>
    <w:rsid w:val="008C671C"/>
    <w:rsid w:val="00917AD7"/>
    <w:rsid w:val="009417F9"/>
    <w:rsid w:val="009636B9"/>
    <w:rsid w:val="009A3D4B"/>
    <w:rsid w:val="009B3616"/>
    <w:rsid w:val="009C2FFE"/>
    <w:rsid w:val="00A15064"/>
    <w:rsid w:val="00A165A0"/>
    <w:rsid w:val="00A67B67"/>
    <w:rsid w:val="00A957AC"/>
    <w:rsid w:val="00AA45D5"/>
    <w:rsid w:val="00AA5B75"/>
    <w:rsid w:val="00AB3271"/>
    <w:rsid w:val="00AE4290"/>
    <w:rsid w:val="00B01369"/>
    <w:rsid w:val="00B03822"/>
    <w:rsid w:val="00B143CD"/>
    <w:rsid w:val="00B2293C"/>
    <w:rsid w:val="00B23533"/>
    <w:rsid w:val="00BA0D7B"/>
    <w:rsid w:val="00BE4B60"/>
    <w:rsid w:val="00C24741"/>
    <w:rsid w:val="00C37948"/>
    <w:rsid w:val="00CA7D8F"/>
    <w:rsid w:val="00CC08B1"/>
    <w:rsid w:val="00CC5953"/>
    <w:rsid w:val="00CF28CA"/>
    <w:rsid w:val="00D06BEA"/>
    <w:rsid w:val="00D14CDA"/>
    <w:rsid w:val="00D21E0E"/>
    <w:rsid w:val="00D2767C"/>
    <w:rsid w:val="00D62C9C"/>
    <w:rsid w:val="00DA5787"/>
    <w:rsid w:val="00DD59E6"/>
    <w:rsid w:val="00DD7EFE"/>
    <w:rsid w:val="00E73306"/>
    <w:rsid w:val="00E80C03"/>
    <w:rsid w:val="00EA4AF3"/>
    <w:rsid w:val="00ED7C17"/>
    <w:rsid w:val="00EF4591"/>
    <w:rsid w:val="00F40DB7"/>
    <w:rsid w:val="00F6006C"/>
    <w:rsid w:val="00F813B0"/>
    <w:rsid w:val="00F929C0"/>
    <w:rsid w:val="00FA3C38"/>
    <w:rsid w:val="00FA4F1B"/>
    <w:rsid w:val="00FC11CE"/>
    <w:rsid w:val="00FC2246"/>
    <w:rsid w:val="00FE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FFDB19"/>
  <w15:chartTrackingRefBased/>
  <w15:docId w15:val="{5C4BECD6-1F6D-1341-A65C-55EB1E5F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8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8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Yang</dc:creator>
  <cp:keywords/>
  <dc:description/>
  <cp:lastModifiedBy>Cui Yang</cp:lastModifiedBy>
  <cp:revision>2</cp:revision>
  <dcterms:created xsi:type="dcterms:W3CDTF">2025-03-24T13:58:00Z</dcterms:created>
  <dcterms:modified xsi:type="dcterms:W3CDTF">2025-03-24T13:58:00Z</dcterms:modified>
</cp:coreProperties>
</file>