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5232" w:rsidRPr="00005232" w:rsidRDefault="00005232" w:rsidP="00005232">
      <w:pPr>
        <w:jc w:val="both"/>
        <w:rPr>
          <w:b/>
          <w:lang w:val="en-US"/>
        </w:rPr>
      </w:pPr>
      <w:r w:rsidRPr="00005232">
        <w:rPr>
          <w:b/>
          <w:lang w:val="en-US"/>
        </w:rPr>
        <w:t>Supplementary Table S1. Comparison between ex vivo irinotecan concentrations used in the Bioverso Test and reported pediatric pharmacokinetic parameters</w:t>
      </w:r>
    </w:p>
    <w:p w:rsidR="00005232" w:rsidRDefault="00005232" w:rsidP="00005232">
      <w:pPr>
        <w:jc w:val="both"/>
        <w:rPr>
          <w:lang w:val="en-US"/>
        </w:rPr>
      </w:pPr>
    </w:p>
    <w:tbl>
      <w:tblPr>
        <w:tblStyle w:val="TabelaSimples1"/>
        <w:tblW w:w="0" w:type="auto"/>
        <w:tblLook w:val="04A0" w:firstRow="1" w:lastRow="0" w:firstColumn="1" w:lastColumn="0" w:noHBand="0" w:noVBand="1"/>
      </w:tblPr>
      <w:tblGrid>
        <w:gridCol w:w="2144"/>
        <w:gridCol w:w="1565"/>
        <w:gridCol w:w="1990"/>
        <w:gridCol w:w="2795"/>
      </w:tblGrid>
      <w:tr w:rsidR="00005232" w:rsidRPr="00005232" w:rsidTr="000052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Parameter</w:t>
            </w:r>
            <w:proofErr w:type="spellEnd"/>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Value</w:t>
            </w:r>
            <w:proofErr w:type="spellEnd"/>
          </w:p>
        </w:tc>
        <w:tc>
          <w:tcPr>
            <w:tcW w:w="0" w:type="auto"/>
            <w:hideMark/>
          </w:tcPr>
          <w:p w:rsidR="00005232" w:rsidRPr="00005232" w:rsidRDefault="00005232" w:rsidP="0000523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Context</w:t>
            </w:r>
            <w:proofErr w:type="spellEnd"/>
          </w:p>
        </w:tc>
        <w:tc>
          <w:tcPr>
            <w:tcW w:w="0" w:type="auto"/>
            <w:hideMark/>
          </w:tcPr>
          <w:p w:rsidR="00005232" w:rsidRPr="00005232" w:rsidRDefault="00005232" w:rsidP="0000523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Reference</w:t>
            </w:r>
            <w:proofErr w:type="spellEnd"/>
            <w:r w:rsidRPr="00005232">
              <w:rPr>
                <w:rFonts w:eastAsia="Times New Roman" w:cstheme="minorHAnsi"/>
                <w:lang w:eastAsia="pt-BR"/>
              </w:rPr>
              <w:t>/Notes</w:t>
            </w:r>
          </w:p>
        </w:tc>
      </w:tr>
      <w:tr w:rsidR="00005232" w:rsidRPr="00005232" w:rsidTr="00005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Ex</w:t>
            </w:r>
            <w:proofErr w:type="spellEnd"/>
            <w:r w:rsidRPr="00005232">
              <w:rPr>
                <w:rFonts w:eastAsia="Times New Roman" w:cstheme="minorHAnsi"/>
                <w:lang w:eastAsia="pt-BR"/>
              </w:rPr>
              <w:t xml:space="preserve"> vivo </w:t>
            </w:r>
            <w:proofErr w:type="spellStart"/>
            <w:r w:rsidRPr="00005232">
              <w:rPr>
                <w:rFonts w:eastAsia="Times New Roman" w:cstheme="minorHAnsi"/>
                <w:lang w:eastAsia="pt-BR"/>
              </w:rPr>
              <w:t>concentration</w:t>
            </w:r>
            <w:proofErr w:type="spellEnd"/>
            <w:r w:rsidRPr="00005232">
              <w:rPr>
                <w:rFonts w:eastAsia="Times New Roman" w:cstheme="minorHAnsi"/>
                <w:lang w:eastAsia="pt-BR"/>
              </w:rPr>
              <w:t xml:space="preserve"> (D1)</w:t>
            </w:r>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50 µM</w:t>
            </w: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Bioverso Test (</w:t>
            </w:r>
            <w:proofErr w:type="spellStart"/>
            <w:r w:rsidRPr="00005232">
              <w:rPr>
                <w:rFonts w:eastAsia="Times New Roman" w:cstheme="minorHAnsi"/>
                <w:lang w:eastAsia="pt-BR"/>
              </w:rPr>
              <w:t>microspheroids</w:t>
            </w:r>
            <w:proofErr w:type="spellEnd"/>
            <w:r w:rsidRPr="00005232">
              <w:rPr>
                <w:rFonts w:eastAsia="Times New Roman" w:cstheme="minorHAnsi"/>
                <w:lang w:eastAsia="pt-BR"/>
              </w:rPr>
              <w:t>)</w:t>
            </w: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Predefined</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platform</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concentration</w:t>
            </w:r>
            <w:proofErr w:type="spellEnd"/>
          </w:p>
        </w:tc>
      </w:tr>
      <w:tr w:rsidR="00005232" w:rsidRPr="00005232" w:rsidTr="00005232">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Ex</w:t>
            </w:r>
            <w:proofErr w:type="spellEnd"/>
            <w:r w:rsidRPr="00005232">
              <w:rPr>
                <w:rFonts w:eastAsia="Times New Roman" w:cstheme="minorHAnsi"/>
                <w:lang w:eastAsia="pt-BR"/>
              </w:rPr>
              <w:t xml:space="preserve"> vivo </w:t>
            </w:r>
            <w:proofErr w:type="spellStart"/>
            <w:r w:rsidRPr="00005232">
              <w:rPr>
                <w:rFonts w:eastAsia="Times New Roman" w:cstheme="minorHAnsi"/>
                <w:lang w:eastAsia="pt-BR"/>
              </w:rPr>
              <w:t>concentration</w:t>
            </w:r>
            <w:proofErr w:type="spellEnd"/>
            <w:r w:rsidRPr="00005232">
              <w:rPr>
                <w:rFonts w:eastAsia="Times New Roman" w:cstheme="minorHAnsi"/>
                <w:lang w:eastAsia="pt-BR"/>
              </w:rPr>
              <w:t xml:space="preserve"> (D2)</w:t>
            </w:r>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110 µM</w:t>
            </w: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Bioverso Test (</w:t>
            </w:r>
            <w:proofErr w:type="spellStart"/>
            <w:r w:rsidRPr="00005232">
              <w:rPr>
                <w:rFonts w:eastAsia="Times New Roman" w:cstheme="minorHAnsi"/>
                <w:lang w:eastAsia="pt-BR"/>
              </w:rPr>
              <w:t>microspheroids</w:t>
            </w:r>
            <w:proofErr w:type="spellEnd"/>
            <w:r w:rsidRPr="00005232">
              <w:rPr>
                <w:rFonts w:eastAsia="Times New Roman" w:cstheme="minorHAnsi"/>
                <w:lang w:eastAsia="pt-BR"/>
              </w:rPr>
              <w:t>)</w:t>
            </w: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Predefined</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platform</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concentration</w:t>
            </w:r>
            <w:proofErr w:type="spellEnd"/>
          </w:p>
        </w:tc>
      </w:tr>
      <w:tr w:rsidR="00005232" w:rsidRPr="00005232" w:rsidTr="00005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Typical</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pediatric</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irinotecan</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Cmax</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irinotecan</w:t>
            </w:r>
            <w:proofErr w:type="spellEnd"/>
            <w:r w:rsidRPr="00005232">
              <w:rPr>
                <w:rFonts w:eastAsia="Times New Roman" w:cstheme="minorHAnsi"/>
                <w:lang w:eastAsia="pt-BR"/>
              </w:rPr>
              <w:t>)</w:t>
            </w:r>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~2–8 µM</w:t>
            </w: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Plasma (</w:t>
            </w:r>
            <w:proofErr w:type="spellStart"/>
            <w:r w:rsidRPr="00005232">
              <w:rPr>
                <w:rFonts w:eastAsia="Times New Roman" w:cstheme="minorHAnsi"/>
                <w:lang w:eastAsia="pt-BR"/>
              </w:rPr>
              <w:t>after</w:t>
            </w:r>
            <w:proofErr w:type="spellEnd"/>
            <w:r w:rsidRPr="00005232">
              <w:rPr>
                <w:rFonts w:eastAsia="Times New Roman" w:cstheme="minorHAnsi"/>
                <w:lang w:eastAsia="pt-BR"/>
              </w:rPr>
              <w:t xml:space="preserve"> standard </w:t>
            </w:r>
            <w:proofErr w:type="spellStart"/>
            <w:r w:rsidRPr="00005232">
              <w:rPr>
                <w:rFonts w:eastAsia="Times New Roman" w:cstheme="minorHAnsi"/>
                <w:lang w:eastAsia="pt-BR"/>
              </w:rPr>
              <w:t>dosing</w:t>
            </w:r>
            <w:proofErr w:type="spellEnd"/>
            <w:r w:rsidRPr="00005232">
              <w:rPr>
                <w:rFonts w:eastAsia="Times New Roman" w:cstheme="minorHAnsi"/>
                <w:lang w:eastAsia="pt-BR"/>
              </w:rPr>
              <w:t>)</w:t>
            </w: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eastAsia="pt-BR"/>
              </w:rPr>
            </w:pPr>
            <w:r w:rsidRPr="00005232">
              <w:rPr>
                <w:rFonts w:eastAsia="Times New Roman" w:cstheme="minorHAnsi"/>
                <w:lang w:val="en-US" w:eastAsia="pt-BR"/>
              </w:rPr>
              <w:t>Furman et al., 1999; Vassal et al., 2007</w:t>
            </w:r>
          </w:p>
        </w:tc>
      </w:tr>
      <w:tr w:rsidR="00005232" w:rsidRPr="00005232" w:rsidTr="00005232">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Typical</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pediatric</w:t>
            </w:r>
            <w:proofErr w:type="spellEnd"/>
            <w:r w:rsidRPr="00005232">
              <w:rPr>
                <w:rFonts w:eastAsia="Times New Roman" w:cstheme="minorHAnsi"/>
                <w:lang w:eastAsia="pt-BR"/>
              </w:rPr>
              <w:t xml:space="preserve"> SN-38 </w:t>
            </w:r>
            <w:proofErr w:type="spellStart"/>
            <w:r w:rsidRPr="00005232">
              <w:rPr>
                <w:rFonts w:eastAsia="Times New Roman" w:cstheme="minorHAnsi"/>
                <w:lang w:eastAsia="pt-BR"/>
              </w:rPr>
              <w:t>Cmax</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active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metabolite</w:t>
            </w:r>
            <w:proofErr w:type="spellEnd"/>
            <w:r w:rsidRPr="00005232">
              <w:rPr>
                <w:rFonts w:eastAsia="Times New Roman" w:cstheme="minorHAnsi"/>
                <w:lang w:eastAsia="pt-BR"/>
              </w:rPr>
              <w:t>)</w:t>
            </w:r>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~0.02–0.2 µM</w:t>
            </w: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r w:rsidRPr="00005232">
              <w:rPr>
                <w:rFonts w:eastAsia="Times New Roman" w:cstheme="minorHAnsi"/>
                <w:lang w:eastAsia="pt-BR"/>
              </w:rPr>
              <w:t>Plasma</w:t>
            </w: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eastAsia="pt-BR"/>
              </w:rPr>
            </w:pPr>
            <w:r w:rsidRPr="00005232">
              <w:rPr>
                <w:rFonts w:eastAsia="Times New Roman" w:cstheme="minorHAnsi"/>
                <w:lang w:val="en-US" w:eastAsia="pt-BR"/>
              </w:rPr>
              <w:t>Furman et al., 1999; Stewart et al., 2004</w:t>
            </w:r>
          </w:p>
        </w:tc>
      </w:tr>
      <w:tr w:rsidR="00005232" w:rsidRPr="00005232" w:rsidTr="00005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005232" w:rsidRPr="00005232" w:rsidRDefault="00005232" w:rsidP="00005232">
            <w:pPr>
              <w:jc w:val="center"/>
              <w:rPr>
                <w:rFonts w:eastAsia="Times New Roman" w:cstheme="minorHAnsi"/>
                <w:lang w:eastAsia="pt-BR"/>
              </w:rPr>
            </w:pPr>
            <w:proofErr w:type="spellStart"/>
            <w:r w:rsidRPr="00005232">
              <w:rPr>
                <w:rFonts w:eastAsia="Times New Roman" w:cstheme="minorHAnsi"/>
                <w:lang w:eastAsia="pt-BR"/>
              </w:rPr>
              <w:t>Exposure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type</w:t>
            </w:r>
            <w:proofErr w:type="spellEnd"/>
            <w:r w:rsidRPr="00005232">
              <w:rPr>
                <w:rFonts w:eastAsia="Times New Roman" w:cstheme="minorHAnsi"/>
                <w:lang w:eastAsia="pt-BR"/>
              </w:rPr>
              <w:t xml:space="preserve"> (in vivo)</w:t>
            </w: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Intermittent</w:t>
            </w:r>
            <w:proofErr w:type="spellEnd"/>
            <w:r w:rsidRPr="00005232">
              <w:rPr>
                <w:rFonts w:eastAsia="Times New Roman" w:cstheme="minorHAnsi"/>
                <w:lang w:eastAsia="pt-BR"/>
              </w:rPr>
              <w:t xml:space="preserve"> (dose </w:t>
            </w:r>
            <w:proofErr w:type="spellStart"/>
            <w:r w:rsidRPr="00005232">
              <w:rPr>
                <w:rFonts w:eastAsia="Times New Roman" w:cstheme="minorHAnsi"/>
                <w:lang w:eastAsia="pt-BR"/>
              </w:rPr>
              <w:t>cycles</w:t>
            </w:r>
            <w:proofErr w:type="spellEnd"/>
            <w:r w:rsidRPr="00005232">
              <w:rPr>
                <w:rFonts w:eastAsia="Times New Roman" w:cstheme="minorHAnsi"/>
                <w:lang w:eastAsia="pt-BR"/>
              </w:rPr>
              <w:t>)</w:t>
            </w: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Systemic</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administration</w:t>
            </w:r>
            <w:proofErr w:type="spellEnd"/>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eastAsia="pt-BR"/>
              </w:rPr>
            </w:pPr>
            <w:r w:rsidRPr="00005232">
              <w:rPr>
                <w:rFonts w:eastAsia="Times New Roman" w:cstheme="minorHAnsi"/>
                <w:lang w:val="en-US" w:eastAsia="pt-BR"/>
              </w:rPr>
              <w:t>Schedule-dependent PK variability (</w:t>
            </w:r>
            <w:proofErr w:type="spellStart"/>
            <w:r w:rsidRPr="00005232">
              <w:rPr>
                <w:rFonts w:eastAsia="Times New Roman" w:cstheme="minorHAnsi"/>
                <w:lang w:val="en-US" w:eastAsia="pt-BR"/>
              </w:rPr>
              <w:t>Pappo</w:t>
            </w:r>
            <w:proofErr w:type="spellEnd"/>
            <w:r w:rsidRPr="00005232">
              <w:rPr>
                <w:rFonts w:eastAsia="Times New Roman" w:cstheme="minorHAnsi"/>
                <w:lang w:val="en-US" w:eastAsia="pt-BR"/>
              </w:rPr>
              <w:t xml:space="preserve"> et al., 2006)</w:t>
            </w:r>
          </w:p>
        </w:tc>
      </w:tr>
      <w:tr w:rsidR="00005232" w:rsidRPr="00005232" w:rsidTr="00005232">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Exposure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type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ex</w:t>
            </w:r>
            <w:proofErr w:type="spellEnd"/>
            <w:r w:rsidRPr="00005232">
              <w:rPr>
                <w:rFonts w:eastAsia="Times New Roman" w:cstheme="minorHAnsi"/>
                <w:lang w:eastAsia="pt-BR"/>
              </w:rPr>
              <w:t xml:space="preserve"> vivo)</w:t>
            </w:r>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Continuous</w:t>
            </w:r>
            <w:proofErr w:type="spellEnd"/>
            <w:r w:rsidRPr="00005232">
              <w:rPr>
                <w:rFonts w:eastAsia="Times New Roman" w:cstheme="minorHAnsi"/>
                <w:lang w:eastAsia="pt-BR"/>
              </w:rPr>
              <w:t xml:space="preserve"> (72 h)</w:t>
            </w: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Microspheroid</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culture</w:t>
            </w:r>
            <w:proofErr w:type="spellEnd"/>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Static</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exposure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conditions</w:t>
            </w:r>
            <w:proofErr w:type="spellEnd"/>
          </w:p>
        </w:tc>
      </w:tr>
      <w:tr w:rsidR="00005232" w:rsidRPr="00005232" w:rsidTr="00005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Relative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classification</w:t>
            </w:r>
            <w:proofErr w:type="spellEnd"/>
            <w:r w:rsidRPr="00005232">
              <w:rPr>
                <w:rFonts w:eastAsia="Times New Roman" w:cstheme="minorHAnsi"/>
                <w:lang w:eastAsia="pt-BR"/>
              </w:rPr>
              <w:t xml:space="preserve"> (D1)</w:t>
            </w:r>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Above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clinical</w:t>
            </w:r>
            <w:proofErr w:type="spellEnd"/>
            <w:r w:rsidRPr="00005232">
              <w:rPr>
                <w:rFonts w:eastAsia="Times New Roman" w:cstheme="minorHAnsi"/>
                <w:lang w:eastAsia="pt-BR"/>
              </w:rPr>
              <w:t xml:space="preserve"> range</w:t>
            </w:r>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Compared</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to</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irinotecan</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Cmax</w:t>
            </w:r>
            <w:proofErr w:type="spellEnd"/>
          </w:p>
        </w:tc>
        <w:tc>
          <w:tcPr>
            <w:tcW w:w="0" w:type="auto"/>
            <w:hideMark/>
          </w:tcPr>
          <w:p w:rsidR="00005232" w:rsidRPr="00005232" w:rsidRDefault="00005232" w:rsidP="0000523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Suprapharmacological</w:t>
            </w:r>
            <w:proofErr w:type="spellEnd"/>
          </w:p>
        </w:tc>
      </w:tr>
      <w:tr w:rsidR="00005232" w:rsidRPr="00005232" w:rsidTr="00005232">
        <w:tc>
          <w:tcPr>
            <w:cnfStyle w:val="001000000000" w:firstRow="0" w:lastRow="0" w:firstColumn="1" w:lastColumn="0" w:oddVBand="0" w:evenVBand="0" w:oddHBand="0" w:evenHBand="0" w:firstRowFirstColumn="0" w:firstRowLastColumn="0" w:lastRowFirstColumn="0" w:lastRowLastColumn="0"/>
            <w:tcW w:w="0" w:type="auto"/>
            <w:hideMark/>
          </w:tcPr>
          <w:p w:rsidR="00005232" w:rsidRDefault="00005232" w:rsidP="00005232">
            <w:pPr>
              <w:jc w:val="center"/>
              <w:rPr>
                <w:rFonts w:eastAsia="Times New Roman" w:cstheme="minorHAnsi"/>
                <w:b w:val="0"/>
                <w:bCs w:val="0"/>
                <w:lang w:eastAsia="pt-BR"/>
              </w:rPr>
            </w:pPr>
            <w:proofErr w:type="spellStart"/>
            <w:r w:rsidRPr="00005232">
              <w:rPr>
                <w:rFonts w:eastAsia="Times New Roman" w:cstheme="minorHAnsi"/>
                <w:lang w:eastAsia="pt-BR"/>
              </w:rPr>
              <w:t>Relative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classification</w:t>
            </w:r>
            <w:proofErr w:type="spellEnd"/>
            <w:r w:rsidRPr="00005232">
              <w:rPr>
                <w:rFonts w:eastAsia="Times New Roman" w:cstheme="minorHAnsi"/>
                <w:lang w:eastAsia="pt-BR"/>
              </w:rPr>
              <w:t xml:space="preserve"> (D2)</w:t>
            </w:r>
          </w:p>
          <w:p w:rsidR="00005232" w:rsidRPr="00005232" w:rsidRDefault="00005232" w:rsidP="00005232">
            <w:pPr>
              <w:jc w:val="center"/>
              <w:rPr>
                <w:rFonts w:eastAsia="Times New Roman" w:cstheme="minorHAnsi"/>
                <w:lang w:eastAsia="pt-BR"/>
              </w:rPr>
            </w:pP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Well</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above</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clinical</w:t>
            </w:r>
            <w:proofErr w:type="spellEnd"/>
            <w:r w:rsidRPr="00005232">
              <w:rPr>
                <w:rFonts w:eastAsia="Times New Roman" w:cstheme="minorHAnsi"/>
                <w:lang w:eastAsia="pt-BR"/>
              </w:rPr>
              <w:t xml:space="preserve"> range</w:t>
            </w:r>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Compared</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to</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irinotecan</w:t>
            </w:r>
            <w:proofErr w:type="spellEnd"/>
            <w:r w:rsidRPr="00005232">
              <w:rPr>
                <w:rFonts w:eastAsia="Times New Roman" w:cstheme="minorHAnsi"/>
                <w:lang w:eastAsia="pt-BR"/>
              </w:rPr>
              <w:t xml:space="preserve"> </w:t>
            </w:r>
            <w:proofErr w:type="spellStart"/>
            <w:r w:rsidRPr="00005232">
              <w:rPr>
                <w:rFonts w:eastAsia="Times New Roman" w:cstheme="minorHAnsi"/>
                <w:lang w:eastAsia="pt-BR"/>
              </w:rPr>
              <w:t>Cmax</w:t>
            </w:r>
            <w:proofErr w:type="spellEnd"/>
          </w:p>
        </w:tc>
        <w:tc>
          <w:tcPr>
            <w:tcW w:w="0" w:type="auto"/>
            <w:hideMark/>
          </w:tcPr>
          <w:p w:rsidR="00005232" w:rsidRPr="00005232" w:rsidRDefault="00005232" w:rsidP="0000523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pt-BR"/>
              </w:rPr>
            </w:pPr>
            <w:proofErr w:type="spellStart"/>
            <w:r w:rsidRPr="00005232">
              <w:rPr>
                <w:rFonts w:eastAsia="Times New Roman" w:cstheme="minorHAnsi"/>
                <w:lang w:eastAsia="pt-BR"/>
              </w:rPr>
              <w:t>Suprapharmacological</w:t>
            </w:r>
            <w:proofErr w:type="spellEnd"/>
          </w:p>
        </w:tc>
      </w:tr>
    </w:tbl>
    <w:p w:rsidR="00005232" w:rsidRDefault="00005232" w:rsidP="00005232">
      <w:pPr>
        <w:jc w:val="both"/>
        <w:rPr>
          <w:lang w:val="en-US"/>
        </w:rPr>
      </w:pPr>
    </w:p>
    <w:p w:rsidR="00E869B7" w:rsidRDefault="00005232" w:rsidP="00005232">
      <w:pPr>
        <w:jc w:val="both"/>
        <w:rPr>
          <w:lang w:val="en-US"/>
        </w:rPr>
      </w:pPr>
      <w:r w:rsidRPr="00005232">
        <w:rPr>
          <w:b/>
          <w:lang w:val="en-US"/>
        </w:rPr>
        <w:t>Table S1:</w:t>
      </w:r>
      <w:r>
        <w:rPr>
          <w:lang w:val="en-US"/>
        </w:rPr>
        <w:t xml:space="preserve"> </w:t>
      </w:r>
      <w:r w:rsidRPr="00005232">
        <w:rPr>
          <w:i/>
          <w:lang w:val="en-US"/>
        </w:rPr>
        <w:t>Ex vivo</w:t>
      </w:r>
      <w:r w:rsidRPr="00005232">
        <w:rPr>
          <w:lang w:val="en-US"/>
        </w:rPr>
        <w:t xml:space="preserve"> concentrations used in the Bioverso Test are shown in comparison with reported pediatric pharmacokinetic parameters for irinotecan and its active metabolite SN-38. The concentrations applied in the assay (D1 = 50 µM; D2 = 110 µM) exceed typical plasma </w:t>
      </w:r>
      <w:proofErr w:type="spellStart"/>
      <w:r w:rsidRPr="00005232">
        <w:rPr>
          <w:lang w:val="en-US"/>
        </w:rPr>
        <w:t>Cmax</w:t>
      </w:r>
      <w:proofErr w:type="spellEnd"/>
      <w:r w:rsidRPr="00005232">
        <w:rPr>
          <w:lang w:val="en-US"/>
        </w:rPr>
        <w:t xml:space="preserve"> values reported in pediatric studies and should therefore be interpreted as </w:t>
      </w:r>
      <w:proofErr w:type="spellStart"/>
      <w:r w:rsidRPr="00005232">
        <w:rPr>
          <w:lang w:val="en-US"/>
        </w:rPr>
        <w:t>suprapharmacological</w:t>
      </w:r>
      <w:proofErr w:type="spellEnd"/>
      <w:r w:rsidRPr="00005232">
        <w:rPr>
          <w:lang w:val="en-US"/>
        </w:rPr>
        <w:t>. These concentrations are part of a predefined platform design aimed at optimizing assay robustness, drug stability, and negative predictive value, rather than replicating in vivo pharmacokinetics. Additionally, differences in exposure dynamics—continuous ex vivo exposure versus intermittent in vivo administration—further limit direct pharmacokinetic comparability.</w:t>
      </w:r>
    </w:p>
    <w:p w:rsidR="00005232" w:rsidRPr="00005232" w:rsidRDefault="00005232" w:rsidP="00005232">
      <w:pPr>
        <w:jc w:val="both"/>
        <w:rPr>
          <w:b/>
          <w:lang w:val="en-US"/>
        </w:rPr>
      </w:pPr>
    </w:p>
    <w:p w:rsidR="00005232" w:rsidRPr="00005232" w:rsidRDefault="00005232" w:rsidP="00005232">
      <w:pPr>
        <w:jc w:val="both"/>
        <w:rPr>
          <w:b/>
          <w:lang w:val="en-US"/>
        </w:rPr>
      </w:pPr>
      <w:r w:rsidRPr="00005232">
        <w:rPr>
          <w:b/>
          <w:lang w:val="en-US"/>
        </w:rPr>
        <w:t>References</w:t>
      </w:r>
      <w:bookmarkStart w:id="0" w:name="_GoBack"/>
      <w:bookmarkEnd w:id="0"/>
      <w:r w:rsidRPr="00005232">
        <w:rPr>
          <w:b/>
          <w:lang w:val="en-US"/>
        </w:rPr>
        <w:t xml:space="preserve">: </w:t>
      </w:r>
    </w:p>
    <w:p w:rsidR="00005232" w:rsidRPr="00005232" w:rsidRDefault="00005232" w:rsidP="00005232">
      <w:pPr>
        <w:spacing w:after="0" w:line="240" w:lineRule="auto"/>
        <w:ind w:left="360"/>
        <w:rPr>
          <w:rFonts w:eastAsia="Times New Roman" w:cstheme="minorHAnsi"/>
          <w:sz w:val="24"/>
          <w:szCs w:val="24"/>
          <w:lang w:val="en-US" w:eastAsia="pt-BR"/>
        </w:rPr>
      </w:pPr>
      <w:r w:rsidRPr="00005232">
        <w:rPr>
          <w:rFonts w:eastAsia="Times New Roman" w:cstheme="minorHAnsi"/>
          <w:sz w:val="24"/>
          <w:szCs w:val="24"/>
          <w:lang w:val="en-US" w:eastAsia="pt-BR"/>
        </w:rPr>
        <w:t xml:space="preserve">Furman WL, Stewart CF, </w:t>
      </w:r>
      <w:proofErr w:type="spellStart"/>
      <w:r w:rsidRPr="00005232">
        <w:rPr>
          <w:rFonts w:eastAsia="Times New Roman" w:cstheme="minorHAnsi"/>
          <w:sz w:val="24"/>
          <w:szCs w:val="24"/>
          <w:lang w:val="en-US" w:eastAsia="pt-BR"/>
        </w:rPr>
        <w:t>Poquette</w:t>
      </w:r>
      <w:proofErr w:type="spellEnd"/>
      <w:r w:rsidRPr="00005232">
        <w:rPr>
          <w:rFonts w:eastAsia="Times New Roman" w:cstheme="minorHAnsi"/>
          <w:sz w:val="24"/>
          <w:szCs w:val="24"/>
          <w:lang w:val="en-US" w:eastAsia="pt-BR"/>
        </w:rPr>
        <w:t xml:space="preserve"> CA, et al. Phase I clinical trial of irinotecan in pediatric patients with refractory solid tumors. </w:t>
      </w:r>
      <w:r w:rsidRPr="00005232">
        <w:rPr>
          <w:rFonts w:eastAsia="Times New Roman" w:cstheme="minorHAnsi"/>
          <w:i/>
          <w:iCs/>
          <w:sz w:val="24"/>
          <w:szCs w:val="24"/>
          <w:lang w:val="en-US" w:eastAsia="pt-BR"/>
        </w:rPr>
        <w:t>J Clin Oncol</w:t>
      </w:r>
      <w:r w:rsidRPr="00005232">
        <w:rPr>
          <w:rFonts w:eastAsia="Times New Roman" w:cstheme="minorHAnsi"/>
          <w:sz w:val="24"/>
          <w:szCs w:val="24"/>
          <w:lang w:val="en-US" w:eastAsia="pt-BR"/>
        </w:rPr>
        <w:t xml:space="preserve">. 1999. </w:t>
      </w:r>
    </w:p>
    <w:p w:rsidR="00005232" w:rsidRPr="00005232" w:rsidRDefault="00005232" w:rsidP="00005232">
      <w:pPr>
        <w:spacing w:after="0" w:line="240" w:lineRule="auto"/>
        <w:ind w:left="360"/>
        <w:rPr>
          <w:rFonts w:eastAsia="Times New Roman" w:cstheme="minorHAnsi"/>
          <w:sz w:val="24"/>
          <w:szCs w:val="24"/>
          <w:lang w:val="en-US" w:eastAsia="pt-BR"/>
        </w:rPr>
      </w:pPr>
      <w:r w:rsidRPr="00005232">
        <w:rPr>
          <w:rFonts w:eastAsia="Times New Roman" w:cstheme="minorHAnsi"/>
          <w:sz w:val="24"/>
          <w:szCs w:val="24"/>
          <w:lang w:val="en-US" w:eastAsia="pt-BR"/>
        </w:rPr>
        <w:lastRenderedPageBreak/>
        <w:t xml:space="preserve">Vassal G, et al. Pharmacokinetics and metabolism of irinotecan in children: a review. </w:t>
      </w:r>
      <w:r w:rsidRPr="00005232">
        <w:rPr>
          <w:rFonts w:eastAsia="Times New Roman" w:cstheme="minorHAnsi"/>
          <w:i/>
          <w:iCs/>
          <w:sz w:val="24"/>
          <w:szCs w:val="24"/>
          <w:lang w:val="en-US" w:eastAsia="pt-BR"/>
        </w:rPr>
        <w:t>Clin Cancer Res</w:t>
      </w:r>
      <w:r w:rsidRPr="00005232">
        <w:rPr>
          <w:rFonts w:eastAsia="Times New Roman" w:cstheme="minorHAnsi"/>
          <w:sz w:val="24"/>
          <w:szCs w:val="24"/>
          <w:lang w:val="en-US" w:eastAsia="pt-BR"/>
        </w:rPr>
        <w:t xml:space="preserve">. 2007. </w:t>
      </w:r>
    </w:p>
    <w:p w:rsidR="00005232" w:rsidRPr="00005232" w:rsidRDefault="00005232" w:rsidP="00005232">
      <w:pPr>
        <w:spacing w:after="0" w:line="240" w:lineRule="auto"/>
        <w:ind w:left="360"/>
        <w:rPr>
          <w:rFonts w:eastAsia="Times New Roman" w:cstheme="minorHAnsi"/>
          <w:sz w:val="24"/>
          <w:szCs w:val="24"/>
          <w:lang w:eastAsia="pt-BR"/>
        </w:rPr>
      </w:pPr>
      <w:r w:rsidRPr="00005232">
        <w:rPr>
          <w:rFonts w:eastAsia="Times New Roman" w:cstheme="minorHAnsi"/>
          <w:sz w:val="24"/>
          <w:szCs w:val="24"/>
          <w:lang w:val="en-US" w:eastAsia="pt-BR"/>
        </w:rPr>
        <w:t xml:space="preserve">Stewart CF, et al. Pharmacokinetics of irinotecan and SN-38 in pediatric patients with solid tumors. </w:t>
      </w:r>
      <w:proofErr w:type="spellStart"/>
      <w:r w:rsidRPr="00005232">
        <w:rPr>
          <w:rFonts w:eastAsia="Times New Roman" w:cstheme="minorHAnsi"/>
          <w:i/>
          <w:iCs/>
          <w:sz w:val="24"/>
          <w:szCs w:val="24"/>
          <w:lang w:eastAsia="pt-BR"/>
        </w:rPr>
        <w:t>Clin</w:t>
      </w:r>
      <w:proofErr w:type="spellEnd"/>
      <w:r w:rsidRPr="00005232">
        <w:rPr>
          <w:rFonts w:eastAsia="Times New Roman" w:cstheme="minorHAnsi"/>
          <w:i/>
          <w:iCs/>
          <w:sz w:val="24"/>
          <w:szCs w:val="24"/>
          <w:lang w:eastAsia="pt-BR"/>
        </w:rPr>
        <w:t xml:space="preserve"> </w:t>
      </w:r>
      <w:proofErr w:type="spellStart"/>
      <w:r w:rsidRPr="00005232">
        <w:rPr>
          <w:rFonts w:eastAsia="Times New Roman" w:cstheme="minorHAnsi"/>
          <w:i/>
          <w:iCs/>
          <w:sz w:val="24"/>
          <w:szCs w:val="24"/>
          <w:lang w:eastAsia="pt-BR"/>
        </w:rPr>
        <w:t>Cancer</w:t>
      </w:r>
      <w:proofErr w:type="spellEnd"/>
      <w:r w:rsidRPr="00005232">
        <w:rPr>
          <w:rFonts w:eastAsia="Times New Roman" w:cstheme="minorHAnsi"/>
          <w:i/>
          <w:iCs/>
          <w:sz w:val="24"/>
          <w:szCs w:val="24"/>
          <w:lang w:eastAsia="pt-BR"/>
        </w:rPr>
        <w:t xml:space="preserve"> Res</w:t>
      </w:r>
      <w:r w:rsidRPr="00005232">
        <w:rPr>
          <w:rFonts w:eastAsia="Times New Roman" w:cstheme="minorHAnsi"/>
          <w:sz w:val="24"/>
          <w:szCs w:val="24"/>
          <w:lang w:eastAsia="pt-BR"/>
        </w:rPr>
        <w:t xml:space="preserve">. 2004. </w:t>
      </w:r>
    </w:p>
    <w:p w:rsidR="00005232" w:rsidRPr="00005232" w:rsidRDefault="00005232" w:rsidP="00005232">
      <w:pPr>
        <w:ind w:left="360"/>
        <w:jc w:val="both"/>
        <w:rPr>
          <w:rFonts w:cstheme="minorHAnsi"/>
          <w:lang w:val="en-US"/>
        </w:rPr>
      </w:pPr>
      <w:proofErr w:type="spellStart"/>
      <w:r w:rsidRPr="00005232">
        <w:rPr>
          <w:rFonts w:eastAsia="Times New Roman" w:cstheme="minorHAnsi"/>
          <w:sz w:val="24"/>
          <w:szCs w:val="24"/>
          <w:lang w:val="en-US" w:eastAsia="pt-BR"/>
        </w:rPr>
        <w:t>Pappo</w:t>
      </w:r>
      <w:proofErr w:type="spellEnd"/>
      <w:r w:rsidRPr="00005232">
        <w:rPr>
          <w:rFonts w:eastAsia="Times New Roman" w:cstheme="minorHAnsi"/>
          <w:sz w:val="24"/>
          <w:szCs w:val="24"/>
          <w:lang w:val="en-US" w:eastAsia="pt-BR"/>
        </w:rPr>
        <w:t xml:space="preserve"> AS, et al. Irinotecan in pediatric solid tumors: pharmacokinetics and schedule dependency. </w:t>
      </w:r>
      <w:r w:rsidRPr="00005232">
        <w:rPr>
          <w:rFonts w:eastAsia="Times New Roman" w:cstheme="minorHAnsi"/>
          <w:i/>
          <w:iCs/>
          <w:sz w:val="24"/>
          <w:szCs w:val="24"/>
          <w:lang w:eastAsia="pt-BR"/>
        </w:rPr>
        <w:t xml:space="preserve">J </w:t>
      </w:r>
      <w:proofErr w:type="spellStart"/>
      <w:r w:rsidRPr="00005232">
        <w:rPr>
          <w:rFonts w:eastAsia="Times New Roman" w:cstheme="minorHAnsi"/>
          <w:i/>
          <w:iCs/>
          <w:sz w:val="24"/>
          <w:szCs w:val="24"/>
          <w:lang w:eastAsia="pt-BR"/>
        </w:rPr>
        <w:t>Clin</w:t>
      </w:r>
      <w:proofErr w:type="spellEnd"/>
      <w:r w:rsidRPr="00005232">
        <w:rPr>
          <w:rFonts w:eastAsia="Times New Roman" w:cstheme="minorHAnsi"/>
          <w:i/>
          <w:iCs/>
          <w:sz w:val="24"/>
          <w:szCs w:val="24"/>
          <w:lang w:eastAsia="pt-BR"/>
        </w:rPr>
        <w:t xml:space="preserve"> </w:t>
      </w:r>
      <w:proofErr w:type="spellStart"/>
      <w:r w:rsidRPr="00005232">
        <w:rPr>
          <w:rFonts w:eastAsia="Times New Roman" w:cstheme="minorHAnsi"/>
          <w:i/>
          <w:iCs/>
          <w:sz w:val="24"/>
          <w:szCs w:val="24"/>
          <w:lang w:eastAsia="pt-BR"/>
        </w:rPr>
        <w:t>Oncol</w:t>
      </w:r>
      <w:proofErr w:type="spellEnd"/>
      <w:r w:rsidRPr="00005232">
        <w:rPr>
          <w:rFonts w:eastAsia="Times New Roman" w:cstheme="minorHAnsi"/>
          <w:sz w:val="24"/>
          <w:szCs w:val="24"/>
          <w:lang w:eastAsia="pt-BR"/>
        </w:rPr>
        <w:t>. 2006.</w:t>
      </w:r>
    </w:p>
    <w:sectPr w:rsidR="00005232" w:rsidRPr="000052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45117D"/>
    <w:multiLevelType w:val="hybridMultilevel"/>
    <w:tmpl w:val="2D4AFD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516843D3"/>
    <w:multiLevelType w:val="hybridMultilevel"/>
    <w:tmpl w:val="5BECCE60"/>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57"/>
    <w:rsid w:val="00005232"/>
    <w:rsid w:val="00B11557"/>
    <w:rsid w:val="00E869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68A5C"/>
  <w15:chartTrackingRefBased/>
  <w15:docId w15:val="{2975E706-04F9-42A9-A99D-80B9A133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B11557"/>
    <w:rPr>
      <w:b/>
      <w:bCs/>
    </w:rPr>
  </w:style>
  <w:style w:type="character" w:styleId="nfase">
    <w:name w:val="Emphasis"/>
    <w:basedOn w:val="Fontepargpadro"/>
    <w:uiPriority w:val="20"/>
    <w:qFormat/>
    <w:rsid w:val="00005232"/>
    <w:rPr>
      <w:i/>
      <w:iCs/>
    </w:rPr>
  </w:style>
  <w:style w:type="paragraph" w:styleId="PargrafodaLista">
    <w:name w:val="List Paragraph"/>
    <w:basedOn w:val="Normal"/>
    <w:uiPriority w:val="34"/>
    <w:qFormat/>
    <w:rsid w:val="00005232"/>
    <w:pPr>
      <w:ind w:left="720"/>
      <w:contextualSpacing/>
    </w:pPr>
  </w:style>
  <w:style w:type="table" w:styleId="TabelaSimples1">
    <w:name w:val="Plain Table 1"/>
    <w:basedOn w:val="Tabelanormal"/>
    <w:uiPriority w:val="41"/>
    <w:rsid w:val="000052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8009">
      <w:bodyDiv w:val="1"/>
      <w:marLeft w:val="0"/>
      <w:marRight w:val="0"/>
      <w:marTop w:val="0"/>
      <w:marBottom w:val="0"/>
      <w:divBdr>
        <w:top w:val="none" w:sz="0" w:space="0" w:color="auto"/>
        <w:left w:val="none" w:sz="0" w:space="0" w:color="auto"/>
        <w:bottom w:val="none" w:sz="0" w:space="0" w:color="auto"/>
        <w:right w:val="none" w:sz="0" w:space="0" w:color="auto"/>
      </w:divBdr>
    </w:div>
    <w:div w:id="1401555687">
      <w:bodyDiv w:val="1"/>
      <w:marLeft w:val="0"/>
      <w:marRight w:val="0"/>
      <w:marTop w:val="0"/>
      <w:marBottom w:val="0"/>
      <w:divBdr>
        <w:top w:val="none" w:sz="0" w:space="0" w:color="auto"/>
        <w:left w:val="none" w:sz="0" w:space="0" w:color="auto"/>
        <w:bottom w:val="none" w:sz="0" w:space="0" w:color="auto"/>
        <w:right w:val="none" w:sz="0" w:space="0" w:color="auto"/>
      </w:divBdr>
    </w:div>
    <w:div w:id="1535072635">
      <w:bodyDiv w:val="1"/>
      <w:marLeft w:val="0"/>
      <w:marRight w:val="0"/>
      <w:marTop w:val="0"/>
      <w:marBottom w:val="0"/>
      <w:divBdr>
        <w:top w:val="none" w:sz="0" w:space="0" w:color="auto"/>
        <w:left w:val="none" w:sz="0" w:space="0" w:color="auto"/>
        <w:bottom w:val="none" w:sz="0" w:space="0" w:color="auto"/>
        <w:right w:val="none" w:sz="0" w:space="0" w:color="auto"/>
      </w:divBdr>
      <w:divsChild>
        <w:div w:id="1168404754">
          <w:marLeft w:val="0"/>
          <w:marRight w:val="0"/>
          <w:marTop w:val="0"/>
          <w:marBottom w:val="0"/>
          <w:divBdr>
            <w:top w:val="none" w:sz="0" w:space="0" w:color="auto"/>
            <w:left w:val="none" w:sz="0" w:space="0" w:color="auto"/>
            <w:bottom w:val="none" w:sz="0" w:space="0" w:color="auto"/>
            <w:right w:val="none" w:sz="0" w:space="0" w:color="auto"/>
          </w:divBdr>
          <w:divsChild>
            <w:div w:id="1497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364</Words>
  <Characters>1966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dc:creator>
  <cp:keywords/>
  <dc:description/>
  <cp:lastModifiedBy>Lorena</cp:lastModifiedBy>
  <cp:revision>2</cp:revision>
  <dcterms:created xsi:type="dcterms:W3CDTF">2026-04-30T14:13:00Z</dcterms:created>
  <dcterms:modified xsi:type="dcterms:W3CDTF">2026-05-02T16:06:00Z</dcterms:modified>
</cp:coreProperties>
</file>