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BA2DA" w14:textId="371B02F5" w:rsidR="00AA1CD2" w:rsidRPr="00AA1CD2" w:rsidRDefault="00AA1CD2" w:rsidP="00AA1C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54F11F3A" w14:textId="58E38CC1" w:rsidR="00140769" w:rsidRDefault="00AA1CD2">
      <w:r w:rsidRPr="00AA1CD2">
        <w:drawing>
          <wp:inline distT="0" distB="0" distL="0" distR="0" wp14:anchorId="0912621D" wp14:editId="397D6E0B">
            <wp:extent cx="9519093" cy="4038600"/>
            <wp:effectExtent l="0" t="0" r="0" b="0"/>
            <wp:docPr id="1874679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6798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62766" cy="405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D893E" w14:textId="77777777" w:rsidR="00AA1CD2" w:rsidRDefault="00AA1CD2"/>
    <w:p w14:paraId="01DFBCCA" w14:textId="77777777" w:rsidR="00AA1CD2" w:rsidRDefault="00AA1CD2">
      <w:pPr>
        <w:sectPr w:rsidR="00AA1CD2" w:rsidSect="00AA1CD2">
          <w:pgSz w:w="16838" w:h="11906" w:orient="landscape"/>
          <w:pgMar w:top="1985" w:right="1440" w:bottom="1134" w:left="1134" w:header="708" w:footer="708" w:gutter="0"/>
          <w:cols w:space="708"/>
          <w:docGrid w:linePitch="360"/>
        </w:sectPr>
      </w:pPr>
    </w:p>
    <w:p w14:paraId="36EEEB86" w14:textId="77777777" w:rsidR="00AA1CD2" w:rsidRDefault="00AA1CD2" w:rsidP="00AA1CD2">
      <w:pPr>
        <w:tabs>
          <w:tab w:val="left" w:pos="9214"/>
        </w:tabs>
      </w:pPr>
      <w:r w:rsidRPr="00AA1CD2">
        <w:lastRenderedPageBreak/>
        <w:drawing>
          <wp:inline distT="0" distB="0" distL="0" distR="0" wp14:anchorId="7570C110" wp14:editId="0C7F0522">
            <wp:extent cx="9609402" cy="4064000"/>
            <wp:effectExtent l="0" t="0" r="0" b="0"/>
            <wp:docPr id="1649953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953172" name=""/>
                    <pic:cNvPicPr/>
                  </pic:nvPicPr>
                  <pic:blipFill rotWithShape="1">
                    <a:blip r:embed="rId7"/>
                    <a:srcRect l="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5611" cy="4087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FF8844" w14:textId="07A4EB3B" w:rsidR="00AA1CD2" w:rsidRDefault="00AA1CD2" w:rsidP="00AA1CD2">
      <w:pPr>
        <w:tabs>
          <w:tab w:val="left" w:pos="1049"/>
        </w:tabs>
      </w:pPr>
    </w:p>
    <w:p w14:paraId="1BF36AD3" w14:textId="58372949" w:rsidR="00AA1CD2" w:rsidRPr="00AA1CD2" w:rsidRDefault="00AA1CD2" w:rsidP="00AA1CD2">
      <w:pPr>
        <w:sectPr w:rsidR="00AA1CD2" w:rsidRPr="00AA1CD2" w:rsidSect="00AA1CD2">
          <w:pgSz w:w="16838" w:h="11906" w:orient="landscape"/>
          <w:pgMar w:top="1985" w:right="1440" w:bottom="1134" w:left="1134" w:header="708" w:footer="708" w:gutter="0"/>
          <w:cols w:space="708"/>
          <w:docGrid w:linePitch="360"/>
        </w:sectPr>
      </w:pPr>
    </w:p>
    <w:p w14:paraId="0EBBCFE0" w14:textId="79B2F76E" w:rsidR="00AA1CD2" w:rsidRDefault="00AA1CD2" w:rsidP="00AA1CD2">
      <w:r w:rsidRPr="00AA1CD2">
        <w:lastRenderedPageBreak/>
        <w:drawing>
          <wp:inline distT="0" distB="0" distL="0" distR="0" wp14:anchorId="382C22BE" wp14:editId="46E6B31D">
            <wp:extent cx="9564130" cy="4096806"/>
            <wp:effectExtent l="0" t="0" r="0" b="0"/>
            <wp:docPr id="2109617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6174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87492" cy="410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A5D89" w14:textId="77777777" w:rsidR="00AA1CD2" w:rsidRDefault="00AA1CD2" w:rsidP="00AA1CD2"/>
    <w:p w14:paraId="61CB2CAC" w14:textId="77777777" w:rsidR="00AA1CD2" w:rsidRDefault="00AA1CD2" w:rsidP="00AA1CD2">
      <w:pPr>
        <w:sectPr w:rsidR="00AA1CD2" w:rsidSect="00AA1CD2">
          <w:pgSz w:w="16838" w:h="11906" w:orient="landscape"/>
          <w:pgMar w:top="1985" w:right="1440" w:bottom="1134" w:left="1134" w:header="708" w:footer="708" w:gutter="0"/>
          <w:cols w:space="708"/>
          <w:docGrid w:linePitch="360"/>
        </w:sectPr>
      </w:pPr>
    </w:p>
    <w:p w14:paraId="1E716033" w14:textId="77777777" w:rsidR="00AA1CD2" w:rsidRDefault="00533520" w:rsidP="00AA1CD2">
      <w:r w:rsidRPr="00533520">
        <w:lastRenderedPageBreak/>
        <w:drawing>
          <wp:inline distT="0" distB="0" distL="0" distR="0" wp14:anchorId="420EA4CF" wp14:editId="34E8560B">
            <wp:extent cx="9510811" cy="4085968"/>
            <wp:effectExtent l="0" t="0" r="0" b="0"/>
            <wp:docPr id="1294489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4892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1454" cy="409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04688" w14:textId="77777777" w:rsidR="00533520" w:rsidRDefault="00533520" w:rsidP="00533520">
      <w:pPr>
        <w:sectPr w:rsidR="00533520" w:rsidSect="00AA1CD2">
          <w:pgSz w:w="16838" w:h="11906" w:orient="landscape"/>
          <w:pgMar w:top="1985" w:right="1440" w:bottom="1134" w:left="1134" w:header="708" w:footer="708" w:gutter="0"/>
          <w:cols w:space="708"/>
          <w:docGrid w:linePitch="360"/>
        </w:sectPr>
      </w:pPr>
    </w:p>
    <w:p w14:paraId="31E3CA59" w14:textId="595F086A" w:rsidR="00533520" w:rsidRDefault="00533520" w:rsidP="00533520">
      <w:r w:rsidRPr="00533520">
        <w:lastRenderedPageBreak/>
        <w:drawing>
          <wp:inline distT="0" distB="0" distL="0" distR="0" wp14:anchorId="2DD2C29F" wp14:editId="33362AF4">
            <wp:extent cx="9720256" cy="1812667"/>
            <wp:effectExtent l="0" t="0" r="0" b="0"/>
            <wp:docPr id="2037664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6641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51920" cy="183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18088" w14:textId="77777777" w:rsidR="00533520" w:rsidRDefault="00533520" w:rsidP="0053352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A85C044" w14:textId="5FFD28C2" w:rsidR="00533520" w:rsidRDefault="00533520" w:rsidP="00533520">
      <w:pPr>
        <w:spacing w:line="360" w:lineRule="auto"/>
        <w:jc w:val="both"/>
      </w:pPr>
      <w:r>
        <w:rPr>
          <w:rFonts w:ascii="Times New Roman" w:hAnsi="Times New Roman" w:cs="Times New Roman"/>
          <w:b/>
          <w:bCs/>
        </w:rPr>
        <w:t xml:space="preserve">Supplementary Figure 1. </w:t>
      </w:r>
      <w:r w:rsidRPr="005C059F">
        <w:rPr>
          <w:rFonts w:ascii="Times New Roman" w:hAnsi="Times New Roman" w:cs="Times New Roman"/>
        </w:rPr>
        <w:t xml:space="preserve">Individual patient methylated </w:t>
      </w:r>
      <w:r w:rsidRPr="00E66325">
        <w:rPr>
          <w:rFonts w:ascii="Times New Roman" w:hAnsi="Times New Roman" w:cs="Times New Roman"/>
          <w:i/>
          <w:iCs/>
        </w:rPr>
        <w:t>BCAT1</w:t>
      </w:r>
      <w:r w:rsidRPr="005C059F">
        <w:rPr>
          <w:rFonts w:ascii="Times New Roman" w:hAnsi="Times New Roman" w:cs="Times New Roman"/>
        </w:rPr>
        <w:t xml:space="preserve"> ctDNA levels, methylated </w:t>
      </w:r>
      <w:r w:rsidRPr="00E66325">
        <w:rPr>
          <w:rFonts w:ascii="Times New Roman" w:hAnsi="Times New Roman" w:cs="Times New Roman"/>
          <w:i/>
          <w:iCs/>
        </w:rPr>
        <w:t>IKZF1</w:t>
      </w:r>
      <w:r w:rsidRPr="005C059F">
        <w:rPr>
          <w:rFonts w:ascii="Times New Roman" w:hAnsi="Times New Roman" w:cs="Times New Roman"/>
        </w:rPr>
        <w:t xml:space="preserve"> ctDNA levels, average methylated </w:t>
      </w:r>
      <w:r w:rsidRPr="00E66325">
        <w:rPr>
          <w:rFonts w:ascii="Times New Roman" w:hAnsi="Times New Roman" w:cs="Times New Roman"/>
          <w:i/>
          <w:iCs/>
        </w:rPr>
        <w:t>BCAT1</w:t>
      </w:r>
      <w:r w:rsidRPr="006065C7">
        <w:rPr>
          <w:rFonts w:ascii="Times New Roman" w:hAnsi="Times New Roman" w:cs="Times New Roman"/>
          <w:i/>
          <w:iCs/>
        </w:rPr>
        <w:t>/</w:t>
      </w:r>
      <w:r w:rsidRPr="00E66325">
        <w:rPr>
          <w:rFonts w:ascii="Times New Roman" w:hAnsi="Times New Roman" w:cs="Times New Roman"/>
          <w:i/>
          <w:iCs/>
        </w:rPr>
        <w:t>IKZF1</w:t>
      </w:r>
      <w:r w:rsidRPr="005C059F">
        <w:rPr>
          <w:rFonts w:ascii="Times New Roman" w:hAnsi="Times New Roman" w:cs="Times New Roman"/>
        </w:rPr>
        <w:t xml:space="preserve"> ctDNA levels and CEA levels across each patient’s treatment</w:t>
      </w:r>
      <w:r>
        <w:rPr>
          <w:rFonts w:ascii="Times New Roman" w:hAnsi="Times New Roman" w:cs="Times New Roman"/>
        </w:rPr>
        <w:t>.</w:t>
      </w:r>
      <w:r w:rsidRPr="005C059F">
        <w:rPr>
          <w:rFonts w:ascii="Times New Roman" w:hAnsi="Times New Roman" w:cs="Times New Roman"/>
        </w:rPr>
        <w:t xml:space="preserve"> Methylated </w:t>
      </w:r>
      <w:r w:rsidRPr="00E66325">
        <w:rPr>
          <w:rFonts w:ascii="Times New Roman" w:hAnsi="Times New Roman" w:cs="Times New Roman"/>
          <w:i/>
          <w:iCs/>
        </w:rPr>
        <w:t>BCAT1</w:t>
      </w:r>
      <w:r w:rsidRPr="006065C7">
        <w:rPr>
          <w:rFonts w:ascii="Times New Roman" w:hAnsi="Times New Roman" w:cs="Times New Roman"/>
          <w:i/>
          <w:iCs/>
        </w:rPr>
        <w:t>=</w:t>
      </w:r>
      <w:r w:rsidRPr="005C059F">
        <w:rPr>
          <w:rFonts w:ascii="Times New Roman" w:hAnsi="Times New Roman" w:cs="Times New Roman"/>
        </w:rPr>
        <w:t xml:space="preserve">dark blue circle, methylated </w:t>
      </w:r>
      <w:r w:rsidRPr="00E66325">
        <w:rPr>
          <w:rFonts w:ascii="Times New Roman" w:hAnsi="Times New Roman" w:cs="Times New Roman"/>
          <w:i/>
          <w:iCs/>
        </w:rPr>
        <w:t>IKZF1</w:t>
      </w:r>
      <w:r w:rsidRPr="006065C7">
        <w:rPr>
          <w:rFonts w:ascii="Times New Roman" w:hAnsi="Times New Roman" w:cs="Times New Roman"/>
          <w:i/>
          <w:iCs/>
        </w:rPr>
        <w:t>=</w:t>
      </w:r>
      <w:r w:rsidRPr="005C059F">
        <w:rPr>
          <w:rFonts w:ascii="Times New Roman" w:hAnsi="Times New Roman" w:cs="Times New Roman"/>
        </w:rPr>
        <w:t xml:space="preserve">yellow circle, average methylated </w:t>
      </w:r>
      <w:r w:rsidRPr="00E66325">
        <w:rPr>
          <w:rFonts w:ascii="Times New Roman" w:hAnsi="Times New Roman" w:cs="Times New Roman"/>
          <w:i/>
          <w:iCs/>
        </w:rPr>
        <w:t>BCAT1</w:t>
      </w:r>
      <w:r w:rsidRPr="006065C7">
        <w:rPr>
          <w:rFonts w:ascii="Times New Roman" w:hAnsi="Times New Roman" w:cs="Times New Roman"/>
          <w:i/>
          <w:iCs/>
        </w:rPr>
        <w:t>/</w:t>
      </w:r>
      <w:r w:rsidRPr="00E66325">
        <w:rPr>
          <w:rFonts w:ascii="Times New Roman" w:hAnsi="Times New Roman" w:cs="Times New Roman"/>
          <w:i/>
          <w:iCs/>
        </w:rPr>
        <w:t>IKZF1</w:t>
      </w:r>
      <w:r w:rsidRPr="005C059F">
        <w:rPr>
          <w:rFonts w:ascii="Times New Roman" w:hAnsi="Times New Roman" w:cs="Times New Roman"/>
        </w:rPr>
        <w:t xml:space="preserve">=green circle, black triangle=CEA. Periods of chemotherapy ± targeted therapy and targeted therapy only are shaded in light grey and periods of radiotherapy are shaded in dark grey. Surgery is represented by a green dotted </w:t>
      </w:r>
      <w:proofErr w:type="gramStart"/>
      <w:r w:rsidRPr="005C059F">
        <w:rPr>
          <w:rFonts w:ascii="Times New Roman" w:hAnsi="Times New Roman" w:cs="Times New Roman"/>
        </w:rPr>
        <w:t>line,</w:t>
      </w:r>
      <w:proofErr w:type="gramEnd"/>
      <w:r w:rsidRPr="005C059F">
        <w:rPr>
          <w:rFonts w:ascii="Times New Roman" w:hAnsi="Times New Roman" w:cs="Times New Roman"/>
        </w:rPr>
        <w:t xml:space="preserve"> recurrence is represented by a red dotted line and death is represented by a black dotted line. Treatment response status is indicated above each ctDNA blood collection point (C</w:t>
      </w:r>
      <w:r>
        <w:rPr>
          <w:rFonts w:ascii="Times New Roman" w:hAnsi="Times New Roman" w:cs="Times New Roman"/>
        </w:rPr>
        <w:t>R</w:t>
      </w:r>
      <w:r w:rsidRPr="005C059F">
        <w:rPr>
          <w:rFonts w:ascii="Times New Roman" w:hAnsi="Times New Roman" w:cs="Times New Roman"/>
        </w:rPr>
        <w:t>=complete response, PR=partial response, SD=stable disease and PD=progressive disease</w:t>
      </w:r>
      <w:r>
        <w:rPr>
          <w:rFonts w:ascii="Times New Roman" w:hAnsi="Times New Roman" w:cs="Times New Roman"/>
        </w:rPr>
        <w:t>.</w:t>
      </w:r>
    </w:p>
    <w:p w14:paraId="59214A52" w14:textId="77777777" w:rsidR="00533520" w:rsidRDefault="00533520" w:rsidP="00533520"/>
    <w:p w14:paraId="5CE0DEF8" w14:textId="58A80D2F" w:rsidR="00533520" w:rsidRPr="00533520" w:rsidRDefault="00533520" w:rsidP="00533520">
      <w:pPr>
        <w:sectPr w:rsidR="00533520" w:rsidRPr="00533520" w:rsidSect="00AA1CD2">
          <w:pgSz w:w="16838" w:h="11906" w:orient="landscape"/>
          <w:pgMar w:top="1985" w:right="1440" w:bottom="1134" w:left="1134" w:header="708" w:footer="708" w:gutter="0"/>
          <w:cols w:space="708"/>
          <w:docGrid w:linePitch="360"/>
        </w:sectPr>
      </w:pPr>
    </w:p>
    <w:p w14:paraId="041056D4" w14:textId="43789469" w:rsidR="00AA1CD2" w:rsidRDefault="00533520">
      <w:r w:rsidRPr="00533520">
        <w:lastRenderedPageBreak/>
        <w:drawing>
          <wp:inline distT="0" distB="0" distL="0" distR="0" wp14:anchorId="03E269B9" wp14:editId="7CFF1229">
            <wp:extent cx="5579745" cy="6493510"/>
            <wp:effectExtent l="0" t="0" r="0" b="0"/>
            <wp:docPr id="2117956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9567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649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EFD94" w14:textId="7CD2DB2C" w:rsidR="00533520" w:rsidRDefault="00533520" w:rsidP="0053352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</w:t>
      </w:r>
      <w:r w:rsidRPr="15D29494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/>
          <w:b/>
          <w:bCs/>
        </w:rPr>
        <w:t>2</w:t>
      </w:r>
      <w:r w:rsidRPr="15D29494">
        <w:rPr>
          <w:rFonts w:ascii="Times New Roman" w:hAnsi="Times New Roman" w:cs="Times New Roman"/>
        </w:rPr>
        <w:t>. a) ctDNA levels during treatment in complete responders, partial responders, stable patients and progressors (normalised to pre-treatment levels, expressed as a percentage). b) ctDNA levels during treatment in patients with disease present vs. no disease (normalised to pre-treatment levels). c) CEA levels during treatment in complete responders, partial responders, stable patients and progressors (normalised to pre-treatment levels). d) CEA levels during treatment in patients with disease present vs. no disease (normalised to pre-treatment level</w:t>
      </w:r>
      <w:r>
        <w:rPr>
          <w:rFonts w:ascii="Times New Roman" w:hAnsi="Times New Roman" w:cs="Times New Roman"/>
        </w:rPr>
        <w:t>s).</w:t>
      </w:r>
    </w:p>
    <w:p w14:paraId="76C46CA2" w14:textId="77777777" w:rsidR="00533520" w:rsidRDefault="00533520" w:rsidP="00533520">
      <w:pPr>
        <w:spacing w:line="360" w:lineRule="auto"/>
        <w:jc w:val="both"/>
        <w:rPr>
          <w:rFonts w:ascii="Times New Roman" w:hAnsi="Times New Roman" w:cs="Times New Roman"/>
        </w:rPr>
        <w:sectPr w:rsidR="00533520" w:rsidSect="005D193C">
          <w:pgSz w:w="11906" w:h="16838"/>
          <w:pgMar w:top="1440" w:right="1134" w:bottom="1134" w:left="1985" w:header="708" w:footer="708" w:gutter="0"/>
          <w:cols w:space="708"/>
          <w:docGrid w:linePitch="360"/>
        </w:sectPr>
      </w:pPr>
    </w:p>
    <w:p w14:paraId="5B9412F0" w14:textId="290B400D" w:rsidR="00533520" w:rsidRDefault="00533520" w:rsidP="00533520">
      <w:pPr>
        <w:spacing w:line="360" w:lineRule="auto"/>
        <w:jc w:val="both"/>
        <w:rPr>
          <w:rFonts w:ascii="Times New Roman" w:hAnsi="Times New Roman" w:cs="Times New Roman"/>
        </w:rPr>
      </w:pPr>
      <w:r w:rsidRPr="00533520">
        <w:rPr>
          <w:rFonts w:ascii="Times New Roman" w:hAnsi="Times New Roman" w:cs="Times New Roman"/>
        </w:rPr>
        <w:lastRenderedPageBreak/>
        <w:drawing>
          <wp:inline distT="0" distB="0" distL="0" distR="0" wp14:anchorId="1314687A" wp14:editId="74A119A2">
            <wp:extent cx="5365561" cy="6713210"/>
            <wp:effectExtent l="0" t="0" r="0" b="0"/>
            <wp:docPr id="1574938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389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7589" cy="674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>Supplementary F</w:t>
      </w:r>
      <w:r w:rsidRPr="15D29494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/>
          <w:b/>
          <w:bCs/>
        </w:rPr>
        <w:t>3</w:t>
      </w:r>
      <w:r w:rsidRPr="15D29494">
        <w:rPr>
          <w:rFonts w:ascii="Times New Roman" w:hAnsi="Times New Roman" w:cs="Times New Roman"/>
        </w:rPr>
        <w:t xml:space="preserve">. Change in ctDNA and CEA levels between consecutive bloods. a) Change in ctDNA levels, compared between complete responders, partial responders, stable patients and progressors (% </w:t>
      </w:r>
      <w:proofErr w:type="spellStart"/>
      <w:r w:rsidRPr="15D29494">
        <w:rPr>
          <w:rFonts w:ascii="Times New Roman" w:hAnsi="Times New Roman" w:cs="Times New Roman"/>
        </w:rPr>
        <w:t>pg</w:t>
      </w:r>
      <w:proofErr w:type="spellEnd"/>
      <w:r w:rsidRPr="15D29494">
        <w:rPr>
          <w:rFonts w:ascii="Times New Roman" w:hAnsi="Times New Roman" w:cs="Times New Roman"/>
        </w:rPr>
        <w:t>/</w:t>
      </w:r>
      <w:r w:rsidRPr="15D29494">
        <w:rPr>
          <w:rFonts w:ascii="Times New Roman" w:hAnsi="Times New Roman" w:cs="Times New Roman"/>
          <w:i/>
          <w:iCs/>
        </w:rPr>
        <w:t>ACTB</w:t>
      </w:r>
      <w:r w:rsidRPr="15D29494">
        <w:rPr>
          <w:rFonts w:ascii="Times New Roman" w:hAnsi="Times New Roman" w:cs="Times New Roman"/>
        </w:rPr>
        <w:t xml:space="preserve">). b) % Change in ctDNA levels, compared between responders and non-responders (% </w:t>
      </w:r>
      <w:proofErr w:type="spellStart"/>
      <w:r w:rsidRPr="15D29494">
        <w:rPr>
          <w:rFonts w:ascii="Times New Roman" w:hAnsi="Times New Roman" w:cs="Times New Roman"/>
        </w:rPr>
        <w:t>pg</w:t>
      </w:r>
      <w:proofErr w:type="spellEnd"/>
      <w:r w:rsidRPr="15D29494">
        <w:rPr>
          <w:rFonts w:ascii="Times New Roman" w:hAnsi="Times New Roman" w:cs="Times New Roman"/>
        </w:rPr>
        <w:t>/</w:t>
      </w:r>
      <w:r w:rsidRPr="15D29494">
        <w:rPr>
          <w:rFonts w:ascii="Times New Roman" w:hAnsi="Times New Roman" w:cs="Times New Roman"/>
          <w:i/>
          <w:iCs/>
        </w:rPr>
        <w:t>ACTB</w:t>
      </w:r>
      <w:r w:rsidRPr="15D29494">
        <w:rPr>
          <w:rFonts w:ascii="Times New Roman" w:hAnsi="Times New Roman" w:cs="Times New Roman"/>
        </w:rPr>
        <w:t>). c) % Change in CEA levels, compared between complete responders, partial responders, stable patients and progressors (ng/mL). d) % Change in CEA levels, compared between responders and non-responders (ng/mL). Kruskal-Wallis tests were used for comparisons between complete responders, partial responders, stable patients and progressors, with post-hoc Dunn’s test for multiple pairwise comparisons. Mann-Whitney U tests were used for comparisons between responders and non-responders. *</w:t>
      </w:r>
      <w:r w:rsidRPr="15D29494">
        <w:rPr>
          <w:rFonts w:ascii="Times New Roman" w:hAnsi="Times New Roman" w:cs="Times New Roman"/>
          <w:i/>
          <w:iCs/>
        </w:rPr>
        <w:t>p</w:t>
      </w:r>
      <w:r w:rsidRPr="15D29494">
        <w:rPr>
          <w:rFonts w:ascii="Times New Roman" w:hAnsi="Times New Roman" w:cs="Times New Roman"/>
        </w:rPr>
        <w:t>&lt;0.05, **</w:t>
      </w:r>
      <w:r w:rsidRPr="15D29494">
        <w:rPr>
          <w:rFonts w:ascii="Times New Roman" w:hAnsi="Times New Roman" w:cs="Times New Roman"/>
          <w:i/>
          <w:iCs/>
        </w:rPr>
        <w:t>p</w:t>
      </w:r>
      <w:r w:rsidRPr="15D29494">
        <w:rPr>
          <w:rFonts w:ascii="Times New Roman" w:hAnsi="Times New Roman" w:cs="Times New Roman"/>
        </w:rPr>
        <w:t>&lt;0.01, ****</w:t>
      </w:r>
      <w:r w:rsidRPr="15D29494">
        <w:rPr>
          <w:rFonts w:ascii="Times New Roman" w:hAnsi="Times New Roman" w:cs="Times New Roman"/>
          <w:i/>
          <w:iCs/>
        </w:rPr>
        <w:t>p</w:t>
      </w:r>
      <w:r w:rsidRPr="15D29494">
        <w:rPr>
          <w:rFonts w:ascii="Times New Roman" w:hAnsi="Times New Roman" w:cs="Times New Roman"/>
        </w:rPr>
        <w:t>&lt;0.0001</w:t>
      </w:r>
    </w:p>
    <w:sectPr w:rsidR="00533520" w:rsidSect="005D193C">
      <w:pgSz w:w="11906" w:h="16838"/>
      <w:pgMar w:top="1440" w:right="1134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D5967" w14:textId="77777777" w:rsidR="00AA5030" w:rsidRDefault="00AA5030" w:rsidP="00AA1CD2">
      <w:pPr>
        <w:spacing w:after="0" w:line="240" w:lineRule="auto"/>
      </w:pPr>
      <w:r>
        <w:separator/>
      </w:r>
    </w:p>
  </w:endnote>
  <w:endnote w:type="continuationSeparator" w:id="0">
    <w:p w14:paraId="6FE23DD8" w14:textId="77777777" w:rsidR="00AA5030" w:rsidRDefault="00AA5030" w:rsidP="00AA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52628" w14:textId="77777777" w:rsidR="00AA5030" w:rsidRDefault="00AA5030" w:rsidP="00AA1CD2">
      <w:pPr>
        <w:spacing w:after="0" w:line="240" w:lineRule="auto"/>
      </w:pPr>
      <w:r>
        <w:separator/>
      </w:r>
    </w:p>
  </w:footnote>
  <w:footnote w:type="continuationSeparator" w:id="0">
    <w:p w14:paraId="3B75618C" w14:textId="77777777" w:rsidR="00AA5030" w:rsidRDefault="00AA5030" w:rsidP="00AA1C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D2"/>
    <w:rsid w:val="00140769"/>
    <w:rsid w:val="002605DB"/>
    <w:rsid w:val="00300A6A"/>
    <w:rsid w:val="00533520"/>
    <w:rsid w:val="005D193C"/>
    <w:rsid w:val="00AA1CD2"/>
    <w:rsid w:val="00AA5030"/>
    <w:rsid w:val="00BA3D8A"/>
    <w:rsid w:val="00CB6C73"/>
    <w:rsid w:val="00F0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DDA63"/>
  <w15:chartTrackingRefBased/>
  <w15:docId w15:val="{FD201D91-073F-4B99-A0C9-17D898CD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C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C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C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C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C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C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C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C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CD2"/>
  </w:style>
  <w:style w:type="paragraph" w:styleId="Footer">
    <w:name w:val="footer"/>
    <w:basedOn w:val="Normal"/>
    <w:link w:val="FooterChar"/>
    <w:uiPriority w:val="99"/>
    <w:unhideWhenUsed/>
    <w:rsid w:val="00AA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Rafha Rafeeu</dc:creator>
  <cp:keywords/>
  <dc:description/>
  <cp:lastModifiedBy>Rafha Rafeeu</cp:lastModifiedBy>
  <cp:revision>1</cp:revision>
  <dcterms:created xsi:type="dcterms:W3CDTF">2026-04-03T06:46:00Z</dcterms:created>
  <dcterms:modified xsi:type="dcterms:W3CDTF">2026-04-03T07:04:00Z</dcterms:modified>
</cp:coreProperties>
</file>