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EFECF" w14:textId="378E36E4" w:rsidR="00D75A9A" w:rsidRDefault="00D75A9A" w:rsidP="00CF4E3F">
      <w:pPr>
        <w:ind w:firstLineChars="200" w:firstLine="422"/>
        <w:rPr>
          <w:rFonts w:ascii="Times New Roman" w:hAnsi="Times New Roman" w:cs="Times New Roman"/>
          <w:b/>
          <w:bCs/>
        </w:rPr>
      </w:pPr>
      <w:r>
        <w:rPr>
          <w:rFonts w:ascii="Times New Roman" w:hAnsi="Times New Roman" w:cs="Times New Roman"/>
          <w:b/>
          <w:bCs/>
          <w:noProof/>
          <w14:ligatures w14:val="standardContextual"/>
        </w:rPr>
        <w:drawing>
          <wp:inline distT="0" distB="0" distL="0" distR="0" wp14:anchorId="65DC97F3" wp14:editId="3C2EC1B1">
            <wp:extent cx="5274310" cy="5381625"/>
            <wp:effectExtent l="0" t="0" r="0" b="3175"/>
            <wp:docPr id="5176153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15377" name="图片 51761537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5381625"/>
                    </a:xfrm>
                    <a:prstGeom prst="rect">
                      <a:avLst/>
                    </a:prstGeom>
                  </pic:spPr>
                </pic:pic>
              </a:graphicData>
            </a:graphic>
          </wp:inline>
        </w:drawing>
      </w:r>
    </w:p>
    <w:p w14:paraId="37288ABF" w14:textId="77777777" w:rsidR="00D75A9A" w:rsidRDefault="00D75A9A" w:rsidP="00D75A9A">
      <w:pPr>
        <w:spacing w:line="360" w:lineRule="auto"/>
        <w:rPr>
          <w:rFonts w:ascii="Times New Roman" w:hAnsi="Times New Roman" w:cs="宋体"/>
          <w:sz w:val="24"/>
          <w:szCs w:val="24"/>
        </w:rPr>
      </w:pPr>
      <w:r>
        <w:rPr>
          <w:rFonts w:ascii="Times New Roman" w:hAnsi="Times New Roman"/>
        </w:rPr>
        <w:t xml:space="preserve">Figure S1. Schematic overview of the </w:t>
      </w:r>
      <w:proofErr w:type="spellStart"/>
      <w:r>
        <w:rPr>
          <w:rFonts w:ascii="Times New Roman" w:hAnsi="Times New Roman"/>
        </w:rPr>
        <w:t>CmTSA</w:t>
      </w:r>
      <w:proofErr w:type="spellEnd"/>
      <w:r>
        <w:rPr>
          <w:rFonts w:ascii="Times New Roman" w:hAnsi="Times New Roman"/>
        </w:rPr>
        <w:t xml:space="preserve"> imaging workflow and the representative staining results.</w:t>
      </w:r>
    </w:p>
    <w:p w14:paraId="295F9070" w14:textId="77777777" w:rsidR="00D75A9A" w:rsidRDefault="00D75A9A" w:rsidP="00D75A9A">
      <w:pPr>
        <w:spacing w:line="360" w:lineRule="auto"/>
        <w:rPr>
          <w:rFonts w:ascii="Times New Roman" w:hAnsi="Times New Roman"/>
        </w:rPr>
      </w:pPr>
      <w:r>
        <w:rPr>
          <w:rFonts w:ascii="Times New Roman" w:hAnsi="Times New Roman"/>
        </w:rPr>
        <w:t xml:space="preserve">A. Schematic workflow of </w:t>
      </w:r>
      <w:proofErr w:type="spellStart"/>
      <w:r>
        <w:rPr>
          <w:rFonts w:ascii="Times New Roman" w:hAnsi="Times New Roman"/>
        </w:rPr>
        <w:t>CmTSA</w:t>
      </w:r>
      <w:proofErr w:type="spellEnd"/>
      <w:r>
        <w:rPr>
          <w:rFonts w:ascii="Times New Roman" w:hAnsi="Times New Roman"/>
        </w:rPr>
        <w:t xml:space="preserve"> staining, including sequential TSA labeling, imaging, and digital analysis.</w:t>
      </w:r>
    </w:p>
    <w:p w14:paraId="5234E45D" w14:textId="77777777" w:rsidR="00D75A9A" w:rsidRDefault="00D75A9A" w:rsidP="00D75A9A">
      <w:pPr>
        <w:spacing w:line="360" w:lineRule="auto"/>
        <w:rPr>
          <w:rFonts w:ascii="Times New Roman" w:hAnsi="Times New Roman"/>
        </w:rPr>
      </w:pPr>
      <w:r>
        <w:rPr>
          <w:rFonts w:ascii="Times New Roman" w:hAnsi="Times New Roman"/>
        </w:rPr>
        <w:t>B. Panel of 20 biomarkers categorized into lymphocyte, myeloid, stroma, and tumor cell subsets.</w:t>
      </w:r>
    </w:p>
    <w:p w14:paraId="5229AF28" w14:textId="77777777" w:rsidR="00D75A9A" w:rsidRDefault="00D75A9A" w:rsidP="00D75A9A">
      <w:pPr>
        <w:spacing w:line="360" w:lineRule="auto"/>
        <w:rPr>
          <w:rFonts w:ascii="Times New Roman" w:hAnsi="Times New Roman"/>
        </w:rPr>
      </w:pPr>
      <w:r>
        <w:rPr>
          <w:rFonts w:ascii="Times New Roman" w:hAnsi="Times New Roman"/>
        </w:rPr>
        <w:t xml:space="preserve">C. Representative H&amp;E and </w:t>
      </w:r>
      <w:proofErr w:type="spellStart"/>
      <w:r>
        <w:rPr>
          <w:rFonts w:ascii="Times New Roman" w:hAnsi="Times New Roman"/>
        </w:rPr>
        <w:t>CmTSA</w:t>
      </w:r>
      <w:proofErr w:type="spellEnd"/>
      <w:r>
        <w:rPr>
          <w:rFonts w:ascii="Times New Roman" w:hAnsi="Times New Roman"/>
        </w:rPr>
        <w:t xml:space="preserve"> images of the primary HCC tissue, showing the expression patterns of all 20 biomarkers at the tumor region.</w:t>
      </w:r>
    </w:p>
    <w:p w14:paraId="3A870E00" w14:textId="77777777" w:rsidR="00D75A9A" w:rsidRPr="00D75A9A" w:rsidRDefault="00D75A9A" w:rsidP="00CF4E3F">
      <w:pPr>
        <w:ind w:firstLineChars="200" w:firstLine="422"/>
        <w:rPr>
          <w:rFonts w:ascii="Times New Roman" w:hAnsi="Times New Roman" w:cs="Times New Roman"/>
          <w:b/>
          <w:bCs/>
        </w:rPr>
      </w:pPr>
    </w:p>
    <w:p w14:paraId="7322F4A1" w14:textId="77777777" w:rsidR="00D75A9A" w:rsidRDefault="00D75A9A" w:rsidP="00CF4E3F">
      <w:pPr>
        <w:ind w:firstLineChars="200" w:firstLine="422"/>
        <w:rPr>
          <w:rFonts w:ascii="Times New Roman" w:hAnsi="Times New Roman" w:cs="Times New Roman" w:hint="eastAsia"/>
          <w:b/>
          <w:bCs/>
        </w:rPr>
      </w:pPr>
    </w:p>
    <w:p w14:paraId="05056FE2" w14:textId="2D63D1A9" w:rsidR="00CF4E3F" w:rsidRPr="00CF4E3F" w:rsidRDefault="00CF4E3F" w:rsidP="00CF4E3F">
      <w:pPr>
        <w:ind w:firstLineChars="200" w:firstLine="422"/>
        <w:rPr>
          <w:rFonts w:ascii="Times New Roman" w:hAnsi="Times New Roman" w:cs="Times New Roman"/>
          <w:b/>
          <w:bCs/>
        </w:rPr>
      </w:pPr>
      <w:r w:rsidRPr="00CF4E3F">
        <w:rPr>
          <w:rFonts w:ascii="Times New Roman" w:hAnsi="Times New Roman" w:cs="Times New Roman"/>
          <w:b/>
          <w:bCs/>
        </w:rPr>
        <w:t xml:space="preserve">MATERIALS AND METHODS </w:t>
      </w:r>
    </w:p>
    <w:p w14:paraId="10A839CA" w14:textId="18B8CFB7" w:rsidR="00CF4E3F" w:rsidRPr="00CF4E3F" w:rsidRDefault="00CF4E3F" w:rsidP="00CF4E3F">
      <w:pPr>
        <w:ind w:firstLineChars="200" w:firstLine="422"/>
        <w:rPr>
          <w:rFonts w:ascii="Times New Roman" w:hAnsi="Times New Roman" w:cs="Times New Roman"/>
          <w:b/>
          <w:bCs/>
        </w:rPr>
      </w:pPr>
      <w:r w:rsidRPr="00CF4E3F">
        <w:rPr>
          <w:rFonts w:ascii="Times New Roman" w:hAnsi="Times New Roman" w:cs="Times New Roman"/>
          <w:b/>
          <w:bCs/>
        </w:rPr>
        <w:t xml:space="preserve">Cyclic multiplexed </w:t>
      </w:r>
      <w:proofErr w:type="spellStart"/>
      <w:r w:rsidRPr="00CF4E3F">
        <w:rPr>
          <w:rFonts w:ascii="Times New Roman" w:hAnsi="Times New Roman" w:cs="Times New Roman"/>
          <w:b/>
          <w:bCs/>
        </w:rPr>
        <w:t>Tyramide</w:t>
      </w:r>
      <w:proofErr w:type="spellEnd"/>
      <w:r w:rsidRPr="00CF4E3F">
        <w:rPr>
          <w:rFonts w:ascii="Times New Roman" w:hAnsi="Times New Roman" w:cs="Times New Roman"/>
          <w:b/>
          <w:bCs/>
        </w:rPr>
        <w:t xml:space="preserve"> Signal Amplification (</w:t>
      </w:r>
      <w:proofErr w:type="spellStart"/>
      <w:r w:rsidRPr="00CF4E3F">
        <w:rPr>
          <w:rFonts w:ascii="Times New Roman" w:hAnsi="Times New Roman" w:cs="Times New Roman"/>
          <w:b/>
          <w:bCs/>
        </w:rPr>
        <w:t>CmTSA</w:t>
      </w:r>
      <w:proofErr w:type="spellEnd"/>
      <w:r w:rsidRPr="00CF4E3F">
        <w:rPr>
          <w:rFonts w:ascii="Times New Roman" w:hAnsi="Times New Roman" w:cs="Times New Roman"/>
          <w:b/>
          <w:bCs/>
        </w:rPr>
        <w:t>) and analysis strategy</w:t>
      </w:r>
    </w:p>
    <w:p w14:paraId="20BDBD5F" w14:textId="77777777" w:rsidR="00CF4E3F" w:rsidRDefault="00CF4E3F" w:rsidP="00CF4E3F">
      <w:pPr>
        <w:pStyle w:val="11"/>
        <w:numPr>
          <w:ilvl w:val="0"/>
          <w:numId w:val="1"/>
        </w:numPr>
        <w:rPr>
          <w:rFonts w:ascii="Times New Roman" w:hAnsi="Times New Roman" w:cs="Times New Roman"/>
        </w:rPr>
      </w:pPr>
      <w:r>
        <w:rPr>
          <w:rFonts w:ascii="Times New Roman" w:hAnsi="Times New Roman" w:cs="Times New Roman"/>
        </w:rPr>
        <w:t xml:space="preserve"> Clinical sample</w:t>
      </w:r>
      <w:r>
        <w:rPr>
          <w:rFonts w:ascii="Times New Roman" w:hAnsi="Times New Roman" w:cs="Times New Roman" w:hint="eastAsia"/>
        </w:rPr>
        <w:t xml:space="preserve"> collection</w:t>
      </w:r>
    </w:p>
    <w:p w14:paraId="2A16A7D3"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t>Human FFPE tissue sample from surgically resected</w:t>
      </w:r>
      <w:r>
        <w:rPr>
          <w:rFonts w:ascii="Times New Roman" w:hAnsi="Times New Roman" w:cs="Times New Roman" w:hint="eastAsia"/>
        </w:rPr>
        <w:t xml:space="preserve"> </w:t>
      </w:r>
      <w:r>
        <w:rPr>
          <w:rFonts w:ascii="Times New Roman" w:hAnsi="Times New Roman" w:cs="Times New Roman"/>
        </w:rPr>
        <w:t xml:space="preserve">primary HCC patient were collected from </w:t>
      </w:r>
      <w:r>
        <w:rPr>
          <w:rFonts w:ascii="Times New Roman" w:hAnsi="Times New Roman" w:cs="Times New Roman"/>
        </w:rPr>
        <w:lastRenderedPageBreak/>
        <w:t xml:space="preserve">the Department of Pathology, West China Hospital, Sichuan University. Valid tissue samples were obtained from patients in the course of clinical treatment, and written informed consent was acquired from </w:t>
      </w:r>
      <w:r>
        <w:rPr>
          <w:rFonts w:ascii="Times New Roman" w:hAnsi="Times New Roman" w:cs="Times New Roman" w:hint="eastAsia"/>
        </w:rPr>
        <w:t>this patient</w:t>
      </w:r>
      <w:r>
        <w:rPr>
          <w:rFonts w:ascii="Times New Roman" w:hAnsi="Times New Roman" w:cs="Times New Roman"/>
        </w:rPr>
        <w:t>.</w:t>
      </w:r>
    </w:p>
    <w:p w14:paraId="423119FA"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t xml:space="preserve">H&amp;E </w:t>
      </w:r>
      <w:r>
        <w:rPr>
          <w:rFonts w:ascii="Times New Roman" w:hAnsi="Times New Roman" w:cs="Times New Roman" w:hint="eastAsia"/>
        </w:rPr>
        <w:t>sample c</w:t>
      </w:r>
      <w:r>
        <w:rPr>
          <w:rFonts w:ascii="Times New Roman" w:hAnsi="Times New Roman" w:cs="Times New Roman"/>
        </w:rPr>
        <w:t>ollection</w:t>
      </w:r>
    </w:p>
    <w:p w14:paraId="70BE5ADE"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t>Staining and image acquisition were completed by the Department of Pathology, West China Hospital, Sichuan University.</w:t>
      </w:r>
    </w:p>
    <w:p w14:paraId="51B0E8B0" w14:textId="77777777" w:rsidR="00CF4E3F" w:rsidRDefault="00CF4E3F" w:rsidP="00CF4E3F">
      <w:pPr>
        <w:numPr>
          <w:ilvl w:val="0"/>
          <w:numId w:val="1"/>
        </w:numPr>
        <w:rPr>
          <w:rFonts w:ascii="Times New Roman" w:hAnsi="Times New Roman" w:cs="Times New Roman"/>
        </w:rPr>
      </w:pPr>
      <w:r>
        <w:rPr>
          <w:rFonts w:ascii="Times New Roman" w:hAnsi="Times New Roman" w:cs="Times New Roman"/>
        </w:rPr>
        <w:t xml:space="preserve">Antibody </w:t>
      </w:r>
      <w:proofErr w:type="spellStart"/>
      <w:r>
        <w:rPr>
          <w:rFonts w:ascii="Times New Roman" w:hAnsi="Times New Roman" w:cs="Times New Roman"/>
        </w:rPr>
        <w:t>infromations</w:t>
      </w:r>
      <w:proofErr w:type="spellEnd"/>
      <w:r>
        <w:rPr>
          <w:rFonts w:ascii="Times New Roman" w:hAnsi="Times New Roman" w:cs="Times New Roman"/>
        </w:rPr>
        <w:t xml:space="preserve"> </w:t>
      </w:r>
    </w:p>
    <w:p w14:paraId="0ADB9350" w14:textId="77777777" w:rsidR="00CF4E3F" w:rsidRDefault="00CF4E3F" w:rsidP="00CF4E3F">
      <w:pPr>
        <w:ind w:left="199"/>
        <w:jc w:val="center"/>
        <w:rPr>
          <w:rFonts w:ascii="Times New Roman" w:hAnsi="Times New Roman" w:cs="Times New Roman"/>
        </w:rPr>
      </w:pPr>
      <w:r>
        <w:rPr>
          <w:rFonts w:ascii="Times New Roman" w:hAnsi="Times New Roman" w:cs="Times New Roman"/>
        </w:rPr>
        <w:t xml:space="preserve">Table 1. Antibody </w:t>
      </w:r>
      <w:proofErr w:type="spellStart"/>
      <w:r>
        <w:rPr>
          <w:rFonts w:ascii="Times New Roman" w:hAnsi="Times New Roman" w:cs="Times New Roman"/>
        </w:rPr>
        <w:t>informations</w:t>
      </w:r>
      <w:proofErr w:type="spellEnd"/>
    </w:p>
    <w:tbl>
      <w:tblPr>
        <w:tblStyle w:val="ae"/>
        <w:tblW w:w="0" w:type="auto"/>
        <w:tblInd w:w="0" w:type="dxa"/>
        <w:tblLook w:val="04A0" w:firstRow="1" w:lastRow="0" w:firstColumn="1" w:lastColumn="0" w:noHBand="0" w:noVBand="1"/>
      </w:tblPr>
      <w:tblGrid>
        <w:gridCol w:w="2070"/>
        <w:gridCol w:w="2085"/>
        <w:gridCol w:w="2074"/>
        <w:gridCol w:w="2067"/>
      </w:tblGrid>
      <w:tr w:rsidR="00CF4E3F" w14:paraId="079C6659"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24AF22B4"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Antibody</w:t>
            </w:r>
          </w:p>
        </w:tc>
        <w:tc>
          <w:tcPr>
            <w:tcW w:w="2130" w:type="dxa"/>
            <w:tcBorders>
              <w:top w:val="single" w:sz="4" w:space="0" w:color="auto"/>
              <w:left w:val="single" w:sz="4" w:space="0" w:color="auto"/>
              <w:bottom w:val="single" w:sz="4" w:space="0" w:color="auto"/>
              <w:right w:val="single" w:sz="4" w:space="0" w:color="auto"/>
            </w:tcBorders>
            <w:vAlign w:val="center"/>
            <w:hideMark/>
          </w:tcPr>
          <w:p w14:paraId="6DD32788"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Brand</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8A08BEF"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Catalog#</w:t>
            </w:r>
          </w:p>
        </w:tc>
        <w:tc>
          <w:tcPr>
            <w:tcW w:w="2131" w:type="dxa"/>
            <w:tcBorders>
              <w:top w:val="single" w:sz="4" w:space="0" w:color="auto"/>
              <w:left w:val="single" w:sz="4" w:space="0" w:color="auto"/>
              <w:bottom w:val="single" w:sz="4" w:space="0" w:color="auto"/>
              <w:right w:val="single" w:sz="4" w:space="0" w:color="auto"/>
            </w:tcBorders>
            <w:vAlign w:val="center"/>
            <w:hideMark/>
          </w:tcPr>
          <w:p w14:paraId="22252F83"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Dilution rate</w:t>
            </w:r>
          </w:p>
        </w:tc>
      </w:tr>
      <w:tr w:rsidR="00CF4E3F" w14:paraId="50F2C5E5"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160F08D3" w14:textId="77777777" w:rsidR="00CF4E3F" w:rsidRDefault="00CF4E3F">
            <w:pPr>
              <w:widowControl/>
              <w:jc w:val="left"/>
              <w:textAlignment w:val="center"/>
              <w:rPr>
                <w:rFonts w:ascii="Times New Roman" w:hAnsi="Times New Roman" w:cs="Times New Roman"/>
              </w:rPr>
            </w:pPr>
            <w:r>
              <w:rPr>
                <w:rFonts w:cs="Calibri" w:hint="eastAsia"/>
              </w:rPr>
              <w:t>CD20</w:t>
            </w:r>
          </w:p>
        </w:tc>
        <w:tc>
          <w:tcPr>
            <w:tcW w:w="2130" w:type="dxa"/>
            <w:tcBorders>
              <w:top w:val="single" w:sz="4" w:space="0" w:color="auto"/>
              <w:left w:val="single" w:sz="4" w:space="0" w:color="auto"/>
              <w:bottom w:val="single" w:sz="4" w:space="0" w:color="auto"/>
              <w:right w:val="single" w:sz="4" w:space="0" w:color="auto"/>
            </w:tcBorders>
            <w:vAlign w:val="center"/>
            <w:hideMark/>
          </w:tcPr>
          <w:p w14:paraId="59D24BBC"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73B05744"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IRS003</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F10C217"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5E0D1DAB"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0C9EBE5B" w14:textId="77777777" w:rsidR="00CF4E3F" w:rsidRDefault="00CF4E3F">
            <w:pPr>
              <w:widowControl/>
              <w:jc w:val="left"/>
              <w:textAlignment w:val="center"/>
              <w:rPr>
                <w:rFonts w:ascii="Times New Roman" w:hAnsi="Times New Roman" w:cs="Times New Roman"/>
              </w:rPr>
            </w:pPr>
            <w:r>
              <w:rPr>
                <w:rFonts w:cs="Calibri" w:hint="eastAsia"/>
              </w:rPr>
              <w:t>CD21</w:t>
            </w:r>
          </w:p>
        </w:tc>
        <w:tc>
          <w:tcPr>
            <w:tcW w:w="2130" w:type="dxa"/>
            <w:tcBorders>
              <w:top w:val="single" w:sz="4" w:space="0" w:color="auto"/>
              <w:left w:val="single" w:sz="4" w:space="0" w:color="auto"/>
              <w:bottom w:val="single" w:sz="4" w:space="0" w:color="auto"/>
              <w:right w:val="single" w:sz="4" w:space="0" w:color="auto"/>
            </w:tcBorders>
            <w:vAlign w:val="center"/>
            <w:hideMark/>
          </w:tcPr>
          <w:p w14:paraId="40F96C92"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BC6E9C4"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w:t>
            </w:r>
            <w:r>
              <w:rPr>
                <w:rFonts w:ascii="Times New Roman" w:hAnsi="Times New Roman" w:cs="Times New Roman" w:hint="eastAsia"/>
                <w:color w:val="000000"/>
              </w:rPr>
              <w:t>19</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902DE0A"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513AA752"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38380283" w14:textId="77777777" w:rsidR="00CF4E3F" w:rsidRDefault="00CF4E3F">
            <w:pPr>
              <w:widowControl/>
              <w:jc w:val="left"/>
              <w:textAlignment w:val="center"/>
              <w:rPr>
                <w:rFonts w:ascii="Times New Roman" w:hAnsi="Times New Roman" w:cs="Times New Roman"/>
              </w:rPr>
            </w:pPr>
            <w:r>
              <w:rPr>
                <w:rFonts w:cs="Calibri" w:hint="eastAsia"/>
              </w:rPr>
              <w:t>CD38</w:t>
            </w:r>
          </w:p>
        </w:tc>
        <w:tc>
          <w:tcPr>
            <w:tcW w:w="2130" w:type="dxa"/>
            <w:tcBorders>
              <w:top w:val="single" w:sz="4" w:space="0" w:color="auto"/>
              <w:left w:val="single" w:sz="4" w:space="0" w:color="auto"/>
              <w:bottom w:val="single" w:sz="4" w:space="0" w:color="auto"/>
              <w:right w:val="single" w:sz="4" w:space="0" w:color="auto"/>
            </w:tcBorders>
            <w:vAlign w:val="center"/>
            <w:hideMark/>
          </w:tcPr>
          <w:p w14:paraId="57C529D0"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1E202AE"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IRS006</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68D9931"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2B250BF1"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5231C94F" w14:textId="77777777" w:rsidR="00CF4E3F" w:rsidRDefault="00CF4E3F">
            <w:pPr>
              <w:widowControl/>
              <w:jc w:val="left"/>
              <w:textAlignment w:val="center"/>
              <w:rPr>
                <w:rFonts w:ascii="Times New Roman" w:hAnsi="Times New Roman" w:cs="Times New Roman"/>
              </w:rPr>
            </w:pPr>
            <w:r>
              <w:rPr>
                <w:rFonts w:cs="Calibri" w:hint="eastAsia"/>
              </w:rPr>
              <w:t>CD4</w:t>
            </w:r>
          </w:p>
        </w:tc>
        <w:tc>
          <w:tcPr>
            <w:tcW w:w="2130" w:type="dxa"/>
            <w:tcBorders>
              <w:top w:val="single" w:sz="4" w:space="0" w:color="auto"/>
              <w:left w:val="single" w:sz="4" w:space="0" w:color="auto"/>
              <w:bottom w:val="single" w:sz="4" w:space="0" w:color="auto"/>
              <w:right w:val="single" w:sz="4" w:space="0" w:color="auto"/>
            </w:tcBorders>
            <w:vAlign w:val="center"/>
            <w:hideMark/>
          </w:tcPr>
          <w:p w14:paraId="5B04B157"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E14480C"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IRS005</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B1CCE59"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23D51B89"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4747EDB3" w14:textId="77777777" w:rsidR="00CF4E3F" w:rsidRDefault="00CF4E3F">
            <w:pPr>
              <w:widowControl/>
              <w:jc w:val="left"/>
              <w:textAlignment w:val="center"/>
              <w:rPr>
                <w:rFonts w:ascii="Times New Roman" w:hAnsi="Times New Roman" w:cs="Times New Roman"/>
              </w:rPr>
            </w:pPr>
            <w:r>
              <w:rPr>
                <w:rFonts w:cs="Calibri" w:hint="eastAsia"/>
              </w:rPr>
              <w:t>CD8</w:t>
            </w:r>
          </w:p>
        </w:tc>
        <w:tc>
          <w:tcPr>
            <w:tcW w:w="2130" w:type="dxa"/>
            <w:tcBorders>
              <w:top w:val="single" w:sz="4" w:space="0" w:color="auto"/>
              <w:left w:val="single" w:sz="4" w:space="0" w:color="auto"/>
              <w:bottom w:val="single" w:sz="4" w:space="0" w:color="auto"/>
              <w:right w:val="single" w:sz="4" w:space="0" w:color="auto"/>
            </w:tcBorders>
            <w:vAlign w:val="center"/>
            <w:hideMark/>
          </w:tcPr>
          <w:p w14:paraId="2D76BB01" w14:textId="77777777" w:rsidR="00CF4E3F" w:rsidRDefault="00CF4E3F">
            <w:pPr>
              <w:widowControl/>
              <w:jc w:val="left"/>
              <w:rPr>
                <w:rFonts w:ascii="Times New Roman" w:eastAsia="DengXian" w:hAnsi="Times New Roman" w:cs="Times New Roman"/>
                <w:color w:val="000000"/>
              </w:rPr>
            </w:pPr>
            <w:proofErr w:type="spellStart"/>
            <w:r>
              <w:rPr>
                <w:rFonts w:ascii="Times New Roman" w:eastAsia="DengXian" w:hAnsi="Times New Roman" w:cs="Times New Roman"/>
                <w:color w:val="000000"/>
              </w:rPr>
              <w:t>Immunoway</w:t>
            </w:r>
            <w:proofErr w:type="spellEnd"/>
          </w:p>
        </w:tc>
        <w:tc>
          <w:tcPr>
            <w:tcW w:w="2131" w:type="dxa"/>
            <w:tcBorders>
              <w:top w:val="single" w:sz="4" w:space="0" w:color="auto"/>
              <w:left w:val="single" w:sz="4" w:space="0" w:color="auto"/>
              <w:bottom w:val="single" w:sz="4" w:space="0" w:color="auto"/>
              <w:right w:val="single" w:sz="4" w:space="0" w:color="auto"/>
            </w:tcBorders>
            <w:vAlign w:val="center"/>
            <w:hideMark/>
          </w:tcPr>
          <w:p w14:paraId="3EF0DA13" w14:textId="77777777" w:rsidR="00CF4E3F" w:rsidRDefault="00CF4E3F">
            <w:pPr>
              <w:widowControl/>
              <w:jc w:val="left"/>
              <w:textAlignment w:val="center"/>
              <w:rPr>
                <w:rFonts w:ascii="Times New Roman" w:hAnsi="Times New Roman" w:cs="Times New Roman"/>
                <w:kern w:val="2"/>
              </w:rPr>
            </w:pPr>
            <w:r>
              <w:rPr>
                <w:rFonts w:ascii="Times New Roman" w:hAnsi="Times New Roman" w:cs="Times New Roman"/>
                <w:color w:val="000000"/>
              </w:rPr>
              <w:t>YM6938</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8EAD408"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1:500</w:t>
            </w:r>
          </w:p>
        </w:tc>
      </w:tr>
      <w:tr w:rsidR="00CF4E3F" w14:paraId="1C405C5C"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418E2E70" w14:textId="77777777" w:rsidR="00CF4E3F" w:rsidRDefault="00CF4E3F">
            <w:pPr>
              <w:widowControl/>
              <w:jc w:val="left"/>
              <w:textAlignment w:val="center"/>
              <w:rPr>
                <w:rFonts w:ascii="Times New Roman" w:hAnsi="Times New Roman" w:cs="Times New Roman"/>
              </w:rPr>
            </w:pPr>
            <w:r>
              <w:rPr>
                <w:rFonts w:cs="Calibri" w:hint="eastAsia"/>
              </w:rPr>
              <w:t>CD57</w:t>
            </w:r>
          </w:p>
        </w:tc>
        <w:tc>
          <w:tcPr>
            <w:tcW w:w="2130" w:type="dxa"/>
            <w:tcBorders>
              <w:top w:val="single" w:sz="4" w:space="0" w:color="auto"/>
              <w:left w:val="single" w:sz="4" w:space="0" w:color="auto"/>
              <w:bottom w:val="single" w:sz="4" w:space="0" w:color="auto"/>
              <w:right w:val="single" w:sz="4" w:space="0" w:color="auto"/>
            </w:tcBorders>
            <w:vAlign w:val="center"/>
            <w:hideMark/>
          </w:tcPr>
          <w:p w14:paraId="06984619"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AC5E488"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IRS027</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4DCF8C5"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5536870F"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6C23F123" w14:textId="77777777" w:rsidR="00CF4E3F" w:rsidRDefault="00CF4E3F">
            <w:pPr>
              <w:widowControl/>
              <w:jc w:val="left"/>
              <w:textAlignment w:val="center"/>
              <w:rPr>
                <w:rFonts w:ascii="Times New Roman" w:hAnsi="Times New Roman" w:cs="Times New Roman"/>
              </w:rPr>
            </w:pPr>
            <w:r>
              <w:rPr>
                <w:rFonts w:cs="Calibri" w:hint="eastAsia"/>
              </w:rPr>
              <w:t>FOXP3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39E6C300" w14:textId="77777777" w:rsidR="00CF4E3F" w:rsidRDefault="00CF4E3F">
            <w:pPr>
              <w:widowControl/>
              <w:jc w:val="left"/>
              <w:textAlignment w:val="center"/>
              <w:rPr>
                <w:rFonts w:ascii="Times New Roman" w:hAnsi="Times New Roman" w:cs="Times New Roman"/>
              </w:rPr>
            </w:pPr>
            <w:proofErr w:type="spellStart"/>
            <w:r>
              <w:rPr>
                <w:rFonts w:ascii="Times New Roman" w:hAnsi="Times New Roman" w:cs="Times New Roman"/>
              </w:rPr>
              <w:t>abcam</w:t>
            </w:r>
            <w:proofErr w:type="spellEnd"/>
          </w:p>
        </w:tc>
        <w:tc>
          <w:tcPr>
            <w:tcW w:w="2131" w:type="dxa"/>
            <w:tcBorders>
              <w:top w:val="single" w:sz="4" w:space="0" w:color="auto"/>
              <w:left w:val="single" w:sz="4" w:space="0" w:color="auto"/>
              <w:bottom w:val="single" w:sz="4" w:space="0" w:color="auto"/>
              <w:right w:val="single" w:sz="4" w:space="0" w:color="auto"/>
            </w:tcBorders>
            <w:vAlign w:val="center"/>
            <w:hideMark/>
          </w:tcPr>
          <w:p w14:paraId="64D3B76E"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rPr>
              <w:t xml:space="preserve">ab20034 </w:t>
            </w:r>
          </w:p>
        </w:tc>
        <w:tc>
          <w:tcPr>
            <w:tcW w:w="2131" w:type="dxa"/>
            <w:tcBorders>
              <w:top w:val="single" w:sz="4" w:space="0" w:color="auto"/>
              <w:left w:val="single" w:sz="4" w:space="0" w:color="auto"/>
              <w:bottom w:val="single" w:sz="4" w:space="0" w:color="auto"/>
              <w:right w:val="single" w:sz="4" w:space="0" w:color="auto"/>
            </w:tcBorders>
            <w:vAlign w:val="center"/>
            <w:hideMark/>
          </w:tcPr>
          <w:p w14:paraId="2930EE66"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w:t>
            </w:r>
            <w:r>
              <w:rPr>
                <w:rFonts w:ascii="Times New Roman" w:hAnsi="Times New Roman" w:cs="Times New Roman" w:hint="eastAsia"/>
                <w:color w:val="000000"/>
              </w:rPr>
              <w:t>8</w:t>
            </w:r>
            <w:r>
              <w:rPr>
                <w:rFonts w:ascii="Times New Roman" w:hAnsi="Times New Roman" w:cs="Times New Roman"/>
                <w:color w:val="000000"/>
              </w:rPr>
              <w:t>00</w:t>
            </w:r>
          </w:p>
        </w:tc>
      </w:tr>
      <w:tr w:rsidR="00CF4E3F" w14:paraId="1AC37947"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27E839A5" w14:textId="77777777" w:rsidR="00CF4E3F" w:rsidRDefault="00CF4E3F">
            <w:pPr>
              <w:widowControl/>
              <w:jc w:val="left"/>
              <w:textAlignment w:val="center"/>
              <w:rPr>
                <w:rFonts w:ascii="Times New Roman" w:hAnsi="Times New Roman" w:cs="Times New Roman"/>
              </w:rPr>
            </w:pPr>
            <w:r>
              <w:rPr>
                <w:rFonts w:cs="Calibri" w:hint="eastAsia"/>
              </w:rPr>
              <w:t>PD1</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2F837B3"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ZSGB-BIO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77D8FD0"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ZM-0381</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7030AD6"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1:800</w:t>
            </w:r>
          </w:p>
        </w:tc>
      </w:tr>
      <w:tr w:rsidR="00CF4E3F" w14:paraId="2C64A04D"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581061D9" w14:textId="77777777" w:rsidR="00CF4E3F" w:rsidRDefault="00CF4E3F">
            <w:pPr>
              <w:widowControl/>
              <w:jc w:val="left"/>
              <w:textAlignment w:val="center"/>
              <w:rPr>
                <w:rFonts w:ascii="Times New Roman" w:hAnsi="Times New Roman" w:cs="Times New Roman"/>
              </w:rPr>
            </w:pPr>
            <w:r>
              <w:rPr>
                <w:rFonts w:cs="Calibri" w:hint="eastAsia"/>
              </w:rPr>
              <w:t>CD11c</w:t>
            </w:r>
          </w:p>
        </w:tc>
        <w:tc>
          <w:tcPr>
            <w:tcW w:w="2130" w:type="dxa"/>
            <w:tcBorders>
              <w:top w:val="single" w:sz="4" w:space="0" w:color="auto"/>
              <w:left w:val="single" w:sz="4" w:space="0" w:color="auto"/>
              <w:bottom w:val="single" w:sz="4" w:space="0" w:color="auto"/>
              <w:right w:val="single" w:sz="4" w:space="0" w:color="auto"/>
            </w:tcBorders>
            <w:vAlign w:val="center"/>
            <w:hideMark/>
          </w:tcPr>
          <w:p w14:paraId="07869F7F"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2A1808F"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IRS001</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8CDDB59"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0A59934A"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2B6681F1" w14:textId="77777777" w:rsidR="00CF4E3F" w:rsidRDefault="00CF4E3F">
            <w:pPr>
              <w:widowControl/>
              <w:jc w:val="left"/>
              <w:textAlignment w:val="center"/>
              <w:rPr>
                <w:rFonts w:ascii="Times New Roman" w:hAnsi="Times New Roman" w:cs="Times New Roman"/>
              </w:rPr>
            </w:pPr>
            <w:r>
              <w:rPr>
                <w:rFonts w:cs="Calibri" w:hint="eastAsia"/>
              </w:rPr>
              <w:t>CD14</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693B778"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BF243EC"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IRS015</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8247998"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12E9395B"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297433E8" w14:textId="77777777" w:rsidR="00CF4E3F" w:rsidRDefault="00CF4E3F">
            <w:pPr>
              <w:widowControl/>
              <w:jc w:val="left"/>
              <w:textAlignment w:val="center"/>
              <w:rPr>
                <w:rFonts w:ascii="Times New Roman" w:hAnsi="Times New Roman" w:cs="Times New Roman"/>
              </w:rPr>
            </w:pPr>
            <w:r>
              <w:rPr>
                <w:rFonts w:cs="Calibri" w:hint="eastAsia"/>
              </w:rPr>
              <w:t>CD163</w:t>
            </w:r>
          </w:p>
        </w:tc>
        <w:tc>
          <w:tcPr>
            <w:tcW w:w="2130" w:type="dxa"/>
            <w:tcBorders>
              <w:top w:val="single" w:sz="4" w:space="0" w:color="auto"/>
              <w:left w:val="single" w:sz="4" w:space="0" w:color="auto"/>
              <w:bottom w:val="single" w:sz="4" w:space="0" w:color="auto"/>
              <w:right w:val="single" w:sz="4" w:space="0" w:color="auto"/>
            </w:tcBorders>
            <w:vAlign w:val="center"/>
            <w:hideMark/>
          </w:tcPr>
          <w:p w14:paraId="69F823B2"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F7E4A63"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IRS002</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AF8B94A"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4C4E36D6"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184A1A00" w14:textId="77777777" w:rsidR="00CF4E3F" w:rsidRDefault="00CF4E3F">
            <w:pPr>
              <w:widowControl/>
              <w:jc w:val="left"/>
              <w:textAlignment w:val="center"/>
              <w:rPr>
                <w:rFonts w:ascii="Times New Roman" w:hAnsi="Times New Roman" w:cs="Times New Roman"/>
              </w:rPr>
            </w:pPr>
            <w:r>
              <w:rPr>
                <w:rFonts w:cs="Calibri" w:hint="eastAsia"/>
              </w:rPr>
              <w:t>CD68</w:t>
            </w:r>
          </w:p>
        </w:tc>
        <w:tc>
          <w:tcPr>
            <w:tcW w:w="2130" w:type="dxa"/>
            <w:tcBorders>
              <w:top w:val="single" w:sz="4" w:space="0" w:color="auto"/>
              <w:left w:val="single" w:sz="4" w:space="0" w:color="auto"/>
              <w:bottom w:val="single" w:sz="4" w:space="0" w:color="auto"/>
              <w:right w:val="single" w:sz="4" w:space="0" w:color="auto"/>
            </w:tcBorders>
            <w:vAlign w:val="center"/>
            <w:hideMark/>
          </w:tcPr>
          <w:p w14:paraId="6DD41F7B"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7DC89556" w14:textId="77777777" w:rsidR="00CF4E3F" w:rsidRDefault="00CF4E3F">
            <w:pPr>
              <w:widowControl/>
              <w:jc w:val="left"/>
              <w:rPr>
                <w:rFonts w:ascii="Times New Roman" w:hAnsi="Times New Roman" w:cs="Times New Roman"/>
                <w:color w:val="000000"/>
              </w:rPr>
            </w:pPr>
            <w:r>
              <w:rPr>
                <w:rFonts w:ascii="Times New Roman" w:hAnsi="Times New Roman" w:cs="Times New Roman"/>
                <w:color w:val="000000"/>
              </w:rPr>
              <w:t>IRS00</w:t>
            </w:r>
            <w:r>
              <w:rPr>
                <w:rFonts w:ascii="Times New Roman" w:hAnsi="Times New Roman" w:cs="Times New Roman" w:hint="eastAsia"/>
                <w:color w:val="000000"/>
              </w:rPr>
              <w:t>4</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315F46A" w14:textId="77777777" w:rsidR="00CF4E3F" w:rsidRDefault="00CF4E3F">
            <w:pPr>
              <w:widowControl/>
              <w:jc w:val="left"/>
              <w:textAlignment w:val="center"/>
              <w:rPr>
                <w:rFonts w:ascii="Times New Roman" w:hAnsi="Times New Roman" w:cs="Times New Roman"/>
                <w:kern w:val="2"/>
              </w:rPr>
            </w:pPr>
            <w:r>
              <w:rPr>
                <w:rFonts w:ascii="Times New Roman" w:hAnsi="Times New Roman" w:cs="Times New Roman"/>
                <w:color w:val="000000"/>
              </w:rPr>
              <w:t>1:100</w:t>
            </w:r>
          </w:p>
        </w:tc>
      </w:tr>
      <w:tr w:rsidR="00CF4E3F" w14:paraId="6724231F"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6F9A8FA6" w14:textId="77777777" w:rsidR="00CF4E3F" w:rsidRDefault="00CF4E3F">
            <w:pPr>
              <w:widowControl/>
              <w:jc w:val="left"/>
              <w:rPr>
                <w:rFonts w:ascii="Times New Roman" w:eastAsia="DengXian" w:hAnsi="Times New Roman" w:cs="Times New Roman"/>
                <w:color w:val="000000"/>
              </w:rPr>
            </w:pPr>
            <w:r>
              <w:rPr>
                <w:rFonts w:cs="Calibri" w:hint="eastAsia"/>
              </w:rPr>
              <w:t>MPO</w:t>
            </w:r>
          </w:p>
        </w:tc>
        <w:tc>
          <w:tcPr>
            <w:tcW w:w="2130" w:type="dxa"/>
            <w:tcBorders>
              <w:top w:val="single" w:sz="4" w:space="0" w:color="auto"/>
              <w:left w:val="single" w:sz="4" w:space="0" w:color="auto"/>
              <w:bottom w:val="single" w:sz="4" w:space="0" w:color="auto"/>
              <w:right w:val="single" w:sz="4" w:space="0" w:color="auto"/>
            </w:tcBorders>
            <w:vAlign w:val="center"/>
            <w:hideMark/>
          </w:tcPr>
          <w:p w14:paraId="1785C054" w14:textId="77777777" w:rsidR="00CF4E3F" w:rsidRDefault="00CF4E3F">
            <w:pPr>
              <w:widowControl/>
              <w:jc w:val="left"/>
              <w:textAlignment w:val="center"/>
              <w:rPr>
                <w:rFonts w:ascii="Times New Roman" w:hAnsi="Times New Roman" w:cs="Times New Roman"/>
                <w:kern w:val="2"/>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1301516"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rPr>
              <w:t>IRS085</w:t>
            </w:r>
          </w:p>
        </w:tc>
        <w:tc>
          <w:tcPr>
            <w:tcW w:w="2131" w:type="dxa"/>
            <w:tcBorders>
              <w:top w:val="single" w:sz="4" w:space="0" w:color="auto"/>
              <w:left w:val="single" w:sz="4" w:space="0" w:color="auto"/>
              <w:bottom w:val="single" w:sz="4" w:space="0" w:color="auto"/>
              <w:right w:val="single" w:sz="4" w:space="0" w:color="auto"/>
            </w:tcBorders>
            <w:vAlign w:val="center"/>
            <w:hideMark/>
          </w:tcPr>
          <w:p w14:paraId="2CA593CE"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01640F00"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70644712" w14:textId="77777777" w:rsidR="00CF4E3F" w:rsidRDefault="00CF4E3F">
            <w:pPr>
              <w:widowControl/>
              <w:jc w:val="left"/>
              <w:textAlignment w:val="center"/>
              <w:rPr>
                <w:rFonts w:ascii="Times New Roman" w:hAnsi="Times New Roman" w:cs="Times New Roman"/>
              </w:rPr>
            </w:pPr>
            <w:proofErr w:type="spellStart"/>
            <w:r>
              <w:rPr>
                <w:rFonts w:cs="Calibri" w:hint="eastAsia"/>
              </w:rPr>
              <w:t>Trypatse</w:t>
            </w:r>
            <w:proofErr w:type="spellEnd"/>
          </w:p>
        </w:tc>
        <w:tc>
          <w:tcPr>
            <w:tcW w:w="2130" w:type="dxa"/>
            <w:tcBorders>
              <w:top w:val="single" w:sz="4" w:space="0" w:color="auto"/>
              <w:left w:val="single" w:sz="4" w:space="0" w:color="auto"/>
              <w:bottom w:val="single" w:sz="4" w:space="0" w:color="auto"/>
              <w:right w:val="single" w:sz="4" w:space="0" w:color="auto"/>
            </w:tcBorders>
            <w:vAlign w:val="center"/>
            <w:hideMark/>
          </w:tcPr>
          <w:p w14:paraId="520767DD"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128598A"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IRS041</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3FFA4DB"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29AD3A1B"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76A01CC5" w14:textId="77777777" w:rsidR="00CF4E3F" w:rsidRDefault="00CF4E3F">
            <w:pPr>
              <w:widowControl/>
              <w:jc w:val="left"/>
              <w:textAlignment w:val="center"/>
              <w:rPr>
                <w:rFonts w:ascii="Times New Roman" w:hAnsi="Times New Roman" w:cs="Times New Roman"/>
              </w:rPr>
            </w:pPr>
            <w:r>
              <w:rPr>
                <w:rFonts w:cs="Calibri" w:hint="eastAsia"/>
              </w:rPr>
              <w:t>CD31</w:t>
            </w:r>
          </w:p>
        </w:tc>
        <w:tc>
          <w:tcPr>
            <w:tcW w:w="2130" w:type="dxa"/>
            <w:tcBorders>
              <w:top w:val="single" w:sz="4" w:space="0" w:color="auto"/>
              <w:left w:val="single" w:sz="4" w:space="0" w:color="auto"/>
              <w:bottom w:val="single" w:sz="4" w:space="0" w:color="auto"/>
              <w:right w:val="single" w:sz="4" w:space="0" w:color="auto"/>
            </w:tcBorders>
            <w:vAlign w:val="center"/>
            <w:hideMark/>
          </w:tcPr>
          <w:p w14:paraId="777CA8BD"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4624F54" w14:textId="77777777" w:rsidR="00CF4E3F" w:rsidRDefault="00CF4E3F">
            <w:pPr>
              <w:widowControl/>
              <w:jc w:val="left"/>
              <w:rPr>
                <w:rFonts w:ascii="Times New Roman" w:eastAsia="DengXian" w:hAnsi="Times New Roman" w:cs="Times New Roman"/>
                <w:color w:val="000000"/>
              </w:rPr>
            </w:pPr>
            <w:r>
              <w:rPr>
                <w:rFonts w:ascii="Times New Roman" w:eastAsia="DengXian" w:hAnsi="Times New Roman" w:cs="Times New Roman"/>
                <w:color w:val="000000"/>
              </w:rPr>
              <w:t>IRS023</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A89F5F3" w14:textId="77777777" w:rsidR="00CF4E3F" w:rsidRDefault="00CF4E3F">
            <w:pPr>
              <w:widowControl/>
              <w:jc w:val="left"/>
              <w:textAlignment w:val="center"/>
              <w:rPr>
                <w:rFonts w:ascii="Times New Roman" w:hAnsi="Times New Roman" w:cs="Times New Roman"/>
                <w:kern w:val="2"/>
              </w:rPr>
            </w:pPr>
            <w:r>
              <w:rPr>
                <w:rFonts w:ascii="Times New Roman" w:hAnsi="Times New Roman" w:cs="Times New Roman"/>
                <w:color w:val="000000"/>
              </w:rPr>
              <w:t>1:100</w:t>
            </w:r>
          </w:p>
        </w:tc>
      </w:tr>
      <w:tr w:rsidR="00CF4E3F" w14:paraId="37328E88"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759AD494" w14:textId="77777777" w:rsidR="00CF4E3F" w:rsidRDefault="00CF4E3F">
            <w:pPr>
              <w:widowControl/>
              <w:jc w:val="left"/>
              <w:textAlignment w:val="center"/>
              <w:rPr>
                <w:rFonts w:ascii="Times New Roman" w:hAnsi="Times New Roman" w:cs="Times New Roman"/>
              </w:rPr>
            </w:pPr>
            <w:r>
              <w:rPr>
                <w:rFonts w:cs="Calibri" w:hint="eastAsia"/>
              </w:rPr>
              <w:t>FAP</w:t>
            </w:r>
          </w:p>
        </w:tc>
        <w:tc>
          <w:tcPr>
            <w:tcW w:w="2130" w:type="dxa"/>
            <w:tcBorders>
              <w:top w:val="single" w:sz="4" w:space="0" w:color="auto"/>
              <w:left w:val="single" w:sz="4" w:space="0" w:color="auto"/>
              <w:bottom w:val="single" w:sz="4" w:space="0" w:color="auto"/>
              <w:right w:val="single" w:sz="4" w:space="0" w:color="auto"/>
            </w:tcBorders>
            <w:vAlign w:val="center"/>
            <w:hideMark/>
          </w:tcPr>
          <w:p w14:paraId="4FDA2980" w14:textId="77777777" w:rsidR="00CF4E3F" w:rsidRDefault="00CF4E3F">
            <w:pPr>
              <w:widowControl/>
              <w:jc w:val="left"/>
              <w:textAlignment w:val="center"/>
              <w:rPr>
                <w:rFonts w:ascii="Times New Roman" w:hAnsi="Times New Roman" w:cs="Times New Roman"/>
              </w:rPr>
            </w:pPr>
            <w:proofErr w:type="spellStart"/>
            <w:r>
              <w:rPr>
                <w:rFonts w:ascii="Times New Roman" w:hAnsi="Times New Roman" w:cs="Times New Roman"/>
                <w:color w:val="000000"/>
              </w:rPr>
              <w:t>zenbio</w:t>
            </w:r>
            <w:proofErr w:type="spellEnd"/>
          </w:p>
        </w:tc>
        <w:tc>
          <w:tcPr>
            <w:tcW w:w="2131" w:type="dxa"/>
            <w:tcBorders>
              <w:top w:val="single" w:sz="4" w:space="0" w:color="auto"/>
              <w:left w:val="single" w:sz="4" w:space="0" w:color="auto"/>
              <w:bottom w:val="single" w:sz="4" w:space="0" w:color="auto"/>
              <w:right w:val="single" w:sz="4" w:space="0" w:color="auto"/>
            </w:tcBorders>
            <w:vAlign w:val="center"/>
            <w:hideMark/>
          </w:tcPr>
          <w:p w14:paraId="7F76F760"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R381838</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1FD22F3"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1:1000</w:t>
            </w:r>
          </w:p>
        </w:tc>
      </w:tr>
      <w:tr w:rsidR="00CF4E3F" w14:paraId="66A40DBC"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2992D179" w14:textId="77777777" w:rsidR="00CF4E3F" w:rsidRDefault="00CF4E3F">
            <w:pPr>
              <w:widowControl/>
              <w:jc w:val="left"/>
              <w:textAlignment w:val="center"/>
              <w:rPr>
                <w:rFonts w:ascii="Times New Roman" w:hAnsi="Times New Roman" w:cs="Times New Roman"/>
              </w:rPr>
            </w:pPr>
            <w:proofErr w:type="spellStart"/>
            <w:r>
              <w:rPr>
                <w:rFonts w:cs="Calibri" w:hint="eastAsia"/>
              </w:rPr>
              <w:t>aSMA</w:t>
            </w:r>
            <w:proofErr w:type="spellEnd"/>
          </w:p>
        </w:tc>
        <w:tc>
          <w:tcPr>
            <w:tcW w:w="2130" w:type="dxa"/>
            <w:tcBorders>
              <w:top w:val="single" w:sz="4" w:space="0" w:color="auto"/>
              <w:left w:val="single" w:sz="4" w:space="0" w:color="auto"/>
              <w:bottom w:val="single" w:sz="4" w:space="0" w:color="auto"/>
              <w:right w:val="single" w:sz="4" w:space="0" w:color="auto"/>
            </w:tcBorders>
            <w:vAlign w:val="center"/>
            <w:hideMark/>
          </w:tcPr>
          <w:p w14:paraId="007ACF2D"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026A9804"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IRS012</w:t>
            </w:r>
          </w:p>
        </w:tc>
        <w:tc>
          <w:tcPr>
            <w:tcW w:w="2131" w:type="dxa"/>
            <w:tcBorders>
              <w:top w:val="single" w:sz="4" w:space="0" w:color="auto"/>
              <w:left w:val="single" w:sz="4" w:space="0" w:color="auto"/>
              <w:bottom w:val="single" w:sz="4" w:space="0" w:color="auto"/>
              <w:right w:val="single" w:sz="4" w:space="0" w:color="auto"/>
            </w:tcBorders>
            <w:vAlign w:val="center"/>
            <w:hideMark/>
          </w:tcPr>
          <w:p w14:paraId="4E567A71"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w:t>
            </w:r>
          </w:p>
        </w:tc>
      </w:tr>
      <w:tr w:rsidR="00CF4E3F" w14:paraId="00539169"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3EAFDE3B" w14:textId="77777777" w:rsidR="00CF4E3F" w:rsidRDefault="00CF4E3F">
            <w:pPr>
              <w:widowControl/>
              <w:jc w:val="left"/>
              <w:textAlignment w:val="center"/>
              <w:rPr>
                <w:rFonts w:ascii="Times New Roman" w:hAnsi="Times New Roman" w:cs="Times New Roman"/>
              </w:rPr>
            </w:pPr>
            <w:r>
              <w:rPr>
                <w:rFonts w:cs="Calibri" w:hint="eastAsia"/>
              </w:rPr>
              <w:t>Ki67</w:t>
            </w:r>
          </w:p>
        </w:tc>
        <w:tc>
          <w:tcPr>
            <w:tcW w:w="2130" w:type="dxa"/>
            <w:tcBorders>
              <w:top w:val="single" w:sz="4" w:space="0" w:color="auto"/>
              <w:left w:val="single" w:sz="4" w:space="0" w:color="auto"/>
              <w:bottom w:val="single" w:sz="4" w:space="0" w:color="auto"/>
              <w:right w:val="single" w:sz="4" w:space="0" w:color="auto"/>
            </w:tcBorders>
            <w:vAlign w:val="center"/>
            <w:hideMark/>
          </w:tcPr>
          <w:p w14:paraId="7BED5DB7"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C311EFA" w14:textId="77777777" w:rsidR="00CF4E3F" w:rsidRDefault="00CF4E3F">
            <w:pPr>
              <w:widowControl/>
              <w:jc w:val="left"/>
              <w:rPr>
                <w:rFonts w:ascii="Times New Roman" w:eastAsia="DengXian" w:hAnsi="Times New Roman" w:cs="Times New Roman"/>
                <w:color w:val="000000"/>
              </w:rPr>
            </w:pPr>
            <w:r>
              <w:rPr>
                <w:rFonts w:ascii="Times New Roman" w:eastAsia="DengXian" w:hAnsi="Times New Roman" w:cs="Times New Roman"/>
                <w:color w:val="000000"/>
              </w:rPr>
              <w:t xml:space="preserve">IRS057 </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37E536E" w14:textId="77777777" w:rsidR="00CF4E3F" w:rsidRDefault="00CF4E3F">
            <w:pPr>
              <w:widowControl/>
              <w:jc w:val="left"/>
              <w:textAlignment w:val="center"/>
              <w:rPr>
                <w:rFonts w:ascii="Times New Roman" w:hAnsi="Times New Roman" w:cs="Times New Roman"/>
                <w:kern w:val="2"/>
              </w:rPr>
            </w:pPr>
            <w:r>
              <w:rPr>
                <w:rFonts w:ascii="Times New Roman" w:hAnsi="Times New Roman" w:cs="Times New Roman"/>
                <w:color w:val="000000"/>
              </w:rPr>
              <w:t>1:100</w:t>
            </w:r>
          </w:p>
        </w:tc>
      </w:tr>
      <w:tr w:rsidR="00CF4E3F" w14:paraId="554C5511"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20FE1295" w14:textId="77777777" w:rsidR="00CF4E3F" w:rsidRDefault="00CF4E3F">
            <w:pPr>
              <w:widowControl/>
              <w:jc w:val="left"/>
              <w:textAlignment w:val="center"/>
              <w:rPr>
                <w:rFonts w:ascii="Times New Roman" w:hAnsi="Times New Roman" w:cs="Times New Roman"/>
              </w:rPr>
            </w:pPr>
            <w:proofErr w:type="spellStart"/>
            <w:r>
              <w:rPr>
                <w:rFonts w:cs="Calibri" w:hint="eastAsia"/>
              </w:rPr>
              <w:t>panCK</w:t>
            </w:r>
            <w:proofErr w:type="spellEnd"/>
          </w:p>
        </w:tc>
        <w:tc>
          <w:tcPr>
            <w:tcW w:w="2130" w:type="dxa"/>
            <w:tcBorders>
              <w:top w:val="single" w:sz="4" w:space="0" w:color="auto"/>
              <w:left w:val="single" w:sz="4" w:space="0" w:color="auto"/>
              <w:bottom w:val="single" w:sz="4" w:space="0" w:color="auto"/>
              <w:right w:val="single" w:sz="4" w:space="0" w:color="auto"/>
            </w:tcBorders>
            <w:vAlign w:val="center"/>
            <w:hideMark/>
          </w:tcPr>
          <w:p w14:paraId="4E1BA2C4"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HUABIO</w:t>
            </w:r>
          </w:p>
        </w:tc>
        <w:tc>
          <w:tcPr>
            <w:tcW w:w="2131" w:type="dxa"/>
            <w:tcBorders>
              <w:top w:val="single" w:sz="4" w:space="0" w:color="auto"/>
              <w:left w:val="single" w:sz="4" w:space="0" w:color="auto"/>
              <w:bottom w:val="single" w:sz="4" w:space="0" w:color="auto"/>
              <w:right w:val="single" w:sz="4" w:space="0" w:color="auto"/>
            </w:tcBorders>
            <w:vAlign w:val="center"/>
            <w:hideMark/>
          </w:tcPr>
          <w:p w14:paraId="154009C1" w14:textId="77777777" w:rsidR="00CF4E3F" w:rsidRDefault="00CF4E3F">
            <w:pPr>
              <w:widowControl/>
              <w:jc w:val="left"/>
              <w:rPr>
                <w:rFonts w:ascii="Times New Roman" w:eastAsia="DengXian" w:hAnsi="Times New Roman" w:cs="Times New Roman"/>
                <w:color w:val="000000"/>
              </w:rPr>
            </w:pPr>
            <w:r>
              <w:rPr>
                <w:rFonts w:ascii="Times New Roman" w:eastAsia="DengXian" w:hAnsi="Times New Roman" w:cs="Times New Roman"/>
                <w:color w:val="000000"/>
              </w:rPr>
              <w:t>IRS010</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4C2EEB4" w14:textId="77777777" w:rsidR="00CF4E3F" w:rsidRDefault="00CF4E3F">
            <w:pPr>
              <w:widowControl/>
              <w:jc w:val="left"/>
              <w:textAlignment w:val="center"/>
              <w:rPr>
                <w:rFonts w:ascii="Times New Roman" w:hAnsi="Times New Roman" w:cs="Times New Roman"/>
                <w:kern w:val="2"/>
              </w:rPr>
            </w:pPr>
            <w:r>
              <w:rPr>
                <w:rFonts w:ascii="Times New Roman" w:hAnsi="Times New Roman" w:cs="Times New Roman"/>
                <w:color w:val="000000"/>
              </w:rPr>
              <w:t>1:100</w:t>
            </w:r>
          </w:p>
        </w:tc>
      </w:tr>
      <w:tr w:rsidR="00CF4E3F" w14:paraId="3943A99B" w14:textId="77777777">
        <w:tc>
          <w:tcPr>
            <w:tcW w:w="2130" w:type="dxa"/>
            <w:tcBorders>
              <w:top w:val="single" w:sz="4" w:space="0" w:color="auto"/>
              <w:left w:val="single" w:sz="4" w:space="0" w:color="auto"/>
              <w:bottom w:val="single" w:sz="4" w:space="0" w:color="auto"/>
              <w:right w:val="single" w:sz="4" w:space="0" w:color="auto"/>
            </w:tcBorders>
            <w:vAlign w:val="center"/>
            <w:hideMark/>
          </w:tcPr>
          <w:p w14:paraId="6C6859AB" w14:textId="77777777" w:rsidR="00CF4E3F" w:rsidRDefault="00CF4E3F">
            <w:pPr>
              <w:widowControl/>
              <w:jc w:val="left"/>
              <w:textAlignment w:val="center"/>
              <w:rPr>
                <w:rFonts w:ascii="Times New Roman" w:hAnsi="Times New Roman" w:cs="Times New Roman"/>
              </w:rPr>
            </w:pPr>
            <w:r>
              <w:rPr>
                <w:rFonts w:cs="Calibri" w:hint="eastAsia"/>
              </w:rPr>
              <w:t>PDL1</w:t>
            </w:r>
          </w:p>
        </w:tc>
        <w:tc>
          <w:tcPr>
            <w:tcW w:w="2130" w:type="dxa"/>
            <w:tcBorders>
              <w:top w:val="single" w:sz="4" w:space="0" w:color="auto"/>
              <w:left w:val="single" w:sz="4" w:space="0" w:color="auto"/>
              <w:bottom w:val="single" w:sz="4" w:space="0" w:color="auto"/>
              <w:right w:val="single" w:sz="4" w:space="0" w:color="auto"/>
            </w:tcBorders>
            <w:vAlign w:val="center"/>
            <w:hideMark/>
          </w:tcPr>
          <w:p w14:paraId="7A44F5EB" w14:textId="77777777" w:rsidR="00CF4E3F" w:rsidRDefault="00CF4E3F">
            <w:pPr>
              <w:widowControl/>
              <w:jc w:val="left"/>
              <w:textAlignment w:val="center"/>
              <w:rPr>
                <w:rFonts w:ascii="Times New Roman" w:hAnsi="Times New Roman" w:cs="Times New Roman"/>
              </w:rPr>
            </w:pPr>
            <w:proofErr w:type="spellStart"/>
            <w:r>
              <w:rPr>
                <w:rFonts w:ascii="Times New Roman" w:hAnsi="Times New Roman" w:cs="Times New Roman"/>
                <w:color w:val="000000"/>
              </w:rPr>
              <w:t>abcam</w:t>
            </w:r>
            <w:proofErr w:type="spellEnd"/>
          </w:p>
        </w:tc>
        <w:tc>
          <w:tcPr>
            <w:tcW w:w="2131" w:type="dxa"/>
            <w:tcBorders>
              <w:top w:val="single" w:sz="4" w:space="0" w:color="auto"/>
              <w:left w:val="single" w:sz="4" w:space="0" w:color="auto"/>
              <w:bottom w:val="single" w:sz="4" w:space="0" w:color="auto"/>
              <w:right w:val="single" w:sz="4" w:space="0" w:color="auto"/>
            </w:tcBorders>
            <w:vAlign w:val="center"/>
            <w:hideMark/>
          </w:tcPr>
          <w:p w14:paraId="429B41DD"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rPr>
              <w:t xml:space="preserve">ab279294 </w:t>
            </w:r>
          </w:p>
        </w:tc>
        <w:tc>
          <w:tcPr>
            <w:tcW w:w="2131" w:type="dxa"/>
            <w:tcBorders>
              <w:top w:val="single" w:sz="4" w:space="0" w:color="auto"/>
              <w:left w:val="single" w:sz="4" w:space="0" w:color="auto"/>
              <w:bottom w:val="single" w:sz="4" w:space="0" w:color="auto"/>
              <w:right w:val="single" w:sz="4" w:space="0" w:color="auto"/>
            </w:tcBorders>
            <w:vAlign w:val="center"/>
            <w:hideMark/>
          </w:tcPr>
          <w:p w14:paraId="593AA11D" w14:textId="77777777" w:rsidR="00CF4E3F" w:rsidRDefault="00CF4E3F">
            <w:pPr>
              <w:widowControl/>
              <w:jc w:val="left"/>
              <w:textAlignment w:val="center"/>
              <w:rPr>
                <w:rFonts w:ascii="Times New Roman" w:hAnsi="Times New Roman" w:cs="Times New Roman"/>
              </w:rPr>
            </w:pPr>
            <w:r>
              <w:rPr>
                <w:rFonts w:ascii="Times New Roman" w:hAnsi="Times New Roman" w:cs="Times New Roman"/>
                <w:color w:val="000000"/>
              </w:rPr>
              <w:t>1:1000</w:t>
            </w:r>
          </w:p>
        </w:tc>
      </w:tr>
    </w:tbl>
    <w:p w14:paraId="73CE7181" w14:textId="77777777" w:rsidR="00CF4E3F" w:rsidRDefault="00CF4E3F" w:rsidP="00CF4E3F">
      <w:pPr>
        <w:rPr>
          <w:rFonts w:ascii="Times New Roman" w:hAnsi="Times New Roman" w:cs="Times New Roman"/>
        </w:rPr>
      </w:pPr>
      <w:r>
        <w:rPr>
          <w:rFonts w:ascii="Times New Roman" w:hAnsi="Times New Roman" w:cs="Times New Roman"/>
        </w:rPr>
        <w:t xml:space="preserve"> </w:t>
      </w:r>
    </w:p>
    <w:p w14:paraId="51E545AB" w14:textId="77777777" w:rsidR="00CF4E3F" w:rsidRDefault="00CF4E3F" w:rsidP="00CF4E3F">
      <w:pPr>
        <w:numPr>
          <w:ilvl w:val="0"/>
          <w:numId w:val="1"/>
        </w:numPr>
        <w:ind w:left="582"/>
        <w:rPr>
          <w:rFonts w:ascii="Times New Roman" w:hAnsi="Times New Roman" w:cs="Times New Roman"/>
        </w:rPr>
      </w:pPr>
      <w:proofErr w:type="spellStart"/>
      <w:r>
        <w:rPr>
          <w:rFonts w:ascii="Times New Roman" w:hAnsi="Times New Roman" w:cs="Times New Roman"/>
        </w:rPr>
        <w:t>CmTSA</w:t>
      </w:r>
      <w:proofErr w:type="spellEnd"/>
      <w:r>
        <w:rPr>
          <w:rFonts w:ascii="Times New Roman" w:hAnsi="Times New Roman" w:cs="Times New Roman"/>
        </w:rPr>
        <w:t xml:space="preserve"> workflow</w:t>
      </w:r>
    </w:p>
    <w:p w14:paraId="63AE88DC" w14:textId="77777777" w:rsidR="00CF4E3F" w:rsidRDefault="00CF4E3F" w:rsidP="00CF4E3F">
      <w:pPr>
        <w:ind w:firstLineChars="200" w:firstLine="420"/>
        <w:rPr>
          <w:rFonts w:ascii="Times New Roman" w:hAnsi="Times New Roman" w:cs="Times New Roman"/>
        </w:rPr>
      </w:pPr>
      <w:proofErr w:type="spellStart"/>
      <w:r>
        <w:rPr>
          <w:rFonts w:ascii="Times New Roman" w:hAnsi="Times New Roman" w:cs="Times New Roman" w:hint="eastAsia"/>
        </w:rPr>
        <w:t>CmTSA</w:t>
      </w:r>
      <w:proofErr w:type="spellEnd"/>
      <w:r>
        <w:rPr>
          <w:rFonts w:ascii="Times New Roman" w:hAnsi="Times New Roman" w:cs="Times New Roman" w:hint="eastAsia"/>
        </w:rPr>
        <w:t xml:space="preserve"> staining</w:t>
      </w:r>
    </w:p>
    <w:p w14:paraId="39C554A9" w14:textId="77777777" w:rsidR="00CF4E3F" w:rsidRDefault="00CF4E3F" w:rsidP="00CF4E3F">
      <w:pPr>
        <w:ind w:firstLineChars="200" w:firstLine="420"/>
        <w:rPr>
          <w:rFonts w:ascii="Times New Roman" w:hAnsi="Times New Roman" w:cs="Times New Roman"/>
        </w:rPr>
      </w:pPr>
      <w:proofErr w:type="spellStart"/>
      <w:r>
        <w:rPr>
          <w:rFonts w:ascii="Times New Roman" w:hAnsi="Times New Roman" w:cs="Times New Roman"/>
        </w:rPr>
        <w:t>CmTSA</w:t>
      </w:r>
      <w:proofErr w:type="spellEnd"/>
      <w:r>
        <w:rPr>
          <w:rFonts w:ascii="Times New Roman" w:hAnsi="Times New Roman" w:cs="Times New Roman"/>
        </w:rPr>
        <w:t xml:space="preserve"> staining was performed on formalin-fixed paraffin-embedded (FFPE) sections. Briefly, after deparaffinization and antigen retrieval, background fluorescence was quenched using </w:t>
      </w:r>
      <w:proofErr w:type="spellStart"/>
      <w:r>
        <w:rPr>
          <w:rFonts w:ascii="Times New Roman" w:hAnsi="Times New Roman" w:cs="Times New Roman"/>
        </w:rPr>
        <w:t>IRISKit</w:t>
      </w:r>
      <w:proofErr w:type="spellEnd"/>
      <w:r>
        <w:rPr>
          <w:rFonts w:ascii="Times New Roman" w:hAnsi="Times New Roman" w:cs="Times New Roman"/>
        </w:rPr>
        <w:t xml:space="preserve">® HyperView Quench Buffer (#MH900102) in the LUMINIRIS Fluorescence Quenching System (#MH030101). Multiplex immunolabeling was conducted with the </w:t>
      </w:r>
      <w:proofErr w:type="spellStart"/>
      <w:r>
        <w:rPr>
          <w:rFonts w:ascii="Times New Roman" w:hAnsi="Times New Roman" w:cs="Times New Roman"/>
        </w:rPr>
        <w:t>IRISKit</w:t>
      </w:r>
      <w:proofErr w:type="spellEnd"/>
      <w:r>
        <w:rPr>
          <w:rFonts w:ascii="Times New Roman" w:hAnsi="Times New Roman" w:cs="Times New Roman"/>
        </w:rPr>
        <w:t xml:space="preserve">™ HyperView </w:t>
      </w:r>
      <w:proofErr w:type="spellStart"/>
      <w:r>
        <w:rPr>
          <w:rFonts w:ascii="Times New Roman" w:hAnsi="Times New Roman" w:cs="Times New Roman"/>
        </w:rPr>
        <w:t>mTSA</w:t>
      </w:r>
      <w:proofErr w:type="spellEnd"/>
      <w:r>
        <w:rPr>
          <w:rFonts w:ascii="Times New Roman" w:hAnsi="Times New Roman" w:cs="Times New Roman"/>
        </w:rPr>
        <w:t xml:space="preserve"> Kit (#MH900206), using primary antibodies, HRP-conjugated secondary antibodies, and cyclic fluorophore-conjugated </w:t>
      </w:r>
      <w:proofErr w:type="spellStart"/>
      <w:r>
        <w:rPr>
          <w:rFonts w:ascii="Times New Roman" w:hAnsi="Times New Roman" w:cs="Times New Roman"/>
        </w:rPr>
        <w:t>tyramides</w:t>
      </w:r>
      <w:proofErr w:type="spellEnd"/>
      <w:r>
        <w:rPr>
          <w:rFonts w:ascii="Times New Roman" w:hAnsi="Times New Roman" w:cs="Times New Roman"/>
        </w:rPr>
        <w:t xml:space="preserve"> (480/550/630). Antibody stripping was performed after each round. DAPI counterstaining was applied, and whole-slide images were acquired on an Evident VS200 scanner. Multi-round images were registered via DAPI landmarks using </w:t>
      </w:r>
      <w:proofErr w:type="spellStart"/>
      <w:r>
        <w:rPr>
          <w:rFonts w:ascii="Times New Roman" w:hAnsi="Times New Roman" w:cs="Times New Roman"/>
        </w:rPr>
        <w:t>IRRISSin</w:t>
      </w:r>
      <w:proofErr w:type="spellEnd"/>
      <w:r>
        <w:rPr>
          <w:rFonts w:ascii="Times New Roman" w:hAnsi="Times New Roman" w:cs="Times New Roman"/>
        </w:rPr>
        <w:t xml:space="preserve"> software for final super-multiplexed data integration.</w:t>
      </w:r>
      <w:r>
        <w:rPr>
          <w:rFonts w:ascii="Times New Roman" w:hAnsi="Times New Roman" w:cs="Times New Roman" w:hint="eastAsia"/>
        </w:rPr>
        <w:t xml:space="preserve"> </w:t>
      </w:r>
      <w:r>
        <w:rPr>
          <w:rFonts w:ascii="Times New Roman" w:hAnsi="Times New Roman" w:cs="Times New Roman"/>
        </w:rPr>
        <w:t xml:space="preserve">Detailed methodological protocols for </w:t>
      </w:r>
      <w:proofErr w:type="spellStart"/>
      <w:r>
        <w:rPr>
          <w:rFonts w:ascii="Times New Roman" w:hAnsi="Times New Roman" w:cs="Times New Roman"/>
        </w:rPr>
        <w:t>CmTSA</w:t>
      </w:r>
      <w:proofErr w:type="spellEnd"/>
      <w:r>
        <w:rPr>
          <w:rFonts w:ascii="Times New Roman" w:hAnsi="Times New Roman" w:cs="Times New Roman" w:hint="eastAsia"/>
        </w:rPr>
        <w:t xml:space="preserve"> staining</w:t>
      </w:r>
      <w:r>
        <w:rPr>
          <w:rFonts w:ascii="Times New Roman" w:hAnsi="Times New Roman" w:cs="Times New Roman"/>
        </w:rPr>
        <w:t xml:space="preserve"> are documented in our team’s </w:t>
      </w:r>
      <w:r>
        <w:rPr>
          <w:rFonts w:ascii="Times New Roman" w:hAnsi="Times New Roman" w:cs="Times New Roman" w:hint="eastAsia"/>
        </w:rPr>
        <w:t xml:space="preserve">paper </w:t>
      </w:r>
      <w:r>
        <w:rPr>
          <w:rFonts w:ascii="Times New Roman" w:hAnsi="Times New Roman" w:cs="Times New Roman"/>
        </w:rPr>
        <w:t>“Integrative spatial profiling pipeline for determining TME</w:t>
      </w:r>
      <w:r>
        <w:rPr>
          <w:rFonts w:ascii="Times New Roman" w:hAnsi="Times New Roman" w:cs="Times New Roman" w:hint="eastAsia"/>
        </w:rPr>
        <w:t xml:space="preserve"> </w:t>
      </w:r>
      <w:r>
        <w:rPr>
          <w:rFonts w:ascii="Times New Roman" w:hAnsi="Times New Roman" w:cs="Times New Roman"/>
        </w:rPr>
        <w:t xml:space="preserve">architectures in archival clinical specimens using </w:t>
      </w:r>
      <w:proofErr w:type="spellStart"/>
      <w:r>
        <w:rPr>
          <w:rFonts w:ascii="Times New Roman" w:hAnsi="Times New Roman" w:cs="Times New Roman"/>
        </w:rPr>
        <w:t>CmTSA</w:t>
      </w:r>
      <w:proofErr w:type="spellEnd"/>
      <w:r>
        <w:rPr>
          <w:rFonts w:ascii="Times New Roman" w:hAnsi="Times New Roman" w:cs="Times New Roman" w:hint="eastAsia"/>
        </w:rPr>
        <w:t xml:space="preserve"> </w:t>
      </w:r>
      <w:proofErr w:type="spellStart"/>
      <w:r>
        <w:rPr>
          <w:rFonts w:ascii="Times New Roman" w:hAnsi="Times New Roman" w:cs="Times New Roman"/>
        </w:rPr>
        <w:t>superplex</w:t>
      </w:r>
      <w:proofErr w:type="spellEnd"/>
      <w:r>
        <w:rPr>
          <w:rFonts w:ascii="Times New Roman" w:hAnsi="Times New Roman" w:cs="Times New Roman"/>
        </w:rPr>
        <w:t xml:space="preserve"> </w:t>
      </w:r>
      <w:proofErr w:type="gramStart"/>
      <w:r>
        <w:rPr>
          <w:rFonts w:ascii="Times New Roman" w:hAnsi="Times New Roman" w:cs="Times New Roman"/>
        </w:rPr>
        <w:t>technology”</w:t>
      </w:r>
      <w:r>
        <w:rPr>
          <w:rFonts w:ascii="Times New Roman" w:hAnsi="Times New Roman" w:cs="Times New Roman" w:hint="eastAsia"/>
          <w:vertAlign w:val="superscript"/>
        </w:rPr>
        <w:t>[</w:t>
      </w:r>
      <w:proofErr w:type="gramEnd"/>
      <w:r>
        <w:rPr>
          <w:rFonts w:ascii="Times New Roman" w:hAnsi="Times New Roman" w:cs="Times New Roman" w:hint="eastAsia"/>
          <w:vertAlign w:val="superscript"/>
        </w:rPr>
        <w:t>1]</w:t>
      </w:r>
      <w:r>
        <w:rPr>
          <w:rFonts w:ascii="Times New Roman" w:hAnsi="Times New Roman" w:cs="Times New Roman" w:hint="eastAsia"/>
        </w:rPr>
        <w:t>.</w:t>
      </w:r>
    </w:p>
    <w:p w14:paraId="624DB115"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t>Pathologist-Guided Tumor Region Delineation and ROI Selection</w:t>
      </w:r>
    </w:p>
    <w:p w14:paraId="598F5CBA"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lastRenderedPageBreak/>
        <w:t xml:space="preserve">Under the supervision of a pathologist, tumor and adjacent non-tumor regions were identified and delineated on the </w:t>
      </w:r>
      <w:proofErr w:type="spellStart"/>
      <w:r>
        <w:rPr>
          <w:rFonts w:ascii="Times New Roman" w:hAnsi="Times New Roman" w:cs="Times New Roman"/>
        </w:rPr>
        <w:t>CmTSA</w:t>
      </w:r>
      <w:proofErr w:type="spellEnd"/>
      <w:r>
        <w:rPr>
          <w:rFonts w:ascii="Times New Roman" w:hAnsi="Times New Roman" w:cs="Times New Roman"/>
        </w:rPr>
        <w:t xml:space="preserve"> whole-slide images based on the corresponding hematoxylin and eosin (H&amp;E)-stained sections and </w:t>
      </w:r>
      <w:proofErr w:type="spellStart"/>
      <w:r>
        <w:rPr>
          <w:rFonts w:ascii="Times New Roman" w:hAnsi="Times New Roman" w:cs="Times New Roman"/>
        </w:rPr>
        <w:t>histomorphological</w:t>
      </w:r>
      <w:proofErr w:type="spellEnd"/>
      <w:r>
        <w:rPr>
          <w:rFonts w:ascii="Times New Roman" w:hAnsi="Times New Roman" w:cs="Times New Roman"/>
        </w:rPr>
        <w:t xml:space="preserve"> features. Representative regions of interest (ROIs) were selected according to the spatial distribution patterns of tumor cells, immune cells, and stromal components for subsequent visualization and analysis.</w:t>
      </w:r>
    </w:p>
    <w:p w14:paraId="6BE52D33" w14:textId="77777777" w:rsidR="00CF4E3F" w:rsidRDefault="00CF4E3F" w:rsidP="00CF4E3F">
      <w:pPr>
        <w:rPr>
          <w:rFonts w:ascii="Times New Roman" w:hAnsi="Times New Roman" w:cs="Times New Roman"/>
        </w:rPr>
      </w:pPr>
      <w:r>
        <w:rPr>
          <w:rFonts w:ascii="Times New Roman" w:hAnsi="Times New Roman" w:cs="Times New Roman"/>
        </w:rPr>
        <w:t>Cell segmentation and positive threshold setting</w:t>
      </w:r>
    </w:p>
    <w:p w14:paraId="5203F15E" w14:textId="77777777" w:rsidR="00CF4E3F" w:rsidRDefault="00CF4E3F" w:rsidP="00CF4E3F">
      <w:pPr>
        <w:ind w:firstLine="420"/>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 xml:space="preserve">ingle-cell segmentation was first performed in </w:t>
      </w:r>
      <w:proofErr w:type="spellStart"/>
      <w:r>
        <w:rPr>
          <w:rFonts w:ascii="Times New Roman" w:hAnsi="Times New Roman" w:cs="Times New Roman"/>
        </w:rPr>
        <w:t>QuPath</w:t>
      </w:r>
      <w:proofErr w:type="spellEnd"/>
      <w:r>
        <w:rPr>
          <w:rFonts w:ascii="Times New Roman" w:hAnsi="Times New Roman" w:cs="Times New Roman"/>
        </w:rPr>
        <w:t xml:space="preserve"> (v0.5.1) using the StarDist-2D </w:t>
      </w:r>
      <w:proofErr w:type="gramStart"/>
      <w:r>
        <w:rPr>
          <w:rFonts w:ascii="Times New Roman" w:hAnsi="Times New Roman" w:cs="Times New Roman"/>
        </w:rPr>
        <w:t>model</w:t>
      </w:r>
      <w:r>
        <w:rPr>
          <w:rFonts w:ascii="Times New Roman" w:hAnsi="Times New Roman" w:cs="Times New Roman" w:hint="eastAsia"/>
          <w:vertAlign w:val="superscript"/>
        </w:rPr>
        <w:t>[</w:t>
      </w:r>
      <w:proofErr w:type="gramEnd"/>
      <w:r>
        <w:rPr>
          <w:rFonts w:ascii="Times New Roman" w:hAnsi="Times New Roman" w:cs="Times New Roman" w:hint="eastAsia"/>
          <w:vertAlign w:val="superscript"/>
        </w:rPr>
        <w:t>2]</w:t>
      </w:r>
      <w:r>
        <w:rPr>
          <w:rFonts w:ascii="Times New Roman" w:hAnsi="Times New Roman" w:cs="Times New Roman"/>
        </w:rPr>
        <w:t>. This process generated individual cell boundaries and extracted mean fluorescence intensity for each marker across distinct cellular compartments (nucleus, cytoplasm, membrane, and whole cell). Subsequently, channel-specific positive thresholds were established on a 0–255 intensity scale based on the actual staining characteristics of each marker. Cells were categorized as positive or negative by comparing their measured intensity against the defined threshold. Finally, the spatial coordinates of each segmented cell were retrieved to support spatial analysis between different cell populations.</w:t>
      </w:r>
    </w:p>
    <w:p w14:paraId="7C4F75F1"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t>Cell Type Identification and Spatial Projection Mapping</w:t>
      </w:r>
    </w:p>
    <w:p w14:paraId="0F6C93BE"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t>Given that individual antigen markers are not uniquely expressed in single cell lineages, precise cellular phenotyping relies on combinatorial marker profiling. Here, a rigorous cell classification strategy was established based on cell lineage-specific biomarkers, cellular abundance characteristics, and actual staining performance, ensuring accurate and reproducible identification of diverse cell subtypes. Combined with the acquired single-cell spatial coordinate information, the classified cell phenotypes were spatially mapped point-by-point to generate a final cell type distribution map for subsequent analysis.</w:t>
      </w:r>
    </w:p>
    <w:p w14:paraId="536C96CC" w14:textId="77777777" w:rsidR="00CF4E3F" w:rsidRDefault="00CF4E3F" w:rsidP="00CF4E3F">
      <w:pPr>
        <w:ind w:firstLineChars="200" w:firstLine="420"/>
        <w:rPr>
          <w:rFonts w:ascii="Times New Roman" w:hAnsi="Times New Roman" w:cs="Times New Roman"/>
        </w:rPr>
      </w:pPr>
      <w:r>
        <w:rPr>
          <w:rFonts w:ascii="Times New Roman" w:hAnsi="Times New Roman" w:cs="Times New Roman"/>
        </w:rPr>
        <w:t>Quantitative Statistical Analysis</w:t>
      </w:r>
    </w:p>
    <w:p w14:paraId="07E1E17C" w14:textId="77777777" w:rsidR="00CF4E3F" w:rsidRDefault="00CF4E3F" w:rsidP="00CF4E3F">
      <w:pPr>
        <w:rPr>
          <w:rFonts w:ascii="Times New Roman" w:hAnsi="Times New Roman" w:cs="Times New Roman"/>
        </w:rPr>
      </w:pPr>
      <w:r>
        <w:rPr>
          <w:rFonts w:ascii="Times New Roman" w:hAnsi="Times New Roman" w:cs="Times New Roman"/>
        </w:rPr>
        <w:t xml:space="preserve">All quantitative statistical analyses were conducted using R software (version 4.3.1). Based on the single-cell phenotypic data obtained from whole tumor microenvironments and screened representative ROIs, we systematically quantified the composition of diverse cellular subsets and calculated the relative proportion of each cell population. Data sorting, statistical computation and visualization were implemented with mainstream R packages, including ggplot2, </w:t>
      </w:r>
      <w:proofErr w:type="spellStart"/>
      <w:r>
        <w:rPr>
          <w:rFonts w:ascii="Times New Roman" w:hAnsi="Times New Roman" w:cs="Times New Roman"/>
        </w:rPr>
        <w:t>dplyr</w:t>
      </w:r>
      <w:proofErr w:type="spellEnd"/>
      <w:r>
        <w:rPr>
          <w:rFonts w:ascii="Times New Roman" w:hAnsi="Times New Roman" w:cs="Times New Roman"/>
        </w:rPr>
        <w:t xml:space="preserve">, </w:t>
      </w:r>
      <w:proofErr w:type="spellStart"/>
      <w:r>
        <w:rPr>
          <w:rFonts w:ascii="Times New Roman" w:hAnsi="Times New Roman" w:cs="Times New Roman"/>
        </w:rPr>
        <w:t>readr</w:t>
      </w:r>
      <w:proofErr w:type="spellEnd"/>
      <w:r>
        <w:rPr>
          <w:rFonts w:ascii="Times New Roman" w:hAnsi="Times New Roman" w:cs="Times New Roman"/>
        </w:rPr>
        <w:t xml:space="preserve">, </w:t>
      </w:r>
      <w:proofErr w:type="spellStart"/>
      <w:r>
        <w:rPr>
          <w:rFonts w:ascii="Times New Roman" w:hAnsi="Times New Roman" w:cs="Times New Roman"/>
        </w:rPr>
        <w:t>tidyr</w:t>
      </w:r>
      <w:proofErr w:type="spellEnd"/>
      <w:r>
        <w:rPr>
          <w:rFonts w:ascii="Times New Roman" w:hAnsi="Times New Roman" w:cs="Times New Roman"/>
        </w:rPr>
        <w:t xml:space="preserve"> and scales.</w:t>
      </w:r>
    </w:p>
    <w:p w14:paraId="7F940F8F" w14:textId="77777777" w:rsidR="00CF4E3F" w:rsidRDefault="00CF4E3F" w:rsidP="00CF4E3F">
      <w:pPr>
        <w:rPr>
          <w:rFonts w:ascii="Times New Roman" w:hAnsi="Times New Roman" w:cs="Times New Roman"/>
        </w:rPr>
      </w:pPr>
      <w:r>
        <w:rPr>
          <w:rFonts w:ascii="Times New Roman" w:hAnsi="Times New Roman" w:cs="Times New Roman"/>
        </w:rPr>
        <w:t xml:space="preserve"> </w:t>
      </w:r>
    </w:p>
    <w:p w14:paraId="6E25E605" w14:textId="77777777" w:rsidR="00CF4E3F" w:rsidRDefault="00CF4E3F" w:rsidP="00CF4E3F">
      <w:pPr>
        <w:rPr>
          <w:rFonts w:ascii="Times New Roman" w:hAnsi="Times New Roman" w:cs="Times New Roman"/>
        </w:rPr>
      </w:pPr>
      <w:r>
        <w:rPr>
          <w:rFonts w:ascii="Times New Roman" w:hAnsi="Times New Roman" w:cs="Times New Roman"/>
        </w:rPr>
        <w:t>Reference</w:t>
      </w:r>
    </w:p>
    <w:p w14:paraId="3EF63E6F" w14:textId="77777777" w:rsidR="00CF4E3F" w:rsidRDefault="00CF4E3F" w:rsidP="00CF4E3F">
      <w:pPr>
        <w:numPr>
          <w:ilvl w:val="0"/>
          <w:numId w:val="2"/>
        </w:numPr>
        <w:rPr>
          <w:rFonts w:ascii="Times New Roman" w:hAnsi="Times New Roman" w:cs="Times New Roman"/>
        </w:rPr>
      </w:pPr>
      <w:r>
        <w:rPr>
          <w:rFonts w:ascii="Times New Roman" w:hAnsi="Times New Roman" w:cs="Times New Roman"/>
        </w:rPr>
        <w:t xml:space="preserve">Xiao C, Zhou R, Chen Q, et al. Integrative spatial profiling pipeline for determining TME architectures in archival clinical specimens using </w:t>
      </w:r>
      <w:proofErr w:type="spellStart"/>
      <w:r>
        <w:rPr>
          <w:rFonts w:ascii="Times New Roman" w:hAnsi="Times New Roman" w:cs="Times New Roman"/>
        </w:rPr>
        <w:t>CmTSA</w:t>
      </w:r>
      <w:proofErr w:type="spellEnd"/>
      <w:r>
        <w:rPr>
          <w:rFonts w:ascii="Times New Roman" w:hAnsi="Times New Roman" w:cs="Times New Roman"/>
        </w:rPr>
        <w:t xml:space="preserve"> </w:t>
      </w:r>
      <w:proofErr w:type="spellStart"/>
      <w:r>
        <w:rPr>
          <w:rFonts w:ascii="Times New Roman" w:hAnsi="Times New Roman" w:cs="Times New Roman"/>
        </w:rPr>
        <w:t>superplex</w:t>
      </w:r>
      <w:proofErr w:type="spellEnd"/>
      <w:r>
        <w:rPr>
          <w:rFonts w:ascii="Times New Roman" w:hAnsi="Times New Roman" w:cs="Times New Roman"/>
        </w:rPr>
        <w:t xml:space="preserve"> technology. Cell </w:t>
      </w:r>
      <w:proofErr w:type="spellStart"/>
      <w:r>
        <w:rPr>
          <w:rFonts w:ascii="Times New Roman" w:hAnsi="Times New Roman" w:cs="Times New Roman"/>
        </w:rPr>
        <w:t>Discov</w:t>
      </w:r>
      <w:proofErr w:type="spellEnd"/>
      <w:r>
        <w:rPr>
          <w:rFonts w:ascii="Times New Roman" w:hAnsi="Times New Roman" w:cs="Times New Roman"/>
        </w:rPr>
        <w:t>. 2026;12(1):16.</w:t>
      </w:r>
    </w:p>
    <w:p w14:paraId="4792A43F" w14:textId="30921885" w:rsidR="00CF4E3F" w:rsidRPr="00CF4E3F" w:rsidRDefault="00CF4E3F" w:rsidP="00CF4E3F">
      <w:pPr>
        <w:numPr>
          <w:ilvl w:val="0"/>
          <w:numId w:val="2"/>
        </w:numPr>
        <w:rPr>
          <w:rFonts w:ascii="Times New Roman" w:hAnsi="Times New Roman" w:cs="Times New Roman"/>
        </w:rPr>
      </w:pPr>
      <w:r>
        <w:rPr>
          <w:rFonts w:ascii="Times New Roman" w:hAnsi="Times New Roman" w:cs="Times New Roman"/>
        </w:rPr>
        <w:t>Uwe Schmidt, Martin Weigert, Coleman Broaddus, et al. Cell Detection with Star-convex Polygons. International Conference on Medical Image Computing and Computer-Assisted Intervention (MICCAI), Granada, Spain, September 2018.</w:t>
      </w:r>
    </w:p>
    <w:sectPr w:rsidR="00CF4E3F" w:rsidRPr="00CF4E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39D28FF"/>
    <w:multiLevelType w:val="multilevel"/>
    <w:tmpl w:val="E7846DF2"/>
    <w:lvl w:ilvl="0">
      <w:start w:val="1"/>
      <w:numFmt w:val="decimal"/>
      <w:lvlText w:val="（%1）"/>
      <w:lvlJc w:val="left"/>
      <w:pPr>
        <w:ind w:left="639" w:hanging="440"/>
      </w:pPr>
      <w:rPr>
        <w:rFonts w:ascii="宋体" w:eastAsia="宋体" w:hAnsi="宋体" w:hint="eastAsia"/>
      </w:rPr>
    </w:lvl>
    <w:lvl w:ilvl="1">
      <w:start w:val="1"/>
      <w:numFmt w:val="lowerLetter"/>
      <w:lvlText w:val="%2)"/>
      <w:lvlJc w:val="left"/>
      <w:pPr>
        <w:ind w:left="1079" w:hanging="440"/>
      </w:pPr>
      <w:rPr>
        <w:rFonts w:ascii="Times New Roman" w:hAnsi="Times New Roman" w:cs="Times New Roman" w:hint="default"/>
      </w:rPr>
    </w:lvl>
    <w:lvl w:ilvl="2">
      <w:start w:val="1"/>
      <w:numFmt w:val="lowerRoman"/>
      <w:lvlText w:val="%3."/>
      <w:lvlJc w:val="right"/>
      <w:pPr>
        <w:ind w:left="1519" w:hanging="440"/>
      </w:pPr>
      <w:rPr>
        <w:rFonts w:ascii="Times New Roman" w:hAnsi="Times New Roman" w:cs="Times New Roman" w:hint="default"/>
      </w:rPr>
    </w:lvl>
    <w:lvl w:ilvl="3">
      <w:start w:val="1"/>
      <w:numFmt w:val="decimal"/>
      <w:lvlText w:val="%4."/>
      <w:lvlJc w:val="left"/>
      <w:pPr>
        <w:ind w:left="1959" w:hanging="440"/>
      </w:pPr>
      <w:rPr>
        <w:rFonts w:ascii="Times New Roman" w:hAnsi="Times New Roman" w:cs="Times New Roman" w:hint="default"/>
      </w:rPr>
    </w:lvl>
    <w:lvl w:ilvl="4">
      <w:start w:val="1"/>
      <w:numFmt w:val="lowerLetter"/>
      <w:lvlText w:val="%5)"/>
      <w:lvlJc w:val="left"/>
      <w:pPr>
        <w:ind w:left="2399" w:hanging="440"/>
      </w:pPr>
      <w:rPr>
        <w:rFonts w:ascii="Times New Roman" w:hAnsi="Times New Roman" w:cs="Times New Roman" w:hint="default"/>
      </w:rPr>
    </w:lvl>
    <w:lvl w:ilvl="5">
      <w:start w:val="1"/>
      <w:numFmt w:val="lowerRoman"/>
      <w:lvlText w:val="%6."/>
      <w:lvlJc w:val="right"/>
      <w:pPr>
        <w:ind w:left="2839" w:hanging="440"/>
      </w:pPr>
      <w:rPr>
        <w:rFonts w:ascii="Times New Roman" w:hAnsi="Times New Roman" w:cs="Times New Roman" w:hint="default"/>
      </w:rPr>
    </w:lvl>
    <w:lvl w:ilvl="6">
      <w:start w:val="1"/>
      <w:numFmt w:val="decimal"/>
      <w:lvlText w:val="%7."/>
      <w:lvlJc w:val="left"/>
      <w:pPr>
        <w:ind w:left="3279" w:hanging="440"/>
      </w:pPr>
      <w:rPr>
        <w:rFonts w:ascii="Times New Roman" w:hAnsi="Times New Roman" w:cs="Times New Roman" w:hint="default"/>
      </w:rPr>
    </w:lvl>
    <w:lvl w:ilvl="7">
      <w:start w:val="1"/>
      <w:numFmt w:val="lowerLetter"/>
      <w:lvlText w:val="%8)"/>
      <w:lvlJc w:val="left"/>
      <w:pPr>
        <w:ind w:left="3719" w:hanging="440"/>
      </w:pPr>
      <w:rPr>
        <w:rFonts w:ascii="Times New Roman" w:hAnsi="Times New Roman" w:cs="Times New Roman" w:hint="default"/>
      </w:rPr>
    </w:lvl>
    <w:lvl w:ilvl="8">
      <w:start w:val="1"/>
      <w:numFmt w:val="lowerRoman"/>
      <w:lvlText w:val="%9."/>
      <w:lvlJc w:val="right"/>
      <w:pPr>
        <w:ind w:left="4159" w:hanging="440"/>
      </w:pPr>
      <w:rPr>
        <w:rFonts w:ascii="Times New Roman" w:hAnsi="Times New Roman" w:cs="Times New Roman" w:hint="default"/>
      </w:rPr>
    </w:lvl>
  </w:abstractNum>
  <w:abstractNum w:abstractNumId="1" w15:restartNumberingAfterBreak="0">
    <w:nsid w:val="5852791F"/>
    <w:multiLevelType w:val="multilevel"/>
    <w:tmpl w:val="E1760098"/>
    <w:lvl w:ilvl="0">
      <w:start w:val="1"/>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998145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66874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E3F"/>
    <w:rsid w:val="00A0689E"/>
    <w:rsid w:val="00CF4E3F"/>
    <w:rsid w:val="00D75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CB29AC3"/>
  <w15:chartTrackingRefBased/>
  <w15:docId w15:val="{94B24591-9FCA-844D-8618-321F5751E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E3F"/>
    <w:pPr>
      <w:widowControl w:val="0"/>
      <w:spacing w:after="0" w:line="240" w:lineRule="auto"/>
      <w:jc w:val="both"/>
    </w:pPr>
    <w:rPr>
      <w:rFonts w:ascii="Calibri" w:eastAsia="宋体" w:hAnsi="Calibri" w:cs="Arial"/>
      <w:sz w:val="21"/>
      <w:szCs w:val="21"/>
      <w14:ligatures w14:val="none"/>
    </w:rPr>
  </w:style>
  <w:style w:type="paragraph" w:styleId="1">
    <w:name w:val="heading 1"/>
    <w:basedOn w:val="a"/>
    <w:next w:val="a"/>
    <w:link w:val="10"/>
    <w:uiPriority w:val="9"/>
    <w:qFormat/>
    <w:rsid w:val="00CF4E3F"/>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9"/>
    <w:unhideWhenUsed/>
    <w:qFormat/>
    <w:rsid w:val="00CF4E3F"/>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F4E3F"/>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F4E3F"/>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F4E3F"/>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F4E3F"/>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F4E3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F4E3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F4E3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4E3F"/>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9"/>
    <w:rsid w:val="00CF4E3F"/>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F4E3F"/>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F4E3F"/>
    <w:rPr>
      <w:rFonts w:cstheme="majorBidi"/>
      <w:color w:val="2F5496" w:themeColor="accent1" w:themeShade="BF"/>
      <w:sz w:val="28"/>
      <w:szCs w:val="28"/>
    </w:rPr>
  </w:style>
  <w:style w:type="character" w:customStyle="1" w:styleId="50">
    <w:name w:val="标题 5 字符"/>
    <w:basedOn w:val="a0"/>
    <w:link w:val="5"/>
    <w:uiPriority w:val="9"/>
    <w:semiHidden/>
    <w:rsid w:val="00CF4E3F"/>
    <w:rPr>
      <w:rFonts w:cstheme="majorBidi"/>
      <w:color w:val="2F5496" w:themeColor="accent1" w:themeShade="BF"/>
      <w:sz w:val="24"/>
    </w:rPr>
  </w:style>
  <w:style w:type="character" w:customStyle="1" w:styleId="60">
    <w:name w:val="标题 6 字符"/>
    <w:basedOn w:val="a0"/>
    <w:link w:val="6"/>
    <w:uiPriority w:val="9"/>
    <w:semiHidden/>
    <w:rsid w:val="00CF4E3F"/>
    <w:rPr>
      <w:rFonts w:cstheme="majorBidi"/>
      <w:b/>
      <w:bCs/>
      <w:color w:val="2F5496" w:themeColor="accent1" w:themeShade="BF"/>
    </w:rPr>
  </w:style>
  <w:style w:type="character" w:customStyle="1" w:styleId="70">
    <w:name w:val="标题 7 字符"/>
    <w:basedOn w:val="a0"/>
    <w:link w:val="7"/>
    <w:uiPriority w:val="9"/>
    <w:semiHidden/>
    <w:rsid w:val="00CF4E3F"/>
    <w:rPr>
      <w:rFonts w:cstheme="majorBidi"/>
      <w:b/>
      <w:bCs/>
      <w:color w:val="595959" w:themeColor="text1" w:themeTint="A6"/>
    </w:rPr>
  </w:style>
  <w:style w:type="character" w:customStyle="1" w:styleId="80">
    <w:name w:val="标题 8 字符"/>
    <w:basedOn w:val="a0"/>
    <w:link w:val="8"/>
    <w:uiPriority w:val="9"/>
    <w:semiHidden/>
    <w:rsid w:val="00CF4E3F"/>
    <w:rPr>
      <w:rFonts w:cstheme="majorBidi"/>
      <w:color w:val="595959" w:themeColor="text1" w:themeTint="A6"/>
    </w:rPr>
  </w:style>
  <w:style w:type="character" w:customStyle="1" w:styleId="90">
    <w:name w:val="标题 9 字符"/>
    <w:basedOn w:val="a0"/>
    <w:link w:val="9"/>
    <w:uiPriority w:val="9"/>
    <w:semiHidden/>
    <w:rsid w:val="00CF4E3F"/>
    <w:rPr>
      <w:rFonts w:eastAsiaTheme="majorEastAsia" w:cstheme="majorBidi"/>
      <w:color w:val="595959" w:themeColor="text1" w:themeTint="A6"/>
    </w:rPr>
  </w:style>
  <w:style w:type="paragraph" w:styleId="a3">
    <w:name w:val="Title"/>
    <w:basedOn w:val="a"/>
    <w:next w:val="a"/>
    <w:link w:val="a4"/>
    <w:uiPriority w:val="10"/>
    <w:qFormat/>
    <w:rsid w:val="00CF4E3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F4E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4E3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F4E3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4E3F"/>
    <w:pPr>
      <w:spacing w:before="160"/>
      <w:jc w:val="center"/>
    </w:pPr>
    <w:rPr>
      <w:i/>
      <w:iCs/>
      <w:color w:val="404040" w:themeColor="text1" w:themeTint="BF"/>
    </w:rPr>
  </w:style>
  <w:style w:type="character" w:customStyle="1" w:styleId="a8">
    <w:name w:val="引用 字符"/>
    <w:basedOn w:val="a0"/>
    <w:link w:val="a7"/>
    <w:uiPriority w:val="29"/>
    <w:rsid w:val="00CF4E3F"/>
    <w:rPr>
      <w:i/>
      <w:iCs/>
      <w:color w:val="404040" w:themeColor="text1" w:themeTint="BF"/>
    </w:rPr>
  </w:style>
  <w:style w:type="paragraph" w:styleId="a9">
    <w:name w:val="List Paragraph"/>
    <w:basedOn w:val="a"/>
    <w:uiPriority w:val="34"/>
    <w:qFormat/>
    <w:rsid w:val="00CF4E3F"/>
    <w:pPr>
      <w:ind w:left="720"/>
      <w:contextualSpacing/>
    </w:pPr>
  </w:style>
  <w:style w:type="character" w:styleId="aa">
    <w:name w:val="Intense Emphasis"/>
    <w:basedOn w:val="a0"/>
    <w:uiPriority w:val="21"/>
    <w:qFormat/>
    <w:rsid w:val="00CF4E3F"/>
    <w:rPr>
      <w:i/>
      <w:iCs/>
      <w:color w:val="2F5496" w:themeColor="accent1" w:themeShade="BF"/>
    </w:rPr>
  </w:style>
  <w:style w:type="paragraph" w:styleId="ab">
    <w:name w:val="Intense Quote"/>
    <w:basedOn w:val="a"/>
    <w:next w:val="a"/>
    <w:link w:val="ac"/>
    <w:uiPriority w:val="30"/>
    <w:qFormat/>
    <w:rsid w:val="00CF4E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F4E3F"/>
    <w:rPr>
      <w:i/>
      <w:iCs/>
      <w:color w:val="2F5496" w:themeColor="accent1" w:themeShade="BF"/>
    </w:rPr>
  </w:style>
  <w:style w:type="character" w:styleId="ad">
    <w:name w:val="Intense Reference"/>
    <w:basedOn w:val="a0"/>
    <w:uiPriority w:val="32"/>
    <w:qFormat/>
    <w:rsid w:val="00CF4E3F"/>
    <w:rPr>
      <w:b/>
      <w:bCs/>
      <w:smallCaps/>
      <w:color w:val="2F5496" w:themeColor="accent1" w:themeShade="BF"/>
      <w:spacing w:val="5"/>
    </w:rPr>
  </w:style>
  <w:style w:type="paragraph" w:customStyle="1" w:styleId="11">
    <w:name w:val="列表段落1"/>
    <w:basedOn w:val="a"/>
    <w:rsid w:val="00CF4E3F"/>
    <w:pPr>
      <w:ind w:firstLine="420"/>
    </w:pPr>
  </w:style>
  <w:style w:type="table" w:styleId="ae">
    <w:name w:val="Table Grid"/>
    <w:basedOn w:val="a1"/>
    <w:uiPriority w:val="99"/>
    <w:rsid w:val="00CF4E3F"/>
    <w:pPr>
      <w:widowControl w:val="0"/>
      <w:spacing w:after="0" w:line="240" w:lineRule="auto"/>
      <w:jc w:val="both"/>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833</Words>
  <Characters>4750</Characters>
  <Application>Microsoft Office Word</Application>
  <DocSecurity>0</DocSecurity>
  <Lines>39</Lines>
  <Paragraphs>11</Paragraphs>
  <ScaleCrop>false</ScaleCrop>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xu</dc:creator>
  <cp:keywords/>
  <dc:description/>
  <cp:lastModifiedBy>qin xu</cp:lastModifiedBy>
  <cp:revision>2</cp:revision>
  <dcterms:created xsi:type="dcterms:W3CDTF">2026-06-27T13:51:00Z</dcterms:created>
  <dcterms:modified xsi:type="dcterms:W3CDTF">2026-06-27T13:55:00Z</dcterms:modified>
</cp:coreProperties>
</file>