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E0" w:rsidRPr="00282DB0" w:rsidRDefault="000C58E0" w:rsidP="000C58E0">
      <w:pPr>
        <w:pStyle w:val="Papersection"/>
        <w:numPr>
          <w:ilvl w:val="0"/>
          <w:numId w:val="0"/>
        </w:numPr>
        <w:rPr>
          <w:color w:val="auto"/>
        </w:rPr>
      </w:pPr>
      <w:r w:rsidRPr="00282DB0">
        <w:rPr>
          <w:noProof/>
          <w:color w:val="auto"/>
          <w:lang w:val="tr-TR" w:eastAsia="tr-TR"/>
        </w:rPr>
        <w:drawing>
          <wp:inline distT="0" distB="0" distL="0" distR="0" wp14:anchorId="1450CA93" wp14:editId="7A782D36">
            <wp:extent cx="4822190" cy="2666637"/>
            <wp:effectExtent l="0" t="0" r="16510" b="635"/>
            <wp:docPr id="1829957283" name="Grafik 18299572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C58E0" w:rsidRPr="00282DB0" w:rsidRDefault="00CC24E2" w:rsidP="000C58E0">
      <w:pPr>
        <w:pStyle w:val="Papersection"/>
        <w:numPr>
          <w:ilvl w:val="0"/>
          <w:numId w:val="0"/>
        </w:numPr>
        <w:rPr>
          <w:b w:val="0"/>
          <w:bCs/>
          <w:color w:val="auto"/>
          <w:sz w:val="24"/>
          <w:szCs w:val="24"/>
          <w:lang w:val="en-GB"/>
        </w:rPr>
      </w:pPr>
      <w:r>
        <w:rPr>
          <w:color w:val="auto"/>
          <w:sz w:val="24"/>
          <w:szCs w:val="24"/>
        </w:rPr>
        <w:t xml:space="preserve">Supplementary </w:t>
      </w:r>
      <w:proofErr w:type="gramStart"/>
      <w:r w:rsidR="000C58E0" w:rsidRPr="00282DB0">
        <w:rPr>
          <w:color w:val="auto"/>
          <w:sz w:val="24"/>
          <w:szCs w:val="24"/>
        </w:rPr>
        <w:t>2</w:t>
      </w:r>
      <w:proofErr w:type="gramEnd"/>
      <w:r w:rsidR="000C58E0" w:rsidRPr="00282DB0">
        <w:rPr>
          <w:color w:val="auto"/>
          <w:sz w:val="24"/>
          <w:szCs w:val="24"/>
        </w:rPr>
        <w:t>.</w:t>
      </w:r>
      <w:r w:rsidR="000C58E0" w:rsidRPr="00282DB0">
        <w:rPr>
          <w:b w:val="0"/>
          <w:bCs/>
          <w:color w:val="auto"/>
          <w:sz w:val="24"/>
          <w:szCs w:val="24"/>
        </w:rPr>
        <w:t xml:space="preserve"> </w:t>
      </w:r>
      <w:r w:rsidR="000C58E0" w:rsidRPr="00282DB0">
        <w:rPr>
          <w:b w:val="0"/>
          <w:bCs/>
          <w:color w:val="auto"/>
          <w:sz w:val="24"/>
          <w:szCs w:val="24"/>
          <w:lang w:val="en-GB"/>
        </w:rPr>
        <w:t xml:space="preserve">The mortality percentages of </w:t>
      </w:r>
      <w:r w:rsidR="000C58E0" w:rsidRPr="00282DB0">
        <w:rPr>
          <w:b w:val="0"/>
          <w:bCs/>
          <w:i/>
          <w:color w:val="auto"/>
          <w:sz w:val="24"/>
          <w:szCs w:val="24"/>
          <w:lang w:val="en-GB"/>
        </w:rPr>
        <w:t xml:space="preserve">Aedes </w:t>
      </w:r>
      <w:proofErr w:type="spellStart"/>
      <w:r w:rsidR="000C58E0" w:rsidRPr="00282DB0">
        <w:rPr>
          <w:b w:val="0"/>
          <w:bCs/>
          <w:i/>
          <w:iCs/>
          <w:color w:val="auto"/>
          <w:sz w:val="24"/>
          <w:szCs w:val="24"/>
          <w:lang w:val="en-GB"/>
        </w:rPr>
        <w:t>aegypti</w:t>
      </w:r>
      <w:proofErr w:type="spellEnd"/>
      <w:r w:rsidR="000C58E0" w:rsidRPr="00282DB0">
        <w:rPr>
          <w:b w:val="0"/>
          <w:bCs/>
          <w:color w:val="auto"/>
          <w:sz w:val="24"/>
          <w:szCs w:val="24"/>
          <w:lang w:val="en-GB"/>
        </w:rPr>
        <w:t xml:space="preserve"> adults from the F2 generation in response to diagnostic dosages of </w:t>
      </w:r>
      <w:proofErr w:type="spellStart"/>
      <w:r w:rsidR="000C58E0" w:rsidRPr="00282DB0">
        <w:rPr>
          <w:b w:val="0"/>
          <w:bCs/>
          <w:color w:val="auto"/>
          <w:sz w:val="24"/>
          <w:szCs w:val="24"/>
          <w:lang w:val="en-GB"/>
        </w:rPr>
        <w:t>pyrethroids</w:t>
      </w:r>
      <w:proofErr w:type="spellEnd"/>
      <w:r w:rsidR="000C58E0" w:rsidRPr="00282DB0">
        <w:rPr>
          <w:b w:val="0"/>
          <w:bCs/>
          <w:color w:val="auto"/>
          <w:sz w:val="24"/>
          <w:szCs w:val="24"/>
          <w:lang w:val="en-GB"/>
        </w:rPr>
        <w:t xml:space="preserve"> and organochlorine</w:t>
      </w:r>
    </w:p>
    <w:p w:rsidR="00F05A7D" w:rsidRDefault="00F05A7D">
      <w:bookmarkStart w:id="0" w:name="_GoBack"/>
      <w:bookmarkEnd w:id="0"/>
    </w:p>
    <w:sectPr w:rsidR="00F05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9C"/>
    <w:rsid w:val="000C58E0"/>
    <w:rsid w:val="002D0A5B"/>
    <w:rsid w:val="00443C9C"/>
    <w:rsid w:val="005D6A9F"/>
    <w:rsid w:val="00630E48"/>
    <w:rsid w:val="00671E46"/>
    <w:rsid w:val="00783833"/>
    <w:rsid w:val="0084399C"/>
    <w:rsid w:val="00AE16AD"/>
    <w:rsid w:val="00C427E5"/>
    <w:rsid w:val="00CC24E2"/>
    <w:rsid w:val="00E90C9A"/>
    <w:rsid w:val="00ED25FB"/>
    <w:rsid w:val="00F05A7D"/>
    <w:rsid w:val="00F2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DB3F"/>
  <w15:chartTrackingRefBased/>
  <w15:docId w15:val="{83F6F384-07D0-41EB-8124-74EE158C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persection">
    <w:name w:val="Paper section"/>
    <w:next w:val="Normal"/>
    <w:qFormat/>
    <w:rsid w:val="000C58E0"/>
    <w:pPr>
      <w:numPr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kern w:val="0"/>
      <w:sz w:val="36"/>
      <w:lang w:val="en-US"/>
      <w14:ligatures w14:val="none"/>
    </w:rPr>
  </w:style>
  <w:style w:type="paragraph" w:customStyle="1" w:styleId="Papersubsection">
    <w:name w:val="Paper subsection"/>
    <w:next w:val="Normal"/>
    <w:qFormat/>
    <w:rsid w:val="000C58E0"/>
    <w:pPr>
      <w:numPr>
        <w:ilvl w:val="1"/>
        <w:numId w:val="1"/>
      </w:numPr>
      <w:spacing w:after="0" w:line="480" w:lineRule="auto"/>
    </w:pPr>
    <w:rPr>
      <w:rFonts w:ascii="Times New Roman" w:hAnsi="Times New Roman"/>
      <w:b/>
      <w:color w:val="000000" w:themeColor="text1"/>
      <w:kern w:val="0"/>
      <w:sz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Sayfa3!$S$5</c:f>
              <c:strCache>
                <c:ptCount val="1"/>
                <c:pt idx="0">
                  <c:v>Pazar</c:v>
                </c:pt>
              </c:strCache>
            </c:strRef>
          </c:tx>
          <c:spPr>
            <a:pattFill prst="pct30">
              <a:fgClr>
                <a:schemeClr val="tx1"/>
              </a:fgClr>
              <a:bgClr>
                <a:schemeClr val="bg1"/>
              </a:bgClr>
            </a:pattFill>
            <a:ln cmpd="sng">
              <a:noFill/>
              <a:prstDash val="lgDash"/>
            </a:ln>
            <a:effectLst/>
          </c:spPr>
          <c:invertIfNegative val="0"/>
          <c:cat>
            <c:strRef>
              <c:f>Sayfa3!$T$4:$Z$4</c:f>
              <c:strCache>
                <c:ptCount val="7"/>
                <c:pt idx="0">
                  <c:v>Permethrin</c:v>
                </c:pt>
                <c:pt idx="1">
                  <c:v>Deltamethrin</c:v>
                </c:pt>
                <c:pt idx="2">
                  <c:v>Cyfluthrin</c:v>
                </c:pt>
                <c:pt idx="3">
                  <c:v>L. cyhalothrin</c:v>
                </c:pt>
                <c:pt idx="4">
                  <c:v>Etofenprox</c:v>
                </c:pt>
                <c:pt idx="5">
                  <c:v>DDT</c:v>
                </c:pt>
                <c:pt idx="6">
                  <c:v>Dieldrin</c:v>
                </c:pt>
              </c:strCache>
            </c:strRef>
          </c:cat>
          <c:val>
            <c:numRef>
              <c:f>Sayfa3!$T$5:$Z$5</c:f>
              <c:numCache>
                <c:formatCode>General</c:formatCode>
                <c:ptCount val="7"/>
                <c:pt idx="0">
                  <c:v>98.6666666666667</c:v>
                </c:pt>
                <c:pt idx="1">
                  <c:v>95.666666666666671</c:v>
                </c:pt>
                <c:pt idx="2">
                  <c:v>99.1111111111111</c:v>
                </c:pt>
                <c:pt idx="3">
                  <c:v>99.555555555555557</c:v>
                </c:pt>
                <c:pt idx="4">
                  <c:v>99.444444444444443</c:v>
                </c:pt>
                <c:pt idx="5">
                  <c:v>97</c:v>
                </c:pt>
                <c:pt idx="6">
                  <c:v>98.555555555555557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02-418F-AA00-AC4614462458}"/>
            </c:ext>
          </c:extLst>
        </c:ser>
        <c:ser>
          <c:idx val="1"/>
          <c:order val="1"/>
          <c:tx>
            <c:strRef>
              <c:f>Sayfa3!$S$6</c:f>
              <c:strCache>
                <c:ptCount val="1"/>
                <c:pt idx="0">
                  <c:v>Ardeşen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accent2"/>
              </a:solidFill>
            </a:ln>
            <a:effectLst/>
          </c:spPr>
          <c:invertIfNegative val="0"/>
          <c:cat>
            <c:strRef>
              <c:f>Sayfa3!$T$4:$Z$4</c:f>
              <c:strCache>
                <c:ptCount val="7"/>
                <c:pt idx="0">
                  <c:v>Permethrin</c:v>
                </c:pt>
                <c:pt idx="1">
                  <c:v>Deltamethrin</c:v>
                </c:pt>
                <c:pt idx="2">
                  <c:v>Cyfluthrin</c:v>
                </c:pt>
                <c:pt idx="3">
                  <c:v>L. cyhalothrin</c:v>
                </c:pt>
                <c:pt idx="4">
                  <c:v>Etofenprox</c:v>
                </c:pt>
                <c:pt idx="5">
                  <c:v>DDT</c:v>
                </c:pt>
                <c:pt idx="6">
                  <c:v>Dieldrin</c:v>
                </c:pt>
              </c:strCache>
            </c:strRef>
          </c:cat>
          <c:val>
            <c:numRef>
              <c:f>Sayfa3!$T$6:$Z$6</c:f>
              <c:numCache>
                <c:formatCode>General</c:formatCode>
                <c:ptCount val="7"/>
                <c:pt idx="0">
                  <c:v>96.555555555555557</c:v>
                </c:pt>
                <c:pt idx="1">
                  <c:v>96.666666666666671</c:v>
                </c:pt>
                <c:pt idx="2">
                  <c:v>100</c:v>
                </c:pt>
                <c:pt idx="3">
                  <c:v>99.1111111111111</c:v>
                </c:pt>
                <c:pt idx="4">
                  <c:v>99.444444444444443</c:v>
                </c:pt>
                <c:pt idx="5">
                  <c:v>97.333333333333329</c:v>
                </c:pt>
                <c:pt idx="6">
                  <c:v>96.8888888888889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02-418F-AA00-AC4614462458}"/>
            </c:ext>
          </c:extLst>
        </c:ser>
        <c:ser>
          <c:idx val="2"/>
          <c:order val="2"/>
          <c:tx>
            <c:strRef>
              <c:f>Sayfa3!$S$7</c:f>
              <c:strCache>
                <c:ptCount val="1"/>
                <c:pt idx="0">
                  <c:v>Arhavi</c:v>
                </c:pt>
              </c:strCache>
            </c:strRef>
          </c:tx>
          <c:spPr>
            <a:pattFill prst="horzBri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accent3"/>
              </a:solidFill>
            </a:ln>
            <a:effectLst/>
          </c:spPr>
          <c:invertIfNegative val="0"/>
          <c:cat>
            <c:strRef>
              <c:f>Sayfa3!$T$4:$Z$4</c:f>
              <c:strCache>
                <c:ptCount val="7"/>
                <c:pt idx="0">
                  <c:v>Permethrin</c:v>
                </c:pt>
                <c:pt idx="1">
                  <c:v>Deltamethrin</c:v>
                </c:pt>
                <c:pt idx="2">
                  <c:v>Cyfluthrin</c:v>
                </c:pt>
                <c:pt idx="3">
                  <c:v>L. cyhalothrin</c:v>
                </c:pt>
                <c:pt idx="4">
                  <c:v>Etofenprox</c:v>
                </c:pt>
                <c:pt idx="5">
                  <c:v>DDT</c:v>
                </c:pt>
                <c:pt idx="6">
                  <c:v>Dieldrin</c:v>
                </c:pt>
              </c:strCache>
            </c:strRef>
          </c:cat>
          <c:val>
            <c:numRef>
              <c:f>Sayfa3!$T$7:$Z$7</c:f>
              <c:numCache>
                <c:formatCode>General</c:formatCode>
                <c:ptCount val="7"/>
                <c:pt idx="0">
                  <c:v>96.8888888888889</c:v>
                </c:pt>
                <c:pt idx="1">
                  <c:v>96</c:v>
                </c:pt>
                <c:pt idx="2">
                  <c:v>99.555555555555557</c:v>
                </c:pt>
                <c:pt idx="3">
                  <c:v>99.1111111111111</c:v>
                </c:pt>
                <c:pt idx="4">
                  <c:v>100</c:v>
                </c:pt>
                <c:pt idx="5">
                  <c:v>96.555555555555557</c:v>
                </c:pt>
                <c:pt idx="6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02-418F-AA00-AC4614462458}"/>
            </c:ext>
          </c:extLst>
        </c:ser>
        <c:ser>
          <c:idx val="3"/>
          <c:order val="3"/>
          <c:tx>
            <c:strRef>
              <c:f>Sayfa3!$S$8</c:f>
              <c:strCache>
                <c:ptCount val="1"/>
                <c:pt idx="0">
                  <c:v>Hopa</c:v>
                </c:pt>
              </c:strCache>
            </c:strRef>
          </c:tx>
          <c:spPr>
            <a:pattFill prst="lgGrid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accent4"/>
              </a:solidFill>
            </a:ln>
            <a:effectLst/>
          </c:spPr>
          <c:invertIfNegative val="0"/>
          <c:cat>
            <c:strRef>
              <c:f>Sayfa3!$T$4:$Z$4</c:f>
              <c:strCache>
                <c:ptCount val="7"/>
                <c:pt idx="0">
                  <c:v>Permethrin</c:v>
                </c:pt>
                <c:pt idx="1">
                  <c:v>Deltamethrin</c:v>
                </c:pt>
                <c:pt idx="2">
                  <c:v>Cyfluthrin</c:v>
                </c:pt>
                <c:pt idx="3">
                  <c:v>L. cyhalothrin</c:v>
                </c:pt>
                <c:pt idx="4">
                  <c:v>Etofenprox</c:v>
                </c:pt>
                <c:pt idx="5">
                  <c:v>DDT</c:v>
                </c:pt>
                <c:pt idx="6">
                  <c:v>Dieldrin</c:v>
                </c:pt>
              </c:strCache>
            </c:strRef>
          </c:cat>
          <c:val>
            <c:numRef>
              <c:f>Sayfa3!$T$8:$Z$8</c:f>
              <c:numCache>
                <c:formatCode>General</c:formatCode>
                <c:ptCount val="7"/>
                <c:pt idx="0">
                  <c:v>97.666666666666671</c:v>
                </c:pt>
                <c:pt idx="1">
                  <c:v>95.333333333333329</c:v>
                </c:pt>
                <c:pt idx="2">
                  <c:v>98.666666666666671</c:v>
                </c:pt>
                <c:pt idx="3">
                  <c:v>100</c:v>
                </c:pt>
                <c:pt idx="4">
                  <c:v>99.8888888888889</c:v>
                </c:pt>
                <c:pt idx="5">
                  <c:v>97</c:v>
                </c:pt>
                <c:pt idx="6">
                  <c:v>99.666666666666671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02-418F-AA00-AC4614462458}"/>
            </c:ext>
          </c:extLst>
        </c:ser>
        <c:ser>
          <c:idx val="4"/>
          <c:order val="4"/>
          <c:tx>
            <c:strRef>
              <c:f>Sayfa3!$S$9</c:f>
              <c:strCache>
                <c:ptCount val="1"/>
                <c:pt idx="0">
                  <c:v>Lab strain</c:v>
                </c:pt>
              </c:strCache>
            </c:strRef>
          </c:tx>
          <c:spPr>
            <a:pattFill prst="weave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accent5"/>
              </a:solidFill>
            </a:ln>
            <a:effectLst/>
          </c:spPr>
          <c:invertIfNegative val="0"/>
          <c:cat>
            <c:strRef>
              <c:f>Sayfa3!$T$4:$Z$4</c:f>
              <c:strCache>
                <c:ptCount val="7"/>
                <c:pt idx="0">
                  <c:v>Permethrin</c:v>
                </c:pt>
                <c:pt idx="1">
                  <c:v>Deltamethrin</c:v>
                </c:pt>
                <c:pt idx="2">
                  <c:v>Cyfluthrin</c:v>
                </c:pt>
                <c:pt idx="3">
                  <c:v>L. cyhalothrin</c:v>
                </c:pt>
                <c:pt idx="4">
                  <c:v>Etofenprox</c:v>
                </c:pt>
                <c:pt idx="5">
                  <c:v>DDT</c:v>
                </c:pt>
                <c:pt idx="6">
                  <c:v>Dieldrin</c:v>
                </c:pt>
              </c:strCache>
            </c:strRef>
          </c:cat>
          <c:val>
            <c:numRef>
              <c:f>Sayfa3!$T$9:$Z$9</c:f>
              <c:numCache>
                <c:formatCode>General</c:formatCode>
                <c:ptCount val="7"/>
                <c:pt idx="0">
                  <c:v>100</c:v>
                </c:pt>
                <c:pt idx="1">
                  <c:v>99.555555555555557</c:v>
                </c:pt>
                <c:pt idx="2">
                  <c:v>100</c:v>
                </c:pt>
                <c:pt idx="3">
                  <c:v>99.1111111111111</c:v>
                </c:pt>
                <c:pt idx="4">
                  <c:v>99.8888888888889</c:v>
                </c:pt>
                <c:pt idx="5">
                  <c:v>98.1111111111111</c:v>
                </c:pt>
                <c:pt idx="6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02-418F-AA00-AC46144624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98886159"/>
        <c:axId val="2098892399"/>
      </c:barChart>
      <c:catAx>
        <c:axId val="20988861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98892399"/>
        <c:crosses val="autoZero"/>
        <c:auto val="1"/>
        <c:lblAlgn val="ctr"/>
        <c:lblOffset val="100"/>
        <c:noMultiLvlLbl val="0"/>
      </c:catAx>
      <c:valAx>
        <c:axId val="2098892399"/>
        <c:scaling>
          <c:orientation val="minMax"/>
          <c:max val="100"/>
          <c:min val="90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988861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  <cs:bodyPr rot="-60000000" vert="horz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  <cs:bodyPr rot="0" vert="horz"/>
  </cs:title>
  <cs:trendline>
    <cs:lnRef idx="0"/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lenovo2022</dc:creator>
  <cp:keywords/>
  <dc:description/>
  <cp:lastModifiedBy>lenovo2022</cp:lastModifiedBy>
  <cp:revision>4</cp:revision>
  <dcterms:created xsi:type="dcterms:W3CDTF">2025-05-21T11:39:00Z</dcterms:created>
  <dcterms:modified xsi:type="dcterms:W3CDTF">2025-06-23T12:06:00Z</dcterms:modified>
</cp:coreProperties>
</file>