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341" w:rsidRPr="00BC0897" w:rsidRDefault="00155341" w:rsidP="00155341">
      <w:pPr>
        <w:pStyle w:val="MDPI12title"/>
        <w:spacing w:line="360" w:lineRule="auto"/>
        <w:rPr>
          <w:rFonts w:ascii="Times New Roman" w:eastAsia="SimSun" w:hAnsi="Times New Roman"/>
          <w:color w:val="auto"/>
          <w:sz w:val="20"/>
        </w:rPr>
      </w:pPr>
      <w:r w:rsidRPr="00BC0897">
        <w:rPr>
          <w:rFonts w:ascii="Times New Roman" w:eastAsia="SimSun" w:hAnsi="Times New Roman"/>
          <w:color w:val="auto"/>
          <w:sz w:val="20"/>
        </w:rPr>
        <w:t>Genetics and phenotypic heterogeneity of Dent disease: the dark side of the moon</w:t>
      </w:r>
    </w:p>
    <w:p w:rsidR="00155341" w:rsidRPr="00BC0897" w:rsidRDefault="00155341" w:rsidP="00155341">
      <w:pPr>
        <w:pStyle w:val="MDPI13authornames"/>
        <w:spacing w:line="480" w:lineRule="auto"/>
        <w:rPr>
          <w:rFonts w:ascii="Times New Roman" w:eastAsia="SimSun" w:hAnsi="Times New Roman"/>
          <w:b w:val="0"/>
          <w:color w:val="auto"/>
          <w:szCs w:val="20"/>
          <w:lang w:val="it-IT"/>
        </w:rPr>
      </w:pPr>
      <w:r w:rsidRPr="00BC0897">
        <w:rPr>
          <w:rFonts w:ascii="Times New Roman" w:eastAsia="SimSun" w:hAnsi="Times New Roman"/>
          <w:b w:val="0"/>
          <w:color w:val="auto"/>
          <w:szCs w:val="20"/>
          <w:lang w:val="it-IT"/>
        </w:rPr>
        <w:t>Human Genetics</w:t>
      </w:r>
    </w:p>
    <w:p w:rsidR="00155341" w:rsidRPr="00BC0897" w:rsidRDefault="00155341" w:rsidP="00155341">
      <w:pPr>
        <w:pStyle w:val="MDPI13authornames"/>
        <w:spacing w:line="480" w:lineRule="auto"/>
        <w:rPr>
          <w:rFonts w:ascii="Times New Roman" w:eastAsia="SimSun" w:hAnsi="Times New Roman"/>
          <w:b w:val="0"/>
          <w:color w:val="auto"/>
          <w:szCs w:val="20"/>
          <w:lang w:val="it-IT"/>
        </w:rPr>
      </w:pPr>
      <w:r w:rsidRPr="00BC0897">
        <w:rPr>
          <w:rFonts w:ascii="Times New Roman" w:eastAsia="SimSun" w:hAnsi="Times New Roman"/>
          <w:b w:val="0"/>
          <w:color w:val="auto"/>
          <w:szCs w:val="20"/>
          <w:lang w:val="it-IT"/>
        </w:rPr>
        <w:t xml:space="preserve">Lisa Gianesello, Dorella Del Prete, Franca </w:t>
      </w:r>
      <w:proofErr w:type="spellStart"/>
      <w:r w:rsidRPr="00BC0897">
        <w:rPr>
          <w:rFonts w:ascii="Times New Roman" w:eastAsia="SimSun" w:hAnsi="Times New Roman"/>
          <w:b w:val="0"/>
          <w:color w:val="auto"/>
          <w:szCs w:val="20"/>
          <w:lang w:val="it-IT"/>
        </w:rPr>
        <w:t>Anglani</w:t>
      </w:r>
      <w:proofErr w:type="spellEnd"/>
      <w:r w:rsidRPr="00BC0897">
        <w:rPr>
          <w:rFonts w:ascii="Times New Roman" w:eastAsia="SimSun" w:hAnsi="Times New Roman"/>
          <w:b w:val="0"/>
          <w:color w:val="auto"/>
          <w:szCs w:val="20"/>
          <w:lang w:val="it-IT"/>
        </w:rPr>
        <w:t>*, Lorenzo A. Calò</w:t>
      </w:r>
    </w:p>
    <w:p w:rsidR="00155341" w:rsidRPr="00BC0897" w:rsidRDefault="00155341" w:rsidP="00155341">
      <w:pPr>
        <w:spacing w:line="480" w:lineRule="auto"/>
        <w:jc w:val="both"/>
        <w:rPr>
          <w:rFonts w:ascii="Times New Roman" w:eastAsia="SimSun" w:hAnsi="Times New Roman" w:cs="Times New Roman"/>
          <w:i/>
          <w:snapToGrid w:val="0"/>
          <w:sz w:val="20"/>
          <w:szCs w:val="20"/>
          <w:lang w:val="en-US" w:eastAsia="de-DE" w:bidi="en-US"/>
        </w:rPr>
      </w:pPr>
      <w:r w:rsidRPr="00BC0897">
        <w:rPr>
          <w:rFonts w:ascii="Times New Roman" w:eastAsia="SimSun" w:hAnsi="Times New Roman" w:cs="Times New Roman"/>
          <w:i/>
          <w:sz w:val="20"/>
          <w:szCs w:val="20"/>
          <w:lang w:val="en-US" w:eastAsia="de-DE" w:bidi="en-US"/>
        </w:rPr>
        <w:t xml:space="preserve">Nephrology, Dialysis and Transplantation Unit, Kidney Histomorphology and Molecular Biology Laboratory, </w:t>
      </w:r>
      <w:r w:rsidRPr="00BC0897">
        <w:rPr>
          <w:rFonts w:ascii="Times New Roman" w:eastAsia="SimSun" w:hAnsi="Times New Roman" w:cs="Times New Roman"/>
          <w:i/>
          <w:snapToGrid w:val="0"/>
          <w:sz w:val="20"/>
          <w:szCs w:val="20"/>
          <w:lang w:val="en-US" w:eastAsia="de-DE" w:bidi="en-US"/>
        </w:rPr>
        <w:t>Department of Medicine – DIMED, University of Padua, Padua, Italy</w:t>
      </w:r>
    </w:p>
    <w:p w:rsidR="00155341" w:rsidRPr="00BC0897" w:rsidRDefault="00155341" w:rsidP="00155341">
      <w:pPr>
        <w:spacing w:line="480" w:lineRule="auto"/>
        <w:jc w:val="both"/>
        <w:rPr>
          <w:rFonts w:ascii="Times New Roman" w:eastAsia="SimSun" w:hAnsi="Times New Roman" w:cs="Times New Roman"/>
          <w:snapToGrid w:val="0"/>
          <w:sz w:val="20"/>
          <w:szCs w:val="20"/>
          <w:lang w:val="en-US" w:eastAsia="de-DE" w:bidi="en-US"/>
        </w:rPr>
      </w:pPr>
    </w:p>
    <w:p w:rsidR="00155341" w:rsidRPr="00BC0897" w:rsidRDefault="00155341" w:rsidP="00155341">
      <w:pPr>
        <w:adjustRightInd w:val="0"/>
        <w:snapToGrid w:val="0"/>
        <w:spacing w:line="480" w:lineRule="auto"/>
        <w:rPr>
          <w:rFonts w:ascii="Times New Roman" w:eastAsia="SimSun" w:hAnsi="Times New Roman" w:cs="Times New Roman"/>
          <w:sz w:val="20"/>
          <w:szCs w:val="20"/>
          <w:lang w:val="en-US" w:eastAsia="de-DE" w:bidi="en-US"/>
        </w:rPr>
      </w:pPr>
      <w:r w:rsidRPr="00BC0897">
        <w:rPr>
          <w:rFonts w:ascii="Times New Roman" w:eastAsia="SimSun" w:hAnsi="Times New Roman" w:cs="Times New Roman"/>
          <w:sz w:val="20"/>
          <w:szCs w:val="20"/>
          <w:lang w:val="en-US" w:eastAsia="de-DE" w:bidi="en-US"/>
        </w:rPr>
        <w:t>*Corresponding author:</w:t>
      </w:r>
    </w:p>
    <w:p w:rsidR="00155341" w:rsidRPr="00BC0897" w:rsidRDefault="00155341" w:rsidP="00155341">
      <w:pPr>
        <w:adjustRightInd w:val="0"/>
        <w:snapToGrid w:val="0"/>
        <w:spacing w:line="480" w:lineRule="auto"/>
        <w:rPr>
          <w:rFonts w:ascii="Times New Roman" w:eastAsia="SimSun" w:hAnsi="Times New Roman" w:cs="Times New Roman"/>
          <w:sz w:val="20"/>
          <w:szCs w:val="20"/>
          <w:lang w:val="en-US" w:eastAsia="de-DE" w:bidi="en-US"/>
        </w:rPr>
      </w:pPr>
      <w:r w:rsidRPr="00BC0897">
        <w:rPr>
          <w:rFonts w:ascii="Times New Roman" w:eastAsia="SimSun" w:hAnsi="Times New Roman" w:cs="Times New Roman"/>
          <w:sz w:val="20"/>
          <w:szCs w:val="20"/>
          <w:lang w:val="en-US" w:eastAsia="de-DE" w:bidi="en-US"/>
        </w:rPr>
        <w:t xml:space="preserve">Dr. Franca </w:t>
      </w:r>
      <w:proofErr w:type="spellStart"/>
      <w:r w:rsidRPr="00BC0897">
        <w:rPr>
          <w:rFonts w:ascii="Times New Roman" w:eastAsia="SimSun" w:hAnsi="Times New Roman" w:cs="Times New Roman"/>
          <w:sz w:val="20"/>
          <w:szCs w:val="20"/>
          <w:lang w:val="en-US" w:eastAsia="de-DE" w:bidi="en-US"/>
        </w:rPr>
        <w:t>Anglani</w:t>
      </w:r>
      <w:proofErr w:type="spellEnd"/>
    </w:p>
    <w:p w:rsidR="00155341" w:rsidRPr="00BC0897" w:rsidRDefault="00155341" w:rsidP="00155341">
      <w:pPr>
        <w:adjustRightInd w:val="0"/>
        <w:snapToGrid w:val="0"/>
        <w:spacing w:line="480" w:lineRule="auto"/>
        <w:rPr>
          <w:rFonts w:ascii="Times New Roman" w:eastAsia="SimSun" w:hAnsi="Times New Roman" w:cs="Times New Roman"/>
          <w:sz w:val="20"/>
          <w:szCs w:val="20"/>
          <w:lang w:val="en-US" w:eastAsia="de-DE" w:bidi="en-US"/>
        </w:rPr>
      </w:pPr>
      <w:r w:rsidRPr="00BC0897">
        <w:rPr>
          <w:rFonts w:ascii="Times New Roman" w:eastAsia="SimSun" w:hAnsi="Times New Roman" w:cs="Times New Roman"/>
          <w:sz w:val="20"/>
          <w:szCs w:val="20"/>
          <w:lang w:val="en-US" w:eastAsia="de-DE" w:bidi="en-US"/>
        </w:rPr>
        <w:t xml:space="preserve">Nephrology, Dialysis and Transplantation Unit, Kidney Histomorphology and Molecular Biology Laboratory, Department of Medicine – DIMED, University of Padua, Via </w:t>
      </w:r>
      <w:proofErr w:type="spellStart"/>
      <w:r w:rsidRPr="00BC0897">
        <w:rPr>
          <w:rFonts w:ascii="Times New Roman" w:eastAsia="SimSun" w:hAnsi="Times New Roman" w:cs="Times New Roman"/>
          <w:sz w:val="20"/>
          <w:szCs w:val="20"/>
          <w:lang w:val="en-US" w:eastAsia="de-DE" w:bidi="en-US"/>
        </w:rPr>
        <w:t>Giustiniani</w:t>
      </w:r>
      <w:proofErr w:type="spellEnd"/>
      <w:r w:rsidRPr="00BC0897">
        <w:rPr>
          <w:rFonts w:ascii="Times New Roman" w:eastAsia="SimSun" w:hAnsi="Times New Roman" w:cs="Times New Roman"/>
          <w:sz w:val="20"/>
          <w:szCs w:val="20"/>
          <w:lang w:val="en-US" w:eastAsia="de-DE" w:bidi="en-US"/>
        </w:rPr>
        <w:t xml:space="preserve"> n° 2, 35128 </w:t>
      </w:r>
      <w:proofErr w:type="spellStart"/>
      <w:r w:rsidRPr="00BC0897">
        <w:rPr>
          <w:rFonts w:ascii="Times New Roman" w:eastAsia="SimSun" w:hAnsi="Times New Roman" w:cs="Times New Roman"/>
          <w:sz w:val="20"/>
          <w:szCs w:val="20"/>
          <w:lang w:val="en-US" w:eastAsia="de-DE" w:bidi="en-US"/>
        </w:rPr>
        <w:t>Padova</w:t>
      </w:r>
      <w:proofErr w:type="spellEnd"/>
      <w:r w:rsidRPr="00BC0897">
        <w:rPr>
          <w:rFonts w:ascii="Times New Roman" w:eastAsia="SimSun" w:hAnsi="Times New Roman" w:cs="Times New Roman"/>
          <w:sz w:val="20"/>
          <w:szCs w:val="20"/>
          <w:lang w:val="en-US" w:eastAsia="de-DE" w:bidi="en-US"/>
        </w:rPr>
        <w:t xml:space="preserve"> (Italy), phone: +390498212155, email: franca.anglani@unipd.it</w:t>
      </w:r>
    </w:p>
    <w:p w:rsidR="00155341" w:rsidRPr="00BC0897" w:rsidRDefault="00155341">
      <w:pPr>
        <w:spacing w:after="200" w:line="276" w:lineRule="auto"/>
        <w:rPr>
          <w:rFonts w:ascii="Times New Roman" w:hAnsi="Times New Roman" w:cs="Times New Roman"/>
          <w:b/>
          <w:sz w:val="20"/>
          <w:szCs w:val="20"/>
          <w:lang w:val="en-US"/>
        </w:rPr>
      </w:pPr>
    </w:p>
    <w:p w:rsidR="00155341" w:rsidRPr="00BC0897" w:rsidRDefault="00155341">
      <w:pPr>
        <w:spacing w:after="200" w:line="276" w:lineRule="auto"/>
        <w:rPr>
          <w:rFonts w:ascii="Times New Roman" w:hAnsi="Times New Roman" w:cs="Times New Roman"/>
          <w:b/>
          <w:sz w:val="20"/>
          <w:szCs w:val="20"/>
          <w:lang w:val="en-US"/>
        </w:rPr>
      </w:pPr>
      <w:r w:rsidRPr="00BC0897">
        <w:rPr>
          <w:rFonts w:ascii="Times New Roman" w:hAnsi="Times New Roman" w:cs="Times New Roman"/>
          <w:b/>
          <w:sz w:val="20"/>
          <w:szCs w:val="20"/>
          <w:lang w:val="en-US"/>
        </w:rPr>
        <w:br w:type="page"/>
      </w:r>
    </w:p>
    <w:p w:rsidR="00FD0C14" w:rsidRPr="00BC0897" w:rsidRDefault="00FD0C14" w:rsidP="00FD0C14">
      <w:pPr>
        <w:spacing w:line="240" w:lineRule="auto"/>
        <w:rPr>
          <w:rFonts w:ascii="Times New Roman" w:hAnsi="Times New Roman" w:cs="Times New Roman"/>
          <w:b/>
          <w:sz w:val="20"/>
          <w:szCs w:val="20"/>
          <w:lang w:val="en-US"/>
        </w:rPr>
      </w:pPr>
      <w:r w:rsidRPr="00BC0897">
        <w:rPr>
          <w:rFonts w:ascii="Times New Roman" w:hAnsi="Times New Roman" w:cs="Times New Roman"/>
          <w:b/>
          <w:sz w:val="20"/>
          <w:szCs w:val="20"/>
          <w:lang w:val="en-US"/>
        </w:rPr>
        <w:lastRenderedPageBreak/>
        <w:t xml:space="preserve">Supplementary Table 1: </w:t>
      </w:r>
      <w:r w:rsidRPr="00BC0897">
        <w:rPr>
          <w:rFonts w:ascii="Times New Roman" w:hAnsi="Times New Roman" w:cs="Times New Roman"/>
          <w:sz w:val="20"/>
          <w:szCs w:val="20"/>
          <w:lang w:val="en-US"/>
        </w:rPr>
        <w:t xml:space="preserve">Experimental </w:t>
      </w:r>
      <w:r w:rsidR="00660F36" w:rsidRPr="00BC0897">
        <w:rPr>
          <w:rFonts w:ascii="Times New Roman" w:hAnsi="Times New Roman" w:cs="Times New Roman"/>
          <w:i/>
          <w:sz w:val="20"/>
          <w:szCs w:val="20"/>
          <w:lang w:val="en-US"/>
        </w:rPr>
        <w:t>in vitro</w:t>
      </w:r>
      <w:r w:rsidR="00660F36" w:rsidRPr="00BC0897">
        <w:rPr>
          <w:rFonts w:ascii="Times New Roman" w:hAnsi="Times New Roman" w:cs="Times New Roman"/>
          <w:sz w:val="20"/>
          <w:szCs w:val="20"/>
          <w:lang w:val="en-US"/>
        </w:rPr>
        <w:t xml:space="preserve"> </w:t>
      </w:r>
      <w:r w:rsidRPr="00BC0897">
        <w:rPr>
          <w:rFonts w:ascii="Times New Roman" w:hAnsi="Times New Roman" w:cs="Times New Roman"/>
          <w:sz w:val="20"/>
          <w:szCs w:val="20"/>
          <w:lang w:val="en-US"/>
        </w:rPr>
        <w:t>data on ClC-5 mutant proteins</w:t>
      </w:r>
    </w:p>
    <w:tbl>
      <w:tblPr>
        <w:tblStyle w:val="Grigliatabella"/>
        <w:tblW w:w="14567" w:type="dxa"/>
        <w:tblLayout w:type="fixed"/>
        <w:tblLook w:val="04A0" w:firstRow="1" w:lastRow="0" w:firstColumn="1" w:lastColumn="0" w:noHBand="0" w:noVBand="1"/>
      </w:tblPr>
      <w:tblGrid>
        <w:gridCol w:w="1144"/>
        <w:gridCol w:w="1941"/>
        <w:gridCol w:w="1276"/>
        <w:gridCol w:w="1276"/>
        <w:gridCol w:w="4252"/>
        <w:gridCol w:w="2410"/>
        <w:gridCol w:w="2268"/>
      </w:tblGrid>
      <w:tr w:rsidR="00E26333" w:rsidRPr="00BC0897" w:rsidTr="00925F4B">
        <w:trPr>
          <w:trHeight w:val="600"/>
        </w:trPr>
        <w:tc>
          <w:tcPr>
            <w:tcW w:w="1144" w:type="dxa"/>
            <w:hideMark/>
          </w:tcPr>
          <w:p w:rsidR="00E26333" w:rsidRPr="00BC0897" w:rsidRDefault="00E26333" w:rsidP="00C228AD">
            <w:pPr>
              <w:spacing w:after="0"/>
              <w:jc w:val="both"/>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Type</w:t>
            </w:r>
          </w:p>
        </w:tc>
        <w:tc>
          <w:tcPr>
            <w:tcW w:w="1941" w:type="dxa"/>
            <w:hideMark/>
          </w:tcPr>
          <w:p w:rsidR="00E26333" w:rsidRPr="00BC0897" w:rsidRDefault="00E26333" w:rsidP="00C228AD">
            <w:pPr>
              <w:spacing w:after="0"/>
              <w:jc w:val="both"/>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Mutation</w:t>
            </w:r>
          </w:p>
        </w:tc>
        <w:tc>
          <w:tcPr>
            <w:tcW w:w="1276" w:type="dxa"/>
            <w:hideMark/>
          </w:tcPr>
          <w:p w:rsidR="00E26333" w:rsidRPr="00BC0897" w:rsidRDefault="00E26333" w:rsidP="00C228AD">
            <w:pPr>
              <w:spacing w:after="0"/>
              <w:jc w:val="both"/>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Chloride current</w:t>
            </w:r>
          </w:p>
        </w:tc>
        <w:tc>
          <w:tcPr>
            <w:tcW w:w="1276" w:type="dxa"/>
            <w:hideMark/>
          </w:tcPr>
          <w:p w:rsidR="00E26333" w:rsidRPr="00BC0897" w:rsidRDefault="00E26333" w:rsidP="00C228AD">
            <w:pPr>
              <w:spacing w:after="0"/>
              <w:jc w:val="both"/>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Plasma membrane expression</w:t>
            </w:r>
          </w:p>
        </w:tc>
        <w:tc>
          <w:tcPr>
            <w:tcW w:w="4252" w:type="dxa"/>
            <w:hideMark/>
          </w:tcPr>
          <w:p w:rsidR="00E26333" w:rsidRPr="00BC0897" w:rsidRDefault="00E26333" w:rsidP="00C228AD">
            <w:pPr>
              <w:spacing w:after="0"/>
              <w:jc w:val="both"/>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Other observations</w:t>
            </w:r>
          </w:p>
        </w:tc>
        <w:tc>
          <w:tcPr>
            <w:tcW w:w="2410" w:type="dxa"/>
            <w:hideMark/>
          </w:tcPr>
          <w:p w:rsidR="00E26333" w:rsidRPr="00BC0897" w:rsidRDefault="00E26333" w:rsidP="00C228AD">
            <w:pPr>
              <w:spacing w:after="0"/>
              <w:jc w:val="both"/>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Biological system</w:t>
            </w:r>
          </w:p>
        </w:tc>
        <w:tc>
          <w:tcPr>
            <w:tcW w:w="2268" w:type="dxa"/>
            <w:hideMark/>
          </w:tcPr>
          <w:p w:rsidR="00E26333" w:rsidRPr="00BC0897" w:rsidRDefault="00E26333" w:rsidP="00C228AD">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Ref</w:t>
            </w:r>
          </w:p>
        </w:tc>
      </w:tr>
      <w:tr w:rsidR="00E26333" w:rsidRPr="002212C2" w:rsidTr="00925F4B">
        <w:trPr>
          <w:trHeight w:val="855"/>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deletion</w:t>
            </w:r>
          </w:p>
        </w:tc>
        <w:tc>
          <w:tcPr>
            <w:tcW w:w="1941"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c.del132-241</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reduction in albumin and transferrin uptake, complete disruption of receptor-mediated endocytosis, defective endosomal acidification</w:t>
            </w: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Proximal epithelial tubular cells from urine of DD1 patients</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{"citationID":"6H1Baigk","properties":{"formattedCitation":"(Gorvin et al. 2013)","plainCitation":"(Gorvin et al. 2013)","noteIndex":0},"citationItems":[{"id":460,"uris":["http://zotero.org/users/local/jkkvYBSC/items/B3YFKVY2"],"uri":["http://zotero.org/users/local/jkkvYBSC/items/B3YFKVY2"],"itemData":{"id":460,"type":"article-journal","abstract":"Receptor-mediated endocytosis, involving megalin and cubilin, mediates renal proximal-tubular reabsorption and is decreased in Dent disease because of mutations of the chloride/proton antiporter, chloride channel-5 (CLC-5), resulting in low-molecular-weight proteinuria, hypercalciuria, nephrolithiasis, and renal failure. To facilitate studies of receptor-mediated endocytosis and the role of CLC-5, we established conditionally immortalized proximal-tubular epithelial cell lines (ciPTECs) from three patients with CLC-5 mutations (30:insH, R637X, and del132-241) and a normal male. Confocal microscopy using the tight junction marker zona occludens-1 (ZO-1) and end-binding protein-1 (EB-1), which is specific for the plus end of microtubules demonstrated that the ciPTECs polarized. Receptor-mediated endocytic uptake of fluorescent albumin and transferrin in 30:insH and R637X ciPTECs was significantly decreased, compared with normal ciPTECs, and could be further reduced by competition with 10-fold excess of unlabeled albumin and transferrin, whereas in the del132-241 ciPTEC, receptor-mediated endocytic uptake was abolished. Investigation of endosomal acidification by live-cell imaging of pHluorin-VAMP2 (vesicle-associated membrane protein-2), a pH-sensitive-GFP construct, revealed that the endosomal pH in normal and 30:insH ciPTECs was similar, whereas in del132-241 and R637X ciPTECs, it was significantly more alkaline, indicating defective acidification in these ciPTECs. The addition of bafilomycin-A1, a V-ATPase inhibitor, raised the pH significantly in all ciPTECs, demonstrating that the differences in acidification were not due to alterations in the V-ATPase, but instead to abnormalities of CLC-5. Thus, our studies, which have established human Dent disease ciPTECs that will facilitate studies of mechanisms in renal reabsorption, demonstrate that Dent disease-causing CLC-5 mutations have differing effects on endosomal acidification and receptor-mediated endocytosis that may not be coupled.","container-title":"Proceedings of the National Academy of Sciences of the United States of America","DOI":"10.1073/pnas.1302063110","ISSN":"1091-6490","issue":"17","journalAbbreviation":"Proc. Natl. Acad. Sci. U.S.A.","language":"eng","note":"PMID: 23572577\nPMCID: PMC3637698","page":"7014-7019","source":"PubMed","title":"Receptor-mediated endocytosis and endosomal acidification is impaired in proximal tubule epithelial cells of Dent disease patients","volume":"110","author":[{"family":"Gorvin","given":"Caroline M."},{"family":"Wilmer","given":"Martijn J."},{"family":"Piret","given":"Sian E."},{"family":"Harding","given":"Brian"},{"family":"Heuvel","given":"Lambertus P.","non-dropping-particle":"van den"},{"family":"Wrong","given":"Oliver"},{"family":"Jat","given":"Parmjit S."},{"family":"Lippiat","given":"Jonathan D."},{"family":"Levtchenko","given":"Elena N."},{"family":"Thakker","given":"Rajesh V."}],"issued":{"date-parts":[["2013",4,23]]}}}],"schema":"https://github.com/citation-style-language/schema/raw/master/csl-citation.json"}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lang w:val="en-US"/>
              </w:rPr>
              <w:t>(Gorvin et al. 2013)</w:t>
            </w:r>
            <w:r w:rsidRPr="00BC0897">
              <w:rPr>
                <w:rFonts w:ascii="Times New Roman" w:hAnsi="Times New Roman" w:cs="Times New Roman"/>
                <w:bCs/>
                <w:sz w:val="20"/>
                <w:szCs w:val="20"/>
                <w:lang w:val="en-US"/>
              </w:rPr>
              <w:fldChar w:fldCharType="end"/>
            </w:r>
          </w:p>
        </w:tc>
      </w:tr>
      <w:tr w:rsidR="002E3446" w:rsidRPr="00BC0897" w:rsidTr="00925F4B">
        <w:trPr>
          <w:trHeight w:val="855"/>
        </w:trPr>
        <w:tc>
          <w:tcPr>
            <w:tcW w:w="1144" w:type="dxa"/>
            <w:noWrap/>
            <w:hideMark/>
          </w:tcPr>
          <w:p w:rsidR="002E3446" w:rsidRPr="00BC0897" w:rsidRDefault="002E3446"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frameshift</w:t>
            </w:r>
          </w:p>
        </w:tc>
        <w:tc>
          <w:tcPr>
            <w:tcW w:w="1941" w:type="dxa"/>
            <w:noWrap/>
            <w:hideMark/>
          </w:tcPr>
          <w:p w:rsidR="002E3446" w:rsidRPr="00BC0897" w:rsidRDefault="00690C2C"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p.Trp17</w:t>
            </w:r>
            <w:r w:rsidR="002E3446" w:rsidRPr="00BC0897">
              <w:rPr>
                <w:rFonts w:ascii="Times New Roman" w:hAnsi="Times New Roman" w:cs="Times New Roman"/>
                <w:bCs/>
                <w:sz w:val="20"/>
                <w:szCs w:val="20"/>
                <w:lang w:val="en-US"/>
              </w:rPr>
              <w:t>3*</w:t>
            </w:r>
          </w:p>
        </w:tc>
        <w:tc>
          <w:tcPr>
            <w:tcW w:w="1276" w:type="dxa"/>
            <w:noWrap/>
            <w:hideMark/>
          </w:tcPr>
          <w:p w:rsidR="002E3446" w:rsidRPr="00BC0897" w:rsidRDefault="002E3446" w:rsidP="00C228AD">
            <w:pPr>
              <w:spacing w:after="0"/>
              <w:jc w:val="both"/>
              <w:rPr>
                <w:rFonts w:ascii="Times New Roman" w:hAnsi="Times New Roman" w:cs="Times New Roman"/>
                <w:bCs/>
                <w:sz w:val="20"/>
                <w:szCs w:val="20"/>
                <w:lang w:val="en-US"/>
              </w:rPr>
            </w:pPr>
          </w:p>
        </w:tc>
        <w:tc>
          <w:tcPr>
            <w:tcW w:w="1276" w:type="dxa"/>
            <w:noWrap/>
            <w:hideMark/>
          </w:tcPr>
          <w:p w:rsidR="002E3446" w:rsidRPr="00BC0897" w:rsidRDefault="002E3446"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4252" w:type="dxa"/>
            <w:hideMark/>
          </w:tcPr>
          <w:p w:rsidR="002E3446" w:rsidRPr="00BC0897" w:rsidRDefault="002E3446"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 protein expression</w:t>
            </w:r>
          </w:p>
        </w:tc>
        <w:tc>
          <w:tcPr>
            <w:tcW w:w="2410" w:type="dxa"/>
            <w:hideMark/>
          </w:tcPr>
          <w:p w:rsidR="002E3446" w:rsidRPr="00BC0897" w:rsidRDefault="002E3446"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HEK293</w:t>
            </w:r>
          </w:p>
        </w:tc>
        <w:tc>
          <w:tcPr>
            <w:tcW w:w="2268" w:type="dxa"/>
            <w:hideMark/>
          </w:tcPr>
          <w:p w:rsidR="002E3446"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{"citationID":"bYqm1mUs","properties":{"formattedCitation":"(Zhang et al. 2017)","plainCitation":"(Zhang et al. 2017)","noteIndex":0},"citationItems":[{"id":27,"uris":["http://zotero.org/users/local/jkkvYBSC/items/WAC5SMPK"],"uri":["http://zotero.org/users/local/jkkvYBSC/items/WAC5SMPK"],"itemData":{"id":27,"type":"article-journal","abstract":"Dent's disease is an X-linked inherited renal disease. Patients with Dent's disease often carry mutations in genes encoding the Cl-/H+ exchanger ClC-5 and/or inositol polyphosphate 5-phosphatase (OCRL1). However, the mutations involved and the biochemical effects of these mutations are not fully understood. To characterize genetic changes in Dent's disease patients, in this study, samples from nine Chinese patients were subjected to genetic analysis. Among the nine patients, six were classified as having Dent-1 disease, one had Dent-2 disease, and two could not be classified. Expression of ClC-5 carrying Dent's disease-associated mutations in HEK293 cells had varying effects: (1) no detectable expression of mutant protein; (2) retention of a truncated protein in the endoplasmic reticulum; or (3) diminished protein expression with normal distribution in early endosomes. Dent's disease patients showed genetic heterogeneity and over 20% of patients did not have CLCN5 or OCRL1 mutations, suggesting the existence of other genetic factors. Using next-generation sequencing, we identified possible modifier genes that have not been previously reported in Dent's disease patients. Heterozygous variants in CFTR, SCNN1A, and SCNN1B genes associated with cystic fibrosis (CF) or CF-like disease were detected in four of our nine patients. These results may form the basis for future characterization of Dent's disease and genetic counseling approaches.","container-title":"DNA and cell biology","DOI":"10.1089/dna.2017.3731","ISSN":"1557-7430","issue":"12","journalAbbreviation":"DNA Cell Biol.","language":"eng","note":"PMID: 29058463","page":"1151-1158","source":"PubMed","title":"Genetic Analysis of Dent's Disease and Functional Research of CLCN5 Mutations","volume":"36","author":[{"family":"Zhang","given":"Ya"},{"family":"Fang","given":"Xiaoyan"},{"family":"Xu","given":"Hong"},{"family":"Shen","given":"Qian"}],"issued":{"date-parts":[["2017",12]]}}}],"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rPr>
              <w:t>(Zhang et al. 2017)</w:t>
            </w:r>
            <w:r w:rsidRPr="00BC0897">
              <w:rPr>
                <w:rFonts w:ascii="Times New Roman" w:hAnsi="Times New Roman" w:cs="Times New Roman"/>
                <w:bCs/>
                <w:sz w:val="20"/>
                <w:szCs w:val="20"/>
                <w:lang w:val="en-US"/>
              </w:rPr>
              <w:fldChar w:fldCharType="end"/>
            </w:r>
          </w:p>
        </w:tc>
      </w:tr>
      <w:tr w:rsidR="00E26333" w:rsidRPr="00BC0897" w:rsidTr="00925F4B">
        <w:trPr>
          <w:trHeight w:val="300"/>
        </w:trPr>
        <w:tc>
          <w:tcPr>
            <w:tcW w:w="1144" w:type="dxa"/>
            <w:tcBorders>
              <w:bottom w:val="single" w:sz="4" w:space="0" w:color="auto"/>
            </w:tcBorders>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frameshift</w:t>
            </w:r>
          </w:p>
        </w:tc>
        <w:tc>
          <w:tcPr>
            <w:tcW w:w="1941" w:type="dxa"/>
            <w:noWrap/>
            <w:hideMark/>
          </w:tcPr>
          <w:p w:rsidR="00E26333" w:rsidRPr="00BC0897" w:rsidRDefault="00572EBA"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w:t>
            </w:r>
            <w:r w:rsidR="006A4CB8" w:rsidRPr="00BC0897">
              <w:rPr>
                <w:rFonts w:ascii="Times New Roman" w:hAnsi="Times New Roman" w:cs="Times New Roman"/>
                <w:bCs/>
                <w:sz w:val="20"/>
                <w:szCs w:val="20"/>
                <w:lang w:val="en-US"/>
              </w:rPr>
              <w:t>A</w:t>
            </w:r>
            <w:r w:rsidRPr="00BC0897">
              <w:rPr>
                <w:rFonts w:ascii="Times New Roman" w:hAnsi="Times New Roman" w:cs="Times New Roman"/>
                <w:bCs/>
                <w:sz w:val="20"/>
                <w:szCs w:val="20"/>
                <w:lang w:val="en-US"/>
              </w:rPr>
              <w:t>la</w:t>
            </w:r>
            <w:r w:rsidR="006A4CB8" w:rsidRPr="00BC0897">
              <w:rPr>
                <w:rFonts w:ascii="Times New Roman" w:hAnsi="Times New Roman" w:cs="Times New Roman"/>
                <w:bCs/>
                <w:sz w:val="20"/>
                <w:szCs w:val="20"/>
                <w:lang w:val="en-US"/>
              </w:rPr>
              <w:t>232G</w:t>
            </w:r>
            <w:r w:rsidRPr="00BC0897">
              <w:rPr>
                <w:rFonts w:ascii="Times New Roman" w:hAnsi="Times New Roman" w:cs="Times New Roman"/>
                <w:bCs/>
                <w:sz w:val="20"/>
                <w:szCs w:val="20"/>
                <w:lang w:val="en-US"/>
              </w:rPr>
              <w:t>ly</w:t>
            </w:r>
            <w:r w:rsidR="006A4CB8" w:rsidRPr="00BC0897">
              <w:rPr>
                <w:rFonts w:ascii="Times New Roman" w:hAnsi="Times New Roman" w:cs="Times New Roman"/>
                <w:bCs/>
                <w:sz w:val="20"/>
                <w:szCs w:val="20"/>
                <w:lang w:val="en-US"/>
              </w:rPr>
              <w:t>fs*12</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Golgi retention</w:t>
            </w: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CHO-K1 and mIMCD-3</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E41E4B" w:rsidRPr="00BC0897">
              <w:rPr>
                <w:rFonts w:ascii="Times New Roman" w:hAnsi="Times New Roman" w:cs="Times New Roman"/>
                <w:bCs/>
                <w:sz w:val="20"/>
                <w:szCs w:val="20"/>
                <w:lang w:val="en-US"/>
              </w:rPr>
              <w:instrText xml:space="preserve"> ADDIN ZOTERO_ITEM CSL_CITATION {"citationID":"XGFLJR4E","properties":{"formattedCitation":"(Carr et al. 2003)","plainCitation":"(Carr et al. 2003)","noteIndex":0},"citationItems":[{"id":"p7ATYret/Xwfn3a8v","uris":["http://zotero.org/users/local/jkkvYBSC/items/NXN977TR"],"uri":["http://zotero.org/users/local/jkkvYBSC/items/NXN977TR"],"itemData":{"id":764,"type":"article-journal","abstract":"CLC-5 is a member of the CLC family of voltage-gated chloride channels. Mutations disrupting CLC-5 lead to Dent's disease, an X-linked renal tubular disorder, characterised by low molecular weight proteinuria, hypercalciuria, nephrocalcinosis, and renal stones. Sequence analysis of CLC-5 reveals a 746 amino acid protein with an intracellular amino-terminus, transmembrane spanning domains, and two CBS domains within its intracellular carboxy-terminus. CBS domains have been implicated in intracellular targetting and trafficking as well as protein-protein interactions. We investigate subcellular localisation of three naturally occurring CLC-5 mutants which all lead to a truncated protein, disrupting the second CBS domain. These mutants are unable to traffic normally to acidic endosomes but are retained in perinuclear compartments, colocalising with the Golgi complex. This is the first identification of the cellular pathogenesis of CBS domain mutations of CLC-5.","container-title":"Biochemical and Biophysical Research Communications","DOI":"10.1016/j.bbrc.2003.09.057","ISSN":"0006-291X","issue":"2","journalAbbreviation":"Biochem. Biophys. Res. Commun.","language":"eng","note":"PMID: 14521953","page":"600-605","source":"PubMed","title":"A role for CBS domain 2 in trafficking of chloride channel CLC-5","volume":"310","author":[{"family":"Carr","given":"Georgina"},{"family":"Simmons","given":"Nicholas"},{"family":"Sayer","given":"John"}],"issued":{"date-parts":[["2003",10,17]]}}}],"schema":"https://github.com/citation-style-language/schema/raw/master/csl-citation.json"}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rPr>
              <w:t>(Carr et al. 2003)</w:t>
            </w:r>
            <w:r w:rsidRPr="00BC0897">
              <w:rPr>
                <w:rFonts w:ascii="Times New Roman" w:hAnsi="Times New Roman" w:cs="Times New Roman"/>
                <w:bCs/>
                <w:sz w:val="20"/>
                <w:szCs w:val="20"/>
                <w:lang w:val="en-US"/>
              </w:rPr>
              <w:fldChar w:fldCharType="end"/>
            </w:r>
          </w:p>
        </w:tc>
      </w:tr>
      <w:tr w:rsidR="00E26333" w:rsidRPr="00BC0897" w:rsidTr="00925F4B">
        <w:trPr>
          <w:trHeight w:val="248"/>
        </w:trPr>
        <w:tc>
          <w:tcPr>
            <w:tcW w:w="1144" w:type="dxa"/>
            <w:tcBorders>
              <w:top w:val="single" w:sz="4" w:space="0" w:color="auto"/>
              <w:bottom w:val="single" w:sz="4" w:space="0" w:color="auto"/>
            </w:tcBorders>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frameshift</w:t>
            </w:r>
          </w:p>
        </w:tc>
        <w:tc>
          <w:tcPr>
            <w:tcW w:w="1941" w:type="dxa"/>
            <w:noWrap/>
            <w:hideMark/>
          </w:tcPr>
          <w:p w:rsidR="00E26333" w:rsidRPr="00BC0897" w:rsidRDefault="00690C2C"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w:t>
            </w:r>
            <w:r w:rsidR="006A4CB8" w:rsidRPr="00BC0897">
              <w:rPr>
                <w:rFonts w:ascii="Times New Roman" w:hAnsi="Times New Roman" w:cs="Times New Roman"/>
                <w:bCs/>
                <w:sz w:val="20"/>
                <w:szCs w:val="20"/>
                <w:lang w:val="en-US"/>
              </w:rPr>
              <w:t>I</w:t>
            </w:r>
            <w:r w:rsidR="00572EBA" w:rsidRPr="00BC0897">
              <w:rPr>
                <w:rFonts w:ascii="Times New Roman" w:hAnsi="Times New Roman" w:cs="Times New Roman"/>
                <w:bCs/>
                <w:sz w:val="20"/>
                <w:szCs w:val="20"/>
                <w:lang w:val="en-US"/>
              </w:rPr>
              <w:t>le</w:t>
            </w:r>
            <w:r w:rsidR="006A4CB8" w:rsidRPr="00BC0897">
              <w:rPr>
                <w:rFonts w:ascii="Times New Roman" w:hAnsi="Times New Roman" w:cs="Times New Roman"/>
                <w:bCs/>
                <w:sz w:val="20"/>
                <w:szCs w:val="20"/>
                <w:lang w:val="en-US"/>
              </w:rPr>
              <w:t>243</w:t>
            </w:r>
            <w:r w:rsidRPr="00BC0897">
              <w:rPr>
                <w:rFonts w:ascii="Times New Roman" w:hAnsi="Times New Roman" w:cs="Times New Roman"/>
                <w:bCs/>
                <w:sz w:val="20"/>
                <w:szCs w:val="20"/>
                <w:lang w:val="en-US"/>
              </w:rPr>
              <w:t>Asn</w:t>
            </w:r>
            <w:r w:rsidR="006A4CB8" w:rsidRPr="00BC0897">
              <w:rPr>
                <w:rFonts w:ascii="Times New Roman" w:hAnsi="Times New Roman" w:cs="Times New Roman"/>
                <w:bCs/>
                <w:sz w:val="20"/>
                <w:szCs w:val="20"/>
                <w:lang w:val="en-US"/>
              </w:rPr>
              <w:t>fs*3</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40F98" w:rsidRPr="00BC0897">
              <w:rPr>
                <w:rFonts w:ascii="Times New Roman" w:hAnsi="Times New Roman" w:cs="Times New Roman"/>
                <w:bCs/>
                <w:sz w:val="20"/>
                <w:szCs w:val="20"/>
                <w:lang w:val="en-US"/>
              </w:rPr>
              <w:instrText xml:space="preserve"> ADDIN ZOTERO_ITEM CSL_CITATION {"citationID":"lYXxiViN","properties":{"formattedCitation":"(Yamamoto et al. 2000)","plainCitation":"(Yamamoto et al. 2000)","noteIndex":0},"citationItems":[{"id":"p7ATYret/t3Q1ynDY","uris":["http://zotero.org/users/local/jkkvYBSC/items/AWXR366C"],"uri":["http://zotero.org/users/local/jkkvYBSC/items/AWXR366C"],"itemData":{"id":781,"type":"article-journal","abstract":"Dent's disease is an X-linked renal tubular disorder characterized by low molecular weight proteinuria, hypercalciuria, nephrocalcinosis, nephrolithiasis, and renal failure. The disease is caused by mutations in a renal chloride channel gene, CLCN5, which encodes a 746 amino acid protein (CLC-5), with 12 to 13 transmembrane domains. In this study, an additional six unrelated patients with Dent's disease were identified and investigated for CLCN5 mutations by DNA sequence analysis of the 11 coding exons of CLCN5. This revealed six mutations: four frameshift deletions involving codons 392, 394, 658, and 728, one nonsense mutation (Tyr617Stop), and an A to T transversion at codon 601 that would result in either a missense mutation (Asp601Val) or creation of a novel donor splice site. These mutations were confirmed by restriction endonuclease or sequence-specific oligonucleotide hybridization analysis and were not common polymorphisms. The frameshift deletions and nonsense mutation predict truncated and inactivated CLC-5. The effects of the putative missense Asp601Val mutant CLC-5 were assessed by heterologous expression in Xenopus oocytes, and this revealed a chloride conductance that was similar to that observed for wild-type CLC-5. However, an analysis of the mutant CLCN5 transcripts revealed utilization of the novel donor splice site, resulting in a truncated CLC-5. Thus, all of the six mutations are likely to result in truncated CLC-5 and a loss of function, and these findings expand the spectrum of CLCN5 mutations associated with Dent's disease.","container-title":"Journal of the American Society of Nephrology: JASN","ISSN":"1046-6673","issue":"8","journalAbbreviation":"J. Am. Soc. Nephrol.","language":"eng","note":"PMID: 10906159","page":"1460-1468","source":"PubMed","title":"Characterization of renal chloride channel (CLCN5) mutations in Dent's disease","volume":"11","author":[{"family":"Yamamoto","given":"K."},{"family":"Cox","given":"J. P."},{"family":"Friedrich","given":"T."},{"family":"Christie","given":"P. T."},{"family":"Bald","given":"M."},{"family":"Houtman","given":"P. N."},{"family":"Lapsley","given":"M. J."},{"family":"Patzer","given":"L."},{"family":"Tsimaratos","given":"M."},{"family":"Van'T Hoff","given":"W. G."},{"family":"Yamaoka","given":"K."},{"family":"Jentsch","given":"T. J."},{"family":"Thakker","given":"R. V."}],"issued":{"date-parts":[["2000",8]]}}}],"schema":"https://github.com/citation-style-language/schema/raw/master/csl-citation.json"} </w:instrText>
            </w:r>
            <w:r w:rsidRPr="00BC0897">
              <w:rPr>
                <w:rFonts w:ascii="Times New Roman" w:hAnsi="Times New Roman" w:cs="Times New Roman"/>
                <w:bCs/>
                <w:sz w:val="20"/>
                <w:szCs w:val="20"/>
                <w:lang w:val="en-US"/>
              </w:rPr>
              <w:fldChar w:fldCharType="separate"/>
            </w:r>
            <w:r w:rsidR="00040F98" w:rsidRPr="00BC0897">
              <w:rPr>
                <w:rFonts w:ascii="Times New Roman" w:hAnsi="Times New Roman" w:cs="Times New Roman"/>
                <w:sz w:val="20"/>
              </w:rPr>
              <w:t>(Yamamoto et al. 2000)</w:t>
            </w:r>
            <w:r w:rsidRPr="00BC0897">
              <w:rPr>
                <w:rFonts w:ascii="Times New Roman" w:hAnsi="Times New Roman" w:cs="Times New Roman"/>
                <w:bCs/>
                <w:sz w:val="20"/>
                <w:szCs w:val="20"/>
                <w:lang w:val="en-US"/>
              </w:rPr>
              <w:fldChar w:fldCharType="end"/>
            </w:r>
          </w:p>
        </w:tc>
      </w:tr>
      <w:tr w:rsidR="00E26333" w:rsidRPr="002212C2" w:rsidTr="00925F4B">
        <w:trPr>
          <w:trHeight w:val="300"/>
        </w:trPr>
        <w:tc>
          <w:tcPr>
            <w:tcW w:w="1144" w:type="dxa"/>
            <w:tcBorders>
              <w:top w:val="single" w:sz="4" w:space="0" w:color="auto"/>
            </w:tcBorders>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frameshift</w:t>
            </w:r>
          </w:p>
        </w:tc>
        <w:tc>
          <w:tcPr>
            <w:tcW w:w="1941" w:type="dxa"/>
            <w:noWrap/>
            <w:hideMark/>
          </w:tcPr>
          <w:p w:rsidR="00E26333" w:rsidRPr="00BC0897" w:rsidRDefault="00690C2C"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w:t>
            </w:r>
            <w:r w:rsidR="00E26333" w:rsidRPr="00BC0897">
              <w:rPr>
                <w:rFonts w:ascii="Times New Roman" w:hAnsi="Times New Roman" w:cs="Times New Roman"/>
                <w:bCs/>
                <w:sz w:val="20"/>
                <w:szCs w:val="20"/>
                <w:lang w:val="en-US"/>
              </w:rPr>
              <w:t>M</w:t>
            </w:r>
            <w:r w:rsidR="00572EBA" w:rsidRPr="00BC0897">
              <w:rPr>
                <w:rFonts w:ascii="Times New Roman" w:hAnsi="Times New Roman" w:cs="Times New Roman"/>
                <w:bCs/>
                <w:sz w:val="20"/>
                <w:szCs w:val="20"/>
                <w:lang w:val="en-US"/>
              </w:rPr>
              <w:t>et</w:t>
            </w:r>
            <w:r w:rsidR="00E26333" w:rsidRPr="00BC0897">
              <w:rPr>
                <w:rFonts w:ascii="Times New Roman" w:hAnsi="Times New Roman" w:cs="Times New Roman"/>
                <w:bCs/>
                <w:sz w:val="20"/>
                <w:szCs w:val="20"/>
                <w:lang w:val="en-US"/>
              </w:rPr>
              <w:t>517I</w:t>
            </w:r>
            <w:r w:rsidRPr="00BC0897">
              <w:rPr>
                <w:rFonts w:ascii="Times New Roman" w:hAnsi="Times New Roman" w:cs="Times New Roman"/>
                <w:bCs/>
                <w:sz w:val="20"/>
                <w:szCs w:val="20"/>
                <w:lang w:val="en-US"/>
              </w:rPr>
              <w:t>le</w:t>
            </w:r>
            <w:r w:rsidR="00E26333" w:rsidRPr="00BC0897">
              <w:rPr>
                <w:rFonts w:ascii="Times New Roman" w:hAnsi="Times New Roman" w:cs="Times New Roman"/>
                <w:bCs/>
                <w:sz w:val="20"/>
                <w:szCs w:val="20"/>
                <w:lang w:val="en-US"/>
              </w:rPr>
              <w:t>fs*528</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{"citationID":"7XiRe0Yr","properties":{"formattedCitation":"(Ludwig et al. 2005)","plainCitation":"(Ludwig et al. 2005)","noteIndex":0},"citationItems":[{"id":468,"uris":["http://zotero.org/users/local/jkkvYBSC/items/A6DET4KW"],"uri":["http://zotero.org/users/local/jkkvYBSC/items/A6DET4KW"],"itemData":{"id":468,"type":"article-journal","abstract":"ClC-5 is a member of the ClC family of voltage-gated chloride channels. Loss-of-function mutations of its corresponding gene (CLCN5) cause Dent's disease, an X-linked kidney disorder, characterized by low-molecular weight proteinuria, hypercalciuria, nephrocalcinosis/nephrolithiasis, and progressive renal failure. Here, we examined the effect of different mutations on function and cellular trafficking of the recombinant protein. Mutant CLCN5 cDNAs were generated by site directed mutagenesis for two premature stop codon variants (R347X and M517IfsX528), and several missense mutations (C221R, L324R, G462 V, and R516 W). We also tested L521R (instead of L521RfsX526 observed) and mutants G506E and R648X (previously reported by others). After heterologous expression in Xenopus oocytes, ClC-5 channel activity and surface expression were determined by two-electrode voltage-clamp analysis and ClC-5 surface ELISA, respectively. Except for the R516 W and R648X variants, none of the mutated proteins induced functional chloride currents or reached the plasma membrane. This is readily understandable for the truncation mutations. Yet, the tested missense mutations are distributed over different transmembrane regions, implying that correct channel structure and orientation in the membrane is not only a prerequisite for proper ClC-5 function but also for Golgi exit. Interestingly, the R648X mutant although functionally compromised, displayed a significant increase in surface expression. This finding might be explained by the deletion of a ClC-5 carboxy-terminal PY-like internalization signal, which in turn impairs channel removal from the membrane. Our observations further imply that recruitment of ClC-5 to alternative routes (plasma membrane or early endosomes) in the trans-Golgi network is mediated via different signal sequences.","container-title":"Human Genetics","DOI":"10.1007/s00439-005-1303-2","ISSN":"0340-6717","issue":"2-3","journalAbbreviation":"Hum. Genet.","language":"eng","note":"PMID: 15895257","page":"228-237","source":"PubMed","title":"Functional evaluation of Dent's disease-causing mutations: implications for ClC-5 channel trafficking and internalization","title-short":"Functional evaluation of Dent's disease-causing mutations","volume":"117","author":[{"family":"Ludwig","given":"Michael"},{"family":"Doroszewicz","given":"Jolanta"},{"family":"Seyberth","given":"Hannsjörg W."},{"family":"Bökenkamp","given":"Arend"},{"family":"Balluch","given":"Bernd"},{"family":"Nuutinen","given":"Matti"},{"family":"Utsch","given":"Boris"},{"family":"Waldegger","given":"Siegfried"}],"issued":{"date-parts":[["2005",7]]}}}],"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lang w:val="en-US"/>
              </w:rPr>
              <w:t>(Ludwig et al. 2005)</w:t>
            </w:r>
            <w:r w:rsidRPr="00BC0897">
              <w:rPr>
                <w:rFonts w:ascii="Times New Roman" w:hAnsi="Times New Roman" w:cs="Times New Roman"/>
                <w:bCs/>
                <w:sz w:val="20"/>
                <w:szCs w:val="20"/>
                <w:lang w:val="en-US"/>
              </w:rPr>
              <w:fldChar w:fldCharType="end"/>
            </w:r>
          </w:p>
        </w:tc>
      </w:tr>
      <w:tr w:rsidR="00E26333" w:rsidRPr="002212C2" w:rsidTr="00925F4B">
        <w:trPr>
          <w:trHeight w:val="811"/>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insertion</w:t>
            </w:r>
          </w:p>
        </w:tc>
        <w:tc>
          <w:tcPr>
            <w:tcW w:w="1941"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30:insH</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reduced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reduction in albumin and transferrin uptake, blocking of megalin recycling, normal endosomal acidification</w:t>
            </w: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 Proximal epithelial tubular cells from urine of DD1 patients</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{"citationID":"THjRvHjk","properties":{"formattedCitation":"(Lloyd et al. 1997b; Gorvin et al. 2013)","plainCitation":"(Lloyd et al. 1997b; Gorvin et al. 2013)","noteIndex":0},"citationItems":[{"id":743,"uris":["http://zotero.org/users/local/jkkvYBSC/items/ZUUI8399"],"uri":["http://zotero.org/users/local/jkkvYBSC/items/ZUUI8399"],"itemData":{"id":743,"type":"article-journal","abstract":"The annual urinary screening of Japanese children above 3 yr of age has identified a progressive proximal renal tubular disorder characterized by low molecular weight proteinuria, hypercalciuria, and nephrocalcinosis. The disorder, which has a familial predisposition and occurs predominantly in males, has similarities to three X-linked proximal renal tubular disorders that are due to mutations in the renal chloride channel gene, CLCN5. We have investigated four unrelated Japanese kindreds with this tubulopathy and have identified four different CLCN5 mutations (two nonsense, one missense, and one frameshift). These are predicted to lead to a loss of chloride channel function, and heterologous expression of the missense CLCN5 mutation in Xenopus oocytes demonstrated a 70% reduction in channel activity when compared with the wild-type. In addition, single-stranded conformation polymorphism (SSCP) analysis was found to be a sensitive and specific mutational screening method that detected &gt; 75% of CLCN5 mutations. Thus, the results of our study expand the spectrum of clinical phenotypes associated with CLCN5 mutations to include this proximal renal tubular disorder of Japanese children. In addition, the mutational screening of CLCN5 by SSCP will help to supplement the clinical evaluation of the annual urinary screening program for this disorder.","container-title":"The Journal of Clinical Investigation","DOI":"10.1172/JCI119262","ISSN":"0021-9738","issue":"5","journalAbbreviation":"J. Clin. Invest.","language":"eng","note":"PMID: 9062355\nPMCID: PMC507905","page":"967-974","source":"PubMed","title":"Idiopathic low molecular weight proteinuria associated with hypercalciuric nephrocalcinosis in Japanese children is due to mutations of the renal chloride channel (CLCN5)","volume":"99","author":[{"family":"Lloyd","given":"S. E."},{"family":"Pearce","given":"S. H."},{"family":"Günther","given":"W."},{"family":"Kawaguchi","given":"H."},{"family":"Igarashi","given":"T."},{"family":"Jentsch","given":"T. J."},{"family":"Thakker","given":"R. V."}],"issued":{"date-parts":[["1997",3,1]]}}},{"id":460,"uris":["http://zotero.org/users/local/jkkvYBSC/items/B3YFKVY2"],"uri":["http://zotero.org/users/local/jkkvYBSC/items/B3YFKVY2"],"itemData":{"id":460,"type":"article-journal","abstract":"Receptor-mediated endocytosis, involving megalin and cubilin, mediates renal proximal-tubular reabsorption and is decreased in Dent disease because of mutations of the chloride/proton antiporter, chloride channel-5 (CLC-5), resulting in low-molecular-weight proteinuria, hypercalciuria, nephrolithiasis, and renal failure. To facilitate studies of receptor-mediated endocytosis and the role of CLC-5, we established conditionally immortalized proximal-tubular epithelial cell lines (ciPTECs) from three patients with CLC-5 mutations (30:insH, R637X, and del132-241) and a normal male. Confocal microscopy using the tight junction marker zona occludens-1 (ZO-1) and end-binding protein-1 (EB-1), which is specific for the plus end of microtubules demonstrated that the ciPTECs polarized. Receptor-mediated endocytic uptake of fluorescent albumin and transferrin in 30:insH and R637X ciPTECs was significantly decreased, compared with normal ciPTECs, and could be further reduced by competition with 10-fold excess of unlabeled albumin and transferrin, whereas in the del132-241 ciPTEC, receptor-mediated endocytic uptake was abolished. Investigation of endosomal acidification by live-cell imaging of pHluorin-VAMP2 (vesicle-associated membrane protein-2), a pH-sensitive-GFP construct, revealed that the endosomal pH in normal and 30:insH ciPTECs was similar, whereas in del132-241 and R637X ciPTECs, it was significantly more alkaline, indicating defective acidification in these ciPTECs. The addition of bafilomycin-A1, a V-ATPase inhibitor, raised the pH significantly in all ciPTECs, demonstrating that the differences in acidification were not due to alterations in the V-ATPase, but instead to abnormalities of CLC-5. Thus, our studies, which have established human Dent disease ciPTECs that will facilitate studies of mechanisms in renal reabsorption, demonstrate that Dent disease-causing CLC-5 mutations have differing effects on endosomal acidification and receptor-mediated endocytosis that may not be coupled.","container-title":"Proceedings of the National Academy of Sciences of the United States of America","DOI":"10.1073/pnas.1302063110","ISSN":"1091-6490","issue":"17","journalAbbreviation":"Proc. Natl. Acad. Sci. U.S.A.","language":"eng","note":"PMID: 23572577\nPMCID: PMC3637698","page":"7014-7019","source":"PubMed","title":"Receptor-mediated endocytosis and endosomal acidification is impaired in proximal tubule epithelial cells of Dent disease patients","volume":"110","author":[{"family":"Gorvin","given":"Caroline M."},{"family":"Wilmer","given":"Martijn J."},{"family":"Piret","given":"Sian E."},{"family":"Harding","given":"Brian"},{"family":"Heuvel","given":"Lambertus P.","non-dropping-particle":"van den"},{"family":"Wrong","given":"Oliver"},{"family":"Jat","given":"Parmjit S."},{"family":"Lippiat","given":"Jonathan D."},{"family":"Levtchenko","given":"Elena N."},{"family":"Thakker","given":"Rajesh V."}],"issued":{"date-parts":[["2013",4,23]]}}}],"schema":"https://github.com/citation-style-language/schema/raw/master/csl-citation.json"}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lang w:val="en-US"/>
              </w:rPr>
              <w:t>(Lloyd et al. 1997b; Gorvin et al. 2013)</w:t>
            </w:r>
            <w:r w:rsidRPr="00BC0897">
              <w:rPr>
                <w:rFonts w:ascii="Times New Roman" w:hAnsi="Times New Roman" w:cs="Times New Roman"/>
                <w:bCs/>
                <w:sz w:val="20"/>
                <w:szCs w:val="20"/>
                <w:lang w:val="en-US"/>
              </w:rPr>
              <w:fldChar w:fldCharType="end"/>
            </w:r>
          </w:p>
        </w:tc>
      </w:tr>
      <w:tr w:rsidR="00E26333" w:rsidRPr="002212C2" w:rsidTr="00925F4B">
        <w:trPr>
          <w:trHeight w:val="900"/>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176FAB"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p.Trp</w:t>
            </w:r>
            <w:r w:rsidR="00E26333" w:rsidRPr="00BC0897">
              <w:rPr>
                <w:rFonts w:ascii="Times New Roman" w:hAnsi="Times New Roman" w:cs="Times New Roman"/>
                <w:bCs/>
                <w:sz w:val="20"/>
                <w:szCs w:val="20"/>
                <w:lang w:val="en-US"/>
              </w:rPr>
              <w:t>22G</w:t>
            </w:r>
            <w:r w:rsidRPr="00BC0897">
              <w:rPr>
                <w:rFonts w:ascii="Times New Roman" w:hAnsi="Times New Roman" w:cs="Times New Roman"/>
                <w:bCs/>
                <w:sz w:val="20"/>
                <w:szCs w:val="20"/>
                <w:lang w:val="en-US"/>
              </w:rPr>
              <w:t>ly</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unaffected</w:t>
            </w: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disorders in endocytosis</w:t>
            </w: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 LLC-PK1 and primary murine proximal tubular cells (</w:t>
            </w:r>
            <w:proofErr w:type="spellStart"/>
            <w:r w:rsidRPr="00BC0897">
              <w:rPr>
                <w:rFonts w:ascii="Times New Roman" w:hAnsi="Times New Roman" w:cs="Times New Roman"/>
                <w:bCs/>
                <w:sz w:val="20"/>
                <w:szCs w:val="20"/>
                <w:lang w:val="en-US"/>
              </w:rPr>
              <w:t>wt</w:t>
            </w:r>
            <w:proofErr w:type="spellEnd"/>
            <w:r w:rsidRPr="00BC0897">
              <w:rPr>
                <w:rFonts w:ascii="Times New Roman" w:hAnsi="Times New Roman" w:cs="Times New Roman"/>
                <w:bCs/>
                <w:sz w:val="20"/>
                <w:szCs w:val="20"/>
                <w:lang w:val="en-US"/>
              </w:rPr>
              <w:t xml:space="preserve"> and KO)</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40F98" w:rsidRPr="00BC0897">
              <w:rPr>
                <w:rFonts w:ascii="Times New Roman" w:hAnsi="Times New Roman" w:cs="Times New Roman"/>
                <w:bCs/>
                <w:sz w:val="20"/>
                <w:szCs w:val="20"/>
                <w:lang w:val="en-US"/>
              </w:rPr>
              <w:instrText xml:space="preserve"> ADDIN ZOTERO_ITEM CSL_CITATION {"citationID":"BNqV3Jwt","properties":{"formattedCitation":"(Morimoto et al. 1998; Wang et al. 2005)","plainCitation":"(Morimoto et al. 1998; Wang et al. 2005)","noteIndex":0},"citationItems":[{"id":"p7ATYret/4B7PQw2N","uris":["http://zotero.org/users/local/jkkvYBSC/items/EEWXQKMZ"],"uri":["http://zotero.org/users/local/jkkvYBSC/items/EEWXQKMZ"],"itemData":{"id":766,"type":"article-journal","abstract":"Mutations in the CLCN5 gene have been demonstrated in three disorders of hypercalciuric nephrolithiasis, i.e., Dent's disease, X-linked recessive nephrolithiasis, and X-linked recessive hypophosphatemic rickets. Recently, a number of Japanese children with low molecular weight proteinuria (LMWP) showing symptoms similar to those shown by patients with Dent's disease in British families have also been reported to have mutations in the CLCN5 gene. The present study examines five unrelated Japanese families with LMWP, two of which lacked any signs other than LMWP, and three of which had several signs other than LMWP, i.e., hypercalciuria, aminoaciduria, hypophosphatemia, and rickets. One nonsense (E118X) and one missense (W22G) mutation were found in three patients in the two families having only LMWP. One genomic deletion including exons 5 to 8 in the CLCN5 gene was found in a patient with hypophosphatemic rickets, and a nonsense mutation (R347X) was found in one patient with LMWP and slight hypercalciuria. No mutations of the exons and exon-intron boundaries in the CLCN5 gene were found in one patient with LMWP, aminoaciduria, and hypokalemia. In addition to the predicted loss of chloride channel function in these nonsense and deletion mutations, the loss of function in the missense mutation W22G was confirmed in the Xenopus oocyte expression system. These results clarified four novel mutations in the CLCN5 genes, and additionally suggested that the loss-of-function mutation of the CLCN5 does not necessarily lead to hypercalciuria and nephrocalcinosis in the early stage of the disease, and that LMWP is an early and essential manifestation of disorders of the CLC-5 chloride channel.","container-title":"Journal of the American Society of Nephrology: JASN","ISSN":"1046-6673","issue":"5","journalAbbreviation":"J. Am. Soc. Nephrol.","language":"eng","note":"PMID: 9596078","page":"811-818","source":"PubMed","title":"Mutations in CLCN5 chloride channel in Japanese patients with low molecular weight proteinuria","volume":"9","author":[{"family":"Morimoto","given":"T."},{"family":"Uchida","given":"S."},{"family":"Sakamoto","given":"H."},{"family":"Kondo","given":"Y."},{"family":"Hanamizu","given":"H."},{"family":"Fukui","given":"M."},{"family":"Tomino","given":"Y."},{"family":"Nagano","given":"N."},{"family":"Sasaki","given":"S."},{"family":"Marumo","given":"F."}],"issued":{"date-parts":[["1998",5]]}}},{"id":"p7ATYret/OYK3xya7","uris":["http://zotero.org/users/local/jkkvYBSC/items/K3ATMGK5"],"uri":["http://zotero.org/users/local/jkkvYBSC/items/K3ATMGK5"],"itemData":{"id":774,"type":"article-journal","abstract":"The proper functioning of the Cl(-) channel, ClC-5, is essential for the uptake of low molecular mass proteins through receptor-mediated endocytosis in the proximal tubule. Dent's disease patients with mutant ClC-5 channels and ClC-5 knockout (KO) mice both have low molecular mass proteinuria. To further understand the function of ClC-5, endocytosis was studied in LLC-PK(1) cells and primary cultures of proximal tubule cells from wild-type (WT) and ClC-5 KO kidneys. Endocytosis in the proximal tubule cells from KO mice was reduced compared with that in WT animals. Endocytosis in WT but not in KO cells was inhibited by bafilomycin A-1 and Cl(-) depletion, whereas endocytosis in both WT and KO cells was inhibited by the NHE3 blocker, S3226. Infection with adenovirus containing WT ClC-5 rescued receptor-mediated endocytosis in KO cells, whereas infection with any of the three disease-causing mutants, myc-W22G-ClC-5, myc-S520P-ClC-5, or myc-R704X-ClC-5, did not. WT and the three mutants all trafficked to the apical surface, as assessed by surface biotinylation. WT-ClC-5 and the W22G mutant were internalized similarly, whereas neither the S520P nor the R704X mutants was. These data indicate that ClC-5 is important for Cl(-) and proton pump-mediated endocytosis. However, not all receptor-mediated endocytosis in the proximal tubule is dependent on ClC-5. There is a significant fraction that can be inhibited by an NHE3 blocker. Our data from the mutants suggest that defective targeting and trafficking of mutant ClC-5 to the endosomes are a major determinant in the lack of normal endocytosis in Dent's disease.","container-title":"American Journal of Physiology. Renal Physiology","DOI":"10.1152/ajprenal.00011.2005","ISSN":"1931-857X","issue":"4","journalAbbreviation":"Am. J. Physiol. Renal Physiol.","language":"eng","note":"PMID: 15942052","page":"F850-862","source":"PubMed","title":"ClC-5: role in endocytosis in the proximal tubule","title-short":"ClC-5","volume":"289","author":[{"family":"Wang","given":"Yinghong"},{"family":"Cai","given":"Hui"},{"family":"Cebotaru","given":"Liudmila"},{"family":"Hryciw","given":"Deanne H."},{"family":"Weinman","given":"Edward J."},{"family":"Donowitz","given":"Mark"},{"family":"Guggino","given":"Sandra E."},{"family":"Guggino","given":"William B."}],"issued":{"date-parts":[["2005",10]]}}}],"schema":"https://github.com/citation-style-language/schema/raw/master/csl-citation.json"} </w:instrText>
            </w:r>
            <w:r w:rsidRPr="00BC0897">
              <w:rPr>
                <w:rFonts w:ascii="Times New Roman" w:hAnsi="Times New Roman" w:cs="Times New Roman"/>
                <w:bCs/>
                <w:sz w:val="20"/>
                <w:szCs w:val="20"/>
                <w:lang w:val="en-US"/>
              </w:rPr>
              <w:fldChar w:fldCharType="separate"/>
            </w:r>
            <w:r w:rsidR="00040F98" w:rsidRPr="00BC0897">
              <w:rPr>
                <w:rFonts w:ascii="Times New Roman" w:hAnsi="Times New Roman" w:cs="Times New Roman"/>
                <w:sz w:val="20"/>
                <w:lang w:val="en-US"/>
              </w:rPr>
              <w:t>(Morimoto et al. 1998; Wang et al. 2005)</w:t>
            </w:r>
            <w:r w:rsidRPr="00BC0897">
              <w:rPr>
                <w:rFonts w:ascii="Times New Roman" w:hAnsi="Times New Roman" w:cs="Times New Roman"/>
                <w:bCs/>
                <w:sz w:val="20"/>
                <w:szCs w:val="20"/>
                <w:lang w:val="en-US"/>
              </w:rPr>
              <w:fldChar w:fldCharType="end"/>
            </w:r>
          </w:p>
        </w:tc>
      </w:tr>
      <w:tr w:rsidR="00E26333" w:rsidRPr="002212C2" w:rsidTr="00925F4B">
        <w:trPr>
          <w:trHeight w:val="299"/>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176FAB"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w:t>
            </w:r>
            <w:r w:rsidR="00E26333" w:rsidRPr="00BC0897">
              <w:rPr>
                <w:rFonts w:ascii="Times New Roman" w:hAnsi="Times New Roman" w:cs="Times New Roman"/>
                <w:bCs/>
                <w:sz w:val="20"/>
                <w:szCs w:val="20"/>
                <w:lang w:val="en-US"/>
              </w:rPr>
              <w:t>G</w:t>
            </w:r>
            <w:r w:rsidR="00572EBA" w:rsidRPr="00BC0897">
              <w:rPr>
                <w:rFonts w:ascii="Times New Roman" w:hAnsi="Times New Roman" w:cs="Times New Roman"/>
                <w:bCs/>
                <w:sz w:val="20"/>
                <w:szCs w:val="20"/>
                <w:lang w:val="en-US"/>
              </w:rPr>
              <w:t>ly</w:t>
            </w:r>
            <w:r w:rsidR="00E26333" w:rsidRPr="00BC0897">
              <w:rPr>
                <w:rFonts w:ascii="Times New Roman" w:hAnsi="Times New Roman" w:cs="Times New Roman"/>
                <w:bCs/>
                <w:sz w:val="20"/>
                <w:szCs w:val="20"/>
                <w:lang w:val="en-US"/>
              </w:rPr>
              <w:t>57V</w:t>
            </w:r>
            <w:r w:rsidRPr="00BC0897">
              <w:rPr>
                <w:rFonts w:ascii="Times New Roman" w:hAnsi="Times New Roman" w:cs="Times New Roman"/>
                <w:bCs/>
                <w:sz w:val="20"/>
                <w:szCs w:val="20"/>
                <w:lang w:val="en-US"/>
              </w:rPr>
              <w:t>al</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reduced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reduced</w:t>
            </w: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localized in late endosomes</w:t>
            </w: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 and HEK-MSR</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40F98" w:rsidRPr="00BC0897">
              <w:rPr>
                <w:rFonts w:ascii="Times New Roman" w:hAnsi="Times New Roman" w:cs="Times New Roman"/>
                <w:bCs/>
                <w:sz w:val="20"/>
                <w:szCs w:val="20"/>
                <w:lang w:val="en-US"/>
              </w:rPr>
              <w:instrText xml:space="preserve"> ADDIN ZOTERO_ITEM CSL_CITATION {"citationID":"6uMUf17L","properties":{"formattedCitation":"(Lloyd et al. 1997a; Smith et al. 2009)","plainCitation":"(Lloyd et al. 1997a; Smith et al. 2009)","noteIndex":0},"citationItems":[{"id":454,"uris":["http://zotero.org/users/local/jkkvYBSC/items/J6EHPHDA"],"uri":["http://zotero.org/users/local/jkkvYBSC/items/J6EHPHDA"],"itemData":{"id":454,"type":"article-journal","abstract":"Mutations of the renal-specific chloride channel (CLCN5) gene, which is located on chromosome Xp11.22, are associated with hypercalciuric nephrolithiasis (kidney stones) in the Northern European and Japanese populations. CLCN5 encodes a 746 amino acid channel (CLC-5) that has approximately 12 transmembrane domains, and heterologous expression of wild-type CLC-5 in Xenopus oocytes has yielded outwardly rectifying chloride currents that were markedly reduced or abolished by these mutations. In order to assess further the structural and functional relationships of this recently cloned chloride channel, additional CLCN5 mutations have been identified in five unrelated families with this disorder. Three of these mutations were missense (G57V, G512R and E527D), one was a nonsense (R648Stop) and one was an insertion (30:H insertion). In addition, two of the mutations (30:H insertion and E527D) were demonstrated to be de novo, and the G57V and E527D mutations were identified in families of Afro-American and Indian origin, respectively. The G57V and 30:H insertion mutations represent the first CLCN5 mutations to be identified in the N-terminus region, and the R648Stop mutation, which has been observed previously in an unrelated family, suggests that this codon may be particularly prone to mutations. Heterologous expression of the mutations resulted in a marked reduction or abolition of the chloride currents, thereby establishing their functional importance. These results help to elucidate further the structure-function relationships of this renal chloride channel.","container-title":"Human Molecular Genetics","DOI":"10.1093/hmg/6.8.1233","ISSN":"0964-6906","issue":"8","journalAbbreviation":"Hum. Mol. Genet.","language":"eng","note":"PMID: 9259268","page":"1233-1239","source":"PubMed","title":"Characterisation of renal chloride channel, CLCN5, mutations in hypercalciuric nephrolithiasis (kidney stones) disorders","volume":"6","author":[{"family":"Lloyd","given":"S. E."},{"family":"Gunther","given":"W."},{"family":"Pearce","given":"S. H."},{"family":"Thomson","given":"A."},{"family":"Bianchi","given":"M. L."},{"family":"Bosio","given":"M."},{"family":"Craig","given":"I. W."},{"family":"Fisher","given":"S. E."},{"family":"Scheinman","given":"S. J."},{"family":"Wrong","given":"O."},{"family":"Jentsch","given":"T. J."},{"family":"Thakker","given":"R. V."}],"issued":{"date-parts":[["1997",8]]}}},{"id":463,"uris":["http://zotero.org/users/local/jkkvYBSC/items/6TTMGNDQ"],"uri":["http://zotero.org/users/local/jkkvYBSC/items/6TTMGNDQ"],"itemData":{"id":463,"type":"article-journal","abstract":"Mutations of the human CLCN5 gene, which encodes the CLC-5 Cl(-)/H(+) exchanger, lead to Dent's disease. Mutations result in functional defects that range from moderate reductions to complete loss of whole cell currents, although the severity of the functional defect rarely correlates with the severity of the disease. To further elucidate the basis of CLC-5 mutations causing Dent's disease, we examined the functional and cell biological consequences of seven previously reported missense mutants, utilizing electrophysiological and cell biological techniques. This revealed three classes of Dent's disease-causing CLC-5 mutations. Class 1 mutations lead to endoplasmic reticulum retention and degradation of CLC-5. Class 2 mutations appear to have little effect on subcellular distribution of CLC-5 but cause defective function resulting in severe defects in endosomal acidification. Class 3 mutations lead to alterations in the endosomal distribution of CLC-5 but are otherwise able to support endosomal acidification. Molecular modeling demonstrates a structural basis that may underlie the nature of the defect resulting from each mutation with each class occupying discrete regions of the protein quaternary structure. Thus these results demonstrate that the cell biological consequences of CLC-5 mutations are heterogeneous and can be classified into three major groups and that a correlation between the nature of the defect and the location of the mutation in the structure may be drawn. This model may prove to be useful as a tool to aid in the diagnosis and future therapeutic intervention of the disease.","container-title":"American Journal of Physiology. Renal Physiology","DOI":"10.1152/ajprenal.90526.2008","ISSN":"1931-857X","issue":"2","journalAbbreviation":"Am. J. Physiol. Renal Physiol.","language":"eng","note":"PMID: 19019917\nPMCID: PMC2643861","page":"F390-397","source":"PubMed","title":"Characterization of Dent's disease mutations of CLC-5 reveals a correlation between functional and cell biological consequences and protein structure","volume":"296","author":[{"family":"Smith","given":"Andrew J."},{"family":"Reed","given":"Anita A. C."},{"family":"Loh","given":"Nellie Y."},{"family":"Thakker","given":"Rajesh V."},{"family":"Lippiat","given":"Jonathan D."}],"issued":{"date-parts":[["2009",2]]}}}],"schema":"https://github.com/citation-style-language/schema/raw/master/csl-citation.json"} </w:instrText>
            </w:r>
            <w:r w:rsidRPr="00BC0897">
              <w:rPr>
                <w:rFonts w:ascii="Times New Roman" w:hAnsi="Times New Roman" w:cs="Times New Roman"/>
                <w:bCs/>
                <w:sz w:val="20"/>
                <w:szCs w:val="20"/>
                <w:lang w:val="en-US"/>
              </w:rPr>
              <w:fldChar w:fldCharType="separate"/>
            </w:r>
            <w:r w:rsidR="00040F98" w:rsidRPr="00BC0897">
              <w:rPr>
                <w:rFonts w:ascii="Times New Roman" w:hAnsi="Times New Roman" w:cs="Times New Roman"/>
                <w:sz w:val="20"/>
                <w:lang w:val="en-US"/>
              </w:rPr>
              <w:t>(Lloyd et al. 1997a; Smith et al. 2009)</w:t>
            </w:r>
            <w:r w:rsidRPr="00BC0897">
              <w:rPr>
                <w:rFonts w:ascii="Times New Roman" w:hAnsi="Times New Roman" w:cs="Times New Roman"/>
                <w:bCs/>
                <w:sz w:val="20"/>
                <w:szCs w:val="20"/>
                <w:lang w:val="en-US"/>
              </w:rPr>
              <w:fldChar w:fldCharType="end"/>
            </w:r>
          </w:p>
        </w:tc>
      </w:tr>
      <w:tr w:rsidR="00E26333" w:rsidRPr="00BC0897" w:rsidTr="00925F4B">
        <w:trPr>
          <w:trHeight w:val="262"/>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176FAB"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w:t>
            </w:r>
            <w:r w:rsidR="00E26333" w:rsidRPr="00BC0897">
              <w:rPr>
                <w:rFonts w:ascii="Times New Roman" w:hAnsi="Times New Roman" w:cs="Times New Roman"/>
                <w:bCs/>
                <w:sz w:val="20"/>
                <w:szCs w:val="20"/>
                <w:lang w:val="en-US"/>
              </w:rPr>
              <w:t>S</w:t>
            </w:r>
            <w:r w:rsidR="00572EBA" w:rsidRPr="00BC0897">
              <w:rPr>
                <w:rFonts w:ascii="Times New Roman" w:hAnsi="Times New Roman" w:cs="Times New Roman"/>
                <w:bCs/>
                <w:sz w:val="20"/>
                <w:szCs w:val="20"/>
                <w:lang w:val="en-US"/>
              </w:rPr>
              <w:t>er</w:t>
            </w:r>
            <w:r w:rsidR="00E26333" w:rsidRPr="00BC0897">
              <w:rPr>
                <w:rFonts w:ascii="Times New Roman" w:hAnsi="Times New Roman" w:cs="Times New Roman"/>
                <w:bCs/>
                <w:sz w:val="20"/>
                <w:szCs w:val="20"/>
                <w:lang w:val="en-US"/>
              </w:rPr>
              <w:t>168T</w:t>
            </w:r>
            <w:r w:rsidRPr="00BC0897">
              <w:rPr>
                <w:rFonts w:ascii="Times New Roman" w:hAnsi="Times New Roman" w:cs="Times New Roman"/>
                <w:bCs/>
                <w:sz w:val="20"/>
                <w:szCs w:val="20"/>
                <w:lang w:val="en-US"/>
              </w:rPr>
              <w:t>hr</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reduced ion selectivity</w:t>
            </w: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 and HEK293</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{"citationID":"Z5nOmIiV","properties":{"formattedCitation":"(Friedrich et al. 1999)","plainCitation":"(Friedrich et al. 1999)","noteIndex":0},"citationItems":[{"id":207,"uris":["http://zotero.org/users/local/jkkvYBSC/items/W93G7GFU"],"uri":["http://zotero.org/users/local/jkkvYBSC/items/W93G7GFU"],"itemData":{"id":207,"type":"article-journal","abstract":"ClC-4 and ClC-5, together with ClC-3, form a distinct branch of the CLC chloride channel family. Although ClC-5 was shown to be mainly expressed in endocytotic vesicles, expression of ClC-5 in Xenopus oocytes elicited chloride currents. We now show that ClC-4 also gives rise to strongly outwardly rectifying anion currents when expressed in oocytes. They closely resemble ClC-5 currents with which they share a NO3- &gt; Cl- &gt; Br- &gt; I- conductance sequence that differs from that reported for the highly homologous ClC-3. Both ClC-4 and ClC-5 currents are reduced by lowering extracellular pH. We could measure similar currents after expressing either channel in HEK293 cells. To demonstrate that these currents are directly mediated by the channel proteins, we introduced several point mutations that change channel characteristics. In ClC-5, several point mutations alter the kinetics of activation but leave macroscopic rectification and ion selectivity unchanged. A mutation (N565K) equivalent to a mutation reported to have profound effects on ClC-3 does not have similar effects on ClC-5. Moreover, a mutation at the end of D2 (S168T in ClC-5) changes ion selectivity, and a mutation at the end of D3 (E211A in ClC-5 and E224A in ClC-4) changes voltage dependence and ion selectivity. This shows that ClC-4 and ClC-5 can directly mediate plasma membrane currents.","container-title":"The Journal of Biological Chemistry","DOI":"10.1074/jbc.274.2.896","ISSN":"0021-9258","issue":"2","journalAbbreviation":"J. Biol. Chem.","language":"eng","note":"PMID: 9873029","page":"896-902","source":"PubMed","title":"Mutational analysis demonstrates that ClC-4 and ClC-5 directly mediate plasma membrane currents","volume":"274","author":[{"family":"Friedrich","given":"T."},{"family":"Breiderhoff","given":"T."},{"family":"Jentsch","given":"T. J."}],"issued":{"date-parts":[["1999",1,8]]}}}],"schema":"https://github.com/citation-style-language/schema/raw/master/csl-citation.json"}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rPr>
              <w:t>(Friedrich et al. 1999)</w:t>
            </w:r>
            <w:r w:rsidRPr="00BC0897">
              <w:rPr>
                <w:rFonts w:ascii="Times New Roman" w:hAnsi="Times New Roman" w:cs="Times New Roman"/>
                <w:bCs/>
                <w:sz w:val="20"/>
                <w:szCs w:val="20"/>
                <w:lang w:val="en-US"/>
              </w:rPr>
              <w:fldChar w:fldCharType="end"/>
            </w:r>
          </w:p>
        </w:tc>
      </w:tr>
      <w:tr w:rsidR="00E26333" w:rsidRPr="00BC0897" w:rsidTr="00925F4B">
        <w:trPr>
          <w:trHeight w:val="600"/>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176FAB"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w:t>
            </w:r>
            <w:r w:rsidR="00E26333" w:rsidRPr="00BC0897">
              <w:rPr>
                <w:rFonts w:ascii="Times New Roman" w:hAnsi="Times New Roman" w:cs="Times New Roman"/>
                <w:bCs/>
                <w:sz w:val="20"/>
                <w:szCs w:val="20"/>
                <w:lang w:val="en-US"/>
              </w:rPr>
              <w:t>G</w:t>
            </w:r>
            <w:r w:rsidR="00572EBA" w:rsidRPr="00BC0897">
              <w:rPr>
                <w:rFonts w:ascii="Times New Roman" w:hAnsi="Times New Roman" w:cs="Times New Roman"/>
                <w:bCs/>
                <w:sz w:val="20"/>
                <w:szCs w:val="20"/>
                <w:lang w:val="en-US"/>
              </w:rPr>
              <w:t>ly</w:t>
            </w:r>
            <w:r w:rsidR="00E26333" w:rsidRPr="00BC0897">
              <w:rPr>
                <w:rFonts w:ascii="Times New Roman" w:hAnsi="Times New Roman" w:cs="Times New Roman"/>
                <w:bCs/>
                <w:sz w:val="20"/>
                <w:szCs w:val="20"/>
                <w:lang w:val="en-US"/>
              </w:rPr>
              <w:t>179</w:t>
            </w:r>
            <w:r w:rsidRPr="00BC0897">
              <w:rPr>
                <w:rFonts w:ascii="Times New Roman" w:hAnsi="Times New Roman" w:cs="Times New Roman"/>
                <w:bCs/>
                <w:sz w:val="20"/>
                <w:szCs w:val="20"/>
                <w:lang w:val="en-US"/>
              </w:rPr>
              <w:t>Asp</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 xml:space="preserve">reduced protein expression, impaired </w:t>
            </w:r>
            <w:r w:rsidRPr="00BC0897">
              <w:rPr>
                <w:rFonts w:ascii="Times New Roman" w:hAnsi="Times New Roman" w:cs="Times New Roman"/>
                <w:bCs/>
                <w:i/>
                <w:sz w:val="20"/>
                <w:szCs w:val="20"/>
                <w:lang w:val="en-US"/>
              </w:rPr>
              <w:t>N</w:t>
            </w:r>
            <w:r w:rsidRPr="00BC0897">
              <w:rPr>
                <w:rFonts w:ascii="Times New Roman" w:hAnsi="Times New Roman" w:cs="Times New Roman"/>
                <w:bCs/>
                <w:sz w:val="20"/>
                <w:szCs w:val="20"/>
                <w:lang w:val="en-US"/>
              </w:rPr>
              <w:t>-glycosylation, ER retention</w:t>
            </w: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 and HEK293</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{"citationID":"JvqXUD4f","properties":{"formattedCitation":"(Grand et al. 2009)","plainCitation":"(Grand et al. 2009)","noteIndex":0},"citationItems":[{"id":321,"uris":["http://zotero.org/users/local/jkkvYBSC/items/KT75S5NW"],"uri":["http://zotero.org/users/local/jkkvYBSC/items/KT75S5NW"],"itemData":{"id":321,"type":"article-journal","abstract":"Dent's disease is an X-linked recessive disorder affecting the proximal tubules and is frequently associated with mutations in CLCN5, which encodes the electrogenic chloride-proton exchanger ClC-5. To better understand the functional consequences of CLCN5 mutations in this disease, we screened four newly identified missense mutations (G179D, S203L, G212A, L469P), one new nonsense mutation (R718X), and three known mutations (L200R, C219R, and C221R), in Xenopus laevis oocytes and HEK293 cells expressing either wild-type or mutant exchanger. A type-I mutant (G212A) trafficked normally to the cell surface and to early endosomes, underwent complex glycosylation at the cell surface like wild-type ClC-5, but exhibited significant reductions in outwardly rectifying ion currents. The type-II mutants (G179D, L200R, S203L, C219R, C221R, L469P, and R718X) were improperly N-glycosylated and were non-functional due to retention in the endoplasmic reticulum. Thus these mutations have distinct mechanisms by which they could impair ClC-5 function in Dent's disease.","container-title":"Kidney International","DOI":"10.1038/ki.2009.305","ISSN":"1523-1755","issue":"9","journalAbbreviation":"Kidney Int.","language":"eng","note":"PMID: 19657328","page":"999-1005","source":"PubMed","title":"Novel CLCN5 mutations in patients with Dent's disease result in altered ion currents or impaired exchanger processing","volume":"76","author":[{"family":"Grand","given":"Teddy"},{"family":"Mordasini","given":"David"},{"family":"L'Hoste","given":"Sébastien"},{"family":"Pennaforte","given":"Thomas"},{"family":"Genete","given":"Mathieu"},{"family":"Biyeyeme","given":"Marie-Jeanne"},{"family":"Vargas-Poussou","given":"Rosa"},{"family":"Blanchard","given":"Anne"},{"family":"Teulon","given":"Jacques"},{"family":"Lourdel","given":"Stéphane"}],"issued":{"date-parts":[["2009",11]]}}}],"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rPr>
              <w:t>(Grand et al. 2009)</w:t>
            </w:r>
            <w:r w:rsidRPr="00BC0897">
              <w:rPr>
                <w:rFonts w:ascii="Times New Roman" w:hAnsi="Times New Roman" w:cs="Times New Roman"/>
                <w:bCs/>
                <w:sz w:val="20"/>
                <w:szCs w:val="20"/>
                <w:lang w:val="en-US"/>
              </w:rPr>
              <w:fldChar w:fldCharType="end"/>
            </w:r>
          </w:p>
        </w:tc>
      </w:tr>
      <w:tr w:rsidR="00E26333" w:rsidRPr="002212C2" w:rsidTr="00925F4B">
        <w:trPr>
          <w:trHeight w:val="600"/>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572EBA"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w:t>
            </w:r>
            <w:r w:rsidR="00E26333" w:rsidRPr="00BC0897">
              <w:rPr>
                <w:rFonts w:ascii="Times New Roman" w:hAnsi="Times New Roman" w:cs="Times New Roman"/>
                <w:bCs/>
                <w:sz w:val="20"/>
                <w:szCs w:val="20"/>
                <w:lang w:val="en-US"/>
              </w:rPr>
              <w:t>L</w:t>
            </w:r>
            <w:r w:rsidRPr="00BC0897">
              <w:rPr>
                <w:rFonts w:ascii="Times New Roman" w:hAnsi="Times New Roman" w:cs="Times New Roman"/>
                <w:bCs/>
                <w:sz w:val="20"/>
                <w:szCs w:val="20"/>
                <w:lang w:val="en-US"/>
              </w:rPr>
              <w:t>eu</w:t>
            </w:r>
            <w:r w:rsidR="00E26333" w:rsidRPr="00BC0897">
              <w:rPr>
                <w:rFonts w:ascii="Times New Roman" w:hAnsi="Times New Roman" w:cs="Times New Roman"/>
                <w:bCs/>
                <w:sz w:val="20"/>
                <w:szCs w:val="20"/>
                <w:lang w:val="en-US"/>
              </w:rPr>
              <w:t>200</w:t>
            </w:r>
            <w:r w:rsidRPr="00BC0897">
              <w:rPr>
                <w:rFonts w:ascii="Times New Roman" w:hAnsi="Times New Roman" w:cs="Times New Roman"/>
                <w:bCs/>
                <w:sz w:val="20"/>
                <w:szCs w:val="20"/>
                <w:lang w:val="en-US"/>
              </w:rPr>
              <w:t>Arg</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 xml:space="preserve">reduced protein expression, impaired </w:t>
            </w:r>
            <w:r w:rsidRPr="00BC0897">
              <w:rPr>
                <w:rFonts w:ascii="Times New Roman" w:hAnsi="Times New Roman" w:cs="Times New Roman"/>
                <w:bCs/>
                <w:i/>
                <w:sz w:val="20"/>
                <w:szCs w:val="20"/>
                <w:lang w:val="en-US"/>
              </w:rPr>
              <w:t>N</w:t>
            </w:r>
            <w:r w:rsidRPr="00BC0897">
              <w:rPr>
                <w:rFonts w:ascii="Times New Roman" w:hAnsi="Times New Roman" w:cs="Times New Roman"/>
                <w:bCs/>
                <w:sz w:val="20"/>
                <w:szCs w:val="20"/>
                <w:lang w:val="en-US"/>
              </w:rPr>
              <w:t>-glycosylation, ER retention</w:t>
            </w: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 and HEK293</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{"citationID":"XyvUNrCf","properties":{"formattedCitation":"(Lloyd et al. 1996; Grand et al. 2009)","plainCitation":"(Lloyd et al. 1996; Grand et al. 2009)","noteIndex":0},"citationItems":[{"id":99,"uris":["http://zotero.org/users/local/jkkvYBSC/items/F43E5GWG"],"uri":["http://zotero.org/users/local/jkkvYBSC/items/F43E5GWG"],"itemData":{"id":99,"type":"article-journal","abstract":"KIDNEY stones (nephrolithiasis), which affect 12% of males and 5% of females in the western world, are familial in 45% of patients1,2 and are most commonly associated with hypercalciuria1. Three disorders of hypercalciuric nephrolithiasis (Dent's disease3, X-linked recessive nephrolithiasis (XRN)4, and X-linked recessive hypophosphataemic rickets (XLRH)5) have been mapped to Xpll.22 (refs 5–7). A microdeletion6 in one Dent's disease kindred allowed the identification of a candidate gene,CLCN5 (refs 8,9) which encodes a putative renal chloride channel. Here we report the investigation of 11 kindreds with these renal tubular disorders for CLCN5 abnormalities; this identified three nonsense, four missense and two donor splice site mutations, together with one intragenic deletion and one micro-deletion encompassing the entire gene. Heterologous expression of wild-type CLCN5 in Xenopus oocytes yielded outwardly rectifying chloride currents, which were either abolished or markedly reduced by the mutations. The common aetiology for Dent's disease, XRN and XLRH indicates that CLCN5 may be involved in other renal tubular disorders associated with kidney stones.","container-title":"Nature","DOI":"10.1038/379445a0","ISSN":"1476-4687","issue":"6564","journalAbbreviation":"Nature","language":"en","page":"445-449","source":"www.nature.com","title":"A common molecular basis for three inherited kidney stone diseases","volume":"379","author":[{"family":"Lloyd","given":"Sarah E."},{"family":"Pearce","given":"Simon H. S."},{"family":"Fisher","given":"Simon E."},{"family":"Steinmeyer","given":"Klaus"},{"family":"Schwappach","given":"Blanche"},{"family":"Scheinman","given":"Steven J."},{"family":"Harding","given":"Brian"},{"family":"Bolino","given":"Alessandra"},{"family":"Devoto","given":"Marcella"},{"family":"Goodyer","given":"Paul"},{"family":"Rigden","given":"Susan P. A."},{"family":"Wrong","given":"Oliver"},{"family":"Jentsch","given":"Thomas J."},{"family":"Craig","given":"Ian W."},{"family":"Thakker","given":"Rajesh V."}],"issued":{"date-parts":[["1996",2]]}}},{"id":321,"uris":["http://zotero.org/users/local/jkkvYBSC/items/KT75S5NW"],"uri":["http://zotero.org/users/local/jkkvYBSC/items/KT75S5NW"],"itemData":{"id":321,"type":"article-journal","abstract":"Dent's disease is an X-linked recessive disorder affecting the proximal tubules and is frequently associated with mutations in CLCN5, which encodes the electrogenic chloride-proton exchanger ClC-5. To better understand the functional consequences of CLCN5 mutations in this disease, we screened four newly identified missense mutations (G179D, S203L, G212A, L469P), one new nonsense mutation (R718X), and three known mutations (L200R, C219R, and C221R), in Xenopus laevis oocytes and HEK293 cells expressing either wild-type or mutant exchanger. A type-I mutant (G212A) trafficked normally to the cell surface and to early endosomes, underwent complex glycosylation at the cell surface like wild-type ClC-5, but exhibited significant reductions in outwardly rectifying ion currents. The type-II mutants (G179D, L200R, S203L, C219R, C221R, L469P, and R718X) were improperly N-glycosylated and were non-functional due to retention in the endoplasmic reticulum. Thus these mutations have distinct mechanisms by which they could impair ClC-5 function in Dent's disease.","container-title":"Kidney International","DOI":"10.1038/ki.2009.305","ISSN":"1523-1755","issue":"9","journalAbbreviation":"Kidney Int.","language":"eng","note":"PMID: 19657328","page":"999-1005","source":"PubMed","title":"Novel CLCN5 mutations in patients with Dent's disease result in altered ion currents or impaired exchanger processing","volume":"76","author":[{"family":"Grand","given":"Teddy"},{"family":"Mordasini","given":"David"},{"family":"L'Hoste","given":"Sébastien"},{"family":"Pennaforte","given":"Thomas"},{"family":"Genete","given":"Mathieu"},{"family":"Biyeyeme","given":"Marie-Jeanne"},{"family":"Vargas-Poussou","given":"Rosa"},{"family":"Blanchard","given":"Anne"},{"family":"Teulon","given":"Jacques"},{"family":"Lourdel","given":"Stéphane"}],"issued":{"date-parts":[["2009",11]]}}}],"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lang w:val="en-US"/>
              </w:rPr>
              <w:t>(Lloyd et al. 1996; Grand et al. 2009)</w:t>
            </w:r>
            <w:r w:rsidRPr="00BC0897">
              <w:rPr>
                <w:rFonts w:ascii="Times New Roman" w:hAnsi="Times New Roman" w:cs="Times New Roman"/>
                <w:bCs/>
                <w:sz w:val="20"/>
                <w:szCs w:val="20"/>
                <w:lang w:val="en-US"/>
              </w:rPr>
              <w:fldChar w:fldCharType="end"/>
            </w:r>
          </w:p>
        </w:tc>
      </w:tr>
      <w:tr w:rsidR="00E26333" w:rsidRPr="00BC0897" w:rsidTr="00925F4B">
        <w:trPr>
          <w:trHeight w:val="600"/>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176FAB"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w:t>
            </w:r>
            <w:r w:rsidR="00E26333" w:rsidRPr="00BC0897">
              <w:rPr>
                <w:rFonts w:ascii="Times New Roman" w:hAnsi="Times New Roman" w:cs="Times New Roman"/>
                <w:bCs/>
                <w:sz w:val="20"/>
                <w:szCs w:val="20"/>
                <w:lang w:val="en-US"/>
              </w:rPr>
              <w:t>S</w:t>
            </w:r>
            <w:r w:rsidRPr="00BC0897">
              <w:rPr>
                <w:rFonts w:ascii="Times New Roman" w:hAnsi="Times New Roman" w:cs="Times New Roman"/>
                <w:bCs/>
                <w:sz w:val="20"/>
                <w:szCs w:val="20"/>
                <w:lang w:val="en-US"/>
              </w:rPr>
              <w:t>er</w:t>
            </w:r>
            <w:r w:rsidR="00E26333" w:rsidRPr="00BC0897">
              <w:rPr>
                <w:rFonts w:ascii="Times New Roman" w:hAnsi="Times New Roman" w:cs="Times New Roman"/>
                <w:bCs/>
                <w:sz w:val="20"/>
                <w:szCs w:val="20"/>
                <w:lang w:val="en-US"/>
              </w:rPr>
              <w:t>203L</w:t>
            </w:r>
            <w:r w:rsidRPr="00BC0897">
              <w:rPr>
                <w:rFonts w:ascii="Times New Roman" w:hAnsi="Times New Roman" w:cs="Times New Roman"/>
                <w:bCs/>
                <w:sz w:val="20"/>
                <w:szCs w:val="20"/>
                <w:lang w:val="en-US"/>
              </w:rPr>
              <w:t>eu</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 xml:space="preserve">reduced protein expression, impaired </w:t>
            </w:r>
            <w:r w:rsidRPr="00BC0897">
              <w:rPr>
                <w:rFonts w:ascii="Times New Roman" w:hAnsi="Times New Roman" w:cs="Times New Roman"/>
                <w:bCs/>
                <w:i/>
                <w:sz w:val="20"/>
                <w:szCs w:val="20"/>
                <w:lang w:val="en-US"/>
              </w:rPr>
              <w:t>N</w:t>
            </w:r>
            <w:r w:rsidRPr="00BC0897">
              <w:rPr>
                <w:rFonts w:ascii="Times New Roman" w:hAnsi="Times New Roman" w:cs="Times New Roman"/>
                <w:bCs/>
                <w:sz w:val="20"/>
                <w:szCs w:val="20"/>
                <w:lang w:val="en-US"/>
              </w:rPr>
              <w:t>-glycosylation, ER retention</w:t>
            </w: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 and HEK293</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{"citationID":"7JIXgFwD","properties":{"formattedCitation":"(Grand et al. 2009)","plainCitation":"(Grand et al. 2009)","noteIndex":0},"citationItems":[{"id":321,"uris":["http://zotero.org/users/local/jkkvYBSC/items/KT75S5NW"],"uri":["http://zotero.org/users/local/jkkvYBSC/items/KT75S5NW"],"itemData":{"id":321,"type":"article-journal","abstract":"Dent's disease is an X-linked recessive disorder affecting the proximal tubules and is frequently associated with mutations in CLCN5, which encodes the electrogenic chloride-proton exchanger ClC-5. To better understand the functional consequences of CLCN5 mutations in this disease, we screened four newly identified missense mutations (G179D, S203L, G212A, L469P), one new nonsense mutation (R718X), and three known mutations (L200R, C219R, and C221R), in Xenopus laevis oocytes and HEK293 cells expressing either wild-type or mutant exchanger. A type-I mutant (G212A) trafficked normally to the cell surface and to early endosomes, underwent complex glycosylation at the cell surface like wild-type ClC-5, but exhibited significant reductions in outwardly rectifying ion currents. The type-II mutants (G179D, L200R, S203L, C219R, C221R, L469P, and R718X) were improperly N-glycosylated and were non-functional due to retention in the endoplasmic reticulum. Thus these mutations have distinct mechanisms by which they could impair ClC-5 function in Dent's disease.","container-title":"Kidney International","DOI":"10.1038/ki.2009.305","ISSN":"1523-1755","issue":"9","journalAbbreviation":"Kidney Int.","language":"eng","note":"PMID: 19657328","page":"999-1005","source":"PubMed","title":"Novel CLCN5 mutations in patients with Dent's disease result in altered ion currents or impaired exchanger processing","volume":"76","author":[{"family":"Grand","given":"Teddy"},{"family":"Mordasini","given":"David"},{"family":"L'Hoste","given":"Sébastien"},{"family":"Pennaforte","given":"Thomas"},{"family":"Genete","given":"Mathieu"},{"family":"Biyeyeme","given":"Marie-Jeanne"},{"family":"Vargas-Poussou","given":"Rosa"},{"family":"Blanchard","given":"Anne"},{"family":"Teulon","given":"Jacques"},{"family":"Lourdel","given":"Stéphane"}],"issued":{"date-parts":[["2009",11]]}}}],"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rPr>
              <w:t>(Grand et al. 2009)</w:t>
            </w:r>
            <w:r w:rsidRPr="00BC0897">
              <w:rPr>
                <w:rFonts w:ascii="Times New Roman" w:hAnsi="Times New Roman" w:cs="Times New Roman"/>
                <w:bCs/>
                <w:sz w:val="20"/>
                <w:szCs w:val="20"/>
                <w:lang w:val="en-US"/>
              </w:rPr>
              <w:fldChar w:fldCharType="end"/>
            </w:r>
          </w:p>
        </w:tc>
      </w:tr>
      <w:tr w:rsidR="005224B5" w:rsidRPr="00BC0897" w:rsidTr="00925F4B">
        <w:trPr>
          <w:trHeight w:val="840"/>
        </w:trPr>
        <w:tc>
          <w:tcPr>
            <w:tcW w:w="1144" w:type="dxa"/>
            <w:noWrap/>
            <w:hideMark/>
          </w:tcPr>
          <w:p w:rsidR="005224B5" w:rsidRPr="00BC0897" w:rsidRDefault="005224B5" w:rsidP="00B86952">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5224B5" w:rsidRPr="00BC0897" w:rsidRDefault="005224B5" w:rsidP="00B86952">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p.Glu211Gly</w:t>
            </w:r>
          </w:p>
        </w:tc>
        <w:tc>
          <w:tcPr>
            <w:tcW w:w="1276" w:type="dxa"/>
            <w:noWrap/>
            <w:hideMark/>
          </w:tcPr>
          <w:p w:rsidR="005224B5" w:rsidRPr="00BC0897" w:rsidRDefault="005224B5" w:rsidP="00B86952">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reduced</w:t>
            </w:r>
          </w:p>
        </w:tc>
        <w:tc>
          <w:tcPr>
            <w:tcW w:w="1276" w:type="dxa"/>
            <w:noWrap/>
            <w:hideMark/>
          </w:tcPr>
          <w:p w:rsidR="005224B5" w:rsidRPr="00BC0897" w:rsidRDefault="005224B5" w:rsidP="00B86952">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unaffected</w:t>
            </w:r>
          </w:p>
        </w:tc>
        <w:tc>
          <w:tcPr>
            <w:tcW w:w="4252" w:type="dxa"/>
            <w:hideMark/>
          </w:tcPr>
          <w:p w:rsidR="005224B5" w:rsidRPr="00BC0897" w:rsidRDefault="005224B5" w:rsidP="00B86952">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behavior as pure Cl- channel instead of Cl-/H+ antiporter, unaffected endosomal expression and acidification</w:t>
            </w:r>
          </w:p>
        </w:tc>
        <w:tc>
          <w:tcPr>
            <w:tcW w:w="2410" w:type="dxa"/>
            <w:hideMark/>
          </w:tcPr>
          <w:p w:rsidR="005224B5" w:rsidRPr="00BC0897" w:rsidRDefault="005224B5" w:rsidP="00B86952">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 and HEK293T</w:t>
            </w:r>
          </w:p>
        </w:tc>
        <w:tc>
          <w:tcPr>
            <w:tcW w:w="2268" w:type="dxa"/>
            <w:hideMark/>
          </w:tcPr>
          <w:p w:rsidR="005224B5" w:rsidRPr="00BC0897" w:rsidRDefault="005224B5"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{"citationID":"qHOemxEI","properties":{"formattedCitation":"(Bignon et al. 2018)","plainCitation":"(Bignon et al. 2018)","noteIndex":0},"citationItems":[{"id":49,"uris":["http://zotero.org/users/local/jkkvYBSC/items/G437Q4V6"],"uri":["http://zotero.org/users/local/jkkvYBSC/items/G437Q4V6"],"itemData":{"id":49,"type":"article-journal","abstract":"Dent disease is an X-linked recessive renal tubular disorder characterized by low-molecular-weight proteinuria, hypercalciuria, nephrolithiasis, nephrocalcinosis, and progressive renal failure. Inactivating mutations of CLCN5, the gene encoding the 2Cl- /H+ exchanger ClC-5, have been reported in patients with Dent disease 1. In vivo studies in mice harboring an artificial mutation in the \"gating glutamate\" of ClC-5 (c.632A &gt; C, p.Glu211Ala) and mathematical modeling suggest that endosomal chloride concentration could be an important parameter in endocytosis, rather than acidification as earlier hypothesized. Here, we described a novel pathogenic mutation affecting the \"gating glutamate\" of ClC-5 (c.632A&gt;G, p.Glu211Gly) and investigated its molecular consequences. In HEK293T cells, the p.Glu211Gly ClC-5 mutant displayed unaltered N-glycosylation and normal plasma membrane and early endosomes localizations. In Xenopus laevis oocytes and HEK293T cells, we found that contrasting with wild-type ClC-5, the mutation abolished the outward rectification, the sensitivity to extracellular H+ and converted ClC-5 into a Cl- channel. Investigation of endosomal acidification in HEK293T cells using the pH-sensitive pHluorin2 probe showed that the luminal pH of cells expressing a wild-type or p.Glu211Gly ClC-5 was not significantly different. Our study further confirms that impaired acidification of endosomes is not the only parameter leading to defective endocytosis in Dent disease 1.","container-title":"Human Mutation","DOI":"10.1002/humu.23556","ISSN":"1098-1004","issue":"8","journalAbbreviation":"Hum. Mutat.","language":"eng","note":"PMID: 29791050","page":"1139-1149","source":"PubMed","title":"A novel CLCN5 pathogenic mutation supports Dent disease with normal endosomal acidification","volume":"39","author":[{"family":"Bignon","given":"Yohan"},{"family":"Alekov","given":"Alexi"},{"family":"Frachon","given":"Nadia"},{"family":"Lahuna","given":"Olivier"},{"family":"Jean-Baptiste Doh-Egueli","given":"Carine"},{"family":"Deschênes","given":"Georges"},{"family":"Vargas-Poussou","given":"Rosa"},{"family":"Lourdel","given":"Stéphane"}],"issued":{"date-parts":[["2018"]]}}}],"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rPr>
              <w:t>(Bignon et al. 2018)</w:t>
            </w:r>
            <w:r w:rsidRPr="00BC0897">
              <w:rPr>
                <w:rFonts w:ascii="Times New Roman" w:hAnsi="Times New Roman" w:cs="Times New Roman"/>
                <w:bCs/>
                <w:sz w:val="20"/>
                <w:szCs w:val="20"/>
                <w:lang w:val="en-US"/>
              </w:rPr>
              <w:fldChar w:fldCharType="end"/>
            </w:r>
          </w:p>
        </w:tc>
      </w:tr>
      <w:tr w:rsidR="00925F4B" w:rsidRPr="00BC0897" w:rsidTr="00B86952">
        <w:trPr>
          <w:trHeight w:val="600"/>
        </w:trPr>
        <w:tc>
          <w:tcPr>
            <w:tcW w:w="1144" w:type="dxa"/>
            <w:hideMark/>
          </w:tcPr>
          <w:p w:rsidR="00925F4B" w:rsidRPr="00BC0897" w:rsidRDefault="00925F4B" w:rsidP="00B86952">
            <w:pPr>
              <w:spacing w:after="0"/>
              <w:jc w:val="both"/>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lastRenderedPageBreak/>
              <w:t>Type</w:t>
            </w:r>
          </w:p>
        </w:tc>
        <w:tc>
          <w:tcPr>
            <w:tcW w:w="1941" w:type="dxa"/>
            <w:hideMark/>
          </w:tcPr>
          <w:p w:rsidR="00925F4B" w:rsidRPr="00BC0897" w:rsidRDefault="00925F4B" w:rsidP="00B86952">
            <w:pPr>
              <w:spacing w:after="0"/>
              <w:jc w:val="both"/>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Mutation</w:t>
            </w:r>
          </w:p>
        </w:tc>
        <w:tc>
          <w:tcPr>
            <w:tcW w:w="1276" w:type="dxa"/>
            <w:hideMark/>
          </w:tcPr>
          <w:p w:rsidR="00925F4B" w:rsidRPr="00BC0897" w:rsidRDefault="00925F4B" w:rsidP="00B86952">
            <w:pPr>
              <w:spacing w:after="0"/>
              <w:jc w:val="both"/>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Chloride current</w:t>
            </w:r>
          </w:p>
        </w:tc>
        <w:tc>
          <w:tcPr>
            <w:tcW w:w="1276" w:type="dxa"/>
            <w:hideMark/>
          </w:tcPr>
          <w:p w:rsidR="00925F4B" w:rsidRPr="00BC0897" w:rsidRDefault="00925F4B" w:rsidP="00B86952">
            <w:pPr>
              <w:spacing w:after="0"/>
              <w:jc w:val="both"/>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Plasma membrane expression</w:t>
            </w:r>
          </w:p>
        </w:tc>
        <w:tc>
          <w:tcPr>
            <w:tcW w:w="4252" w:type="dxa"/>
            <w:hideMark/>
          </w:tcPr>
          <w:p w:rsidR="00925F4B" w:rsidRPr="00BC0897" w:rsidRDefault="00925F4B" w:rsidP="00B86952">
            <w:pPr>
              <w:spacing w:after="0"/>
              <w:jc w:val="both"/>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Other observations</w:t>
            </w:r>
          </w:p>
        </w:tc>
        <w:tc>
          <w:tcPr>
            <w:tcW w:w="2410" w:type="dxa"/>
            <w:hideMark/>
          </w:tcPr>
          <w:p w:rsidR="00925F4B" w:rsidRPr="00BC0897" w:rsidRDefault="00925F4B" w:rsidP="00B86952">
            <w:pPr>
              <w:spacing w:after="0"/>
              <w:jc w:val="both"/>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Biological system</w:t>
            </w:r>
          </w:p>
        </w:tc>
        <w:tc>
          <w:tcPr>
            <w:tcW w:w="2268" w:type="dxa"/>
            <w:hideMark/>
          </w:tcPr>
          <w:p w:rsidR="00925F4B" w:rsidRPr="00BC0897" w:rsidRDefault="00925F4B" w:rsidP="00B86952">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Ref</w:t>
            </w:r>
          </w:p>
        </w:tc>
      </w:tr>
      <w:tr w:rsidR="005224B5" w:rsidRPr="00BC0897" w:rsidTr="00925F4B">
        <w:trPr>
          <w:trHeight w:val="568"/>
        </w:trPr>
        <w:tc>
          <w:tcPr>
            <w:tcW w:w="1144" w:type="dxa"/>
            <w:noWrap/>
            <w:hideMark/>
          </w:tcPr>
          <w:p w:rsidR="005224B5" w:rsidRPr="00BC0897" w:rsidRDefault="005224B5" w:rsidP="00B86952">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5224B5" w:rsidRPr="00BC0897" w:rsidRDefault="005224B5" w:rsidP="00B86952">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p.Glu211Gln</w:t>
            </w:r>
          </w:p>
        </w:tc>
        <w:tc>
          <w:tcPr>
            <w:tcW w:w="1276" w:type="dxa"/>
            <w:noWrap/>
            <w:hideMark/>
          </w:tcPr>
          <w:p w:rsidR="005224B5" w:rsidRPr="00BC0897" w:rsidRDefault="005224B5" w:rsidP="00B86952">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unaffected</w:t>
            </w:r>
          </w:p>
        </w:tc>
        <w:tc>
          <w:tcPr>
            <w:tcW w:w="1276" w:type="dxa"/>
            <w:noWrap/>
            <w:hideMark/>
          </w:tcPr>
          <w:p w:rsidR="005224B5" w:rsidRPr="00BC0897" w:rsidRDefault="005224B5" w:rsidP="00B86952">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unaffected</w:t>
            </w:r>
          </w:p>
        </w:tc>
        <w:tc>
          <w:tcPr>
            <w:tcW w:w="4252" w:type="dxa"/>
            <w:hideMark/>
          </w:tcPr>
          <w:p w:rsidR="005224B5" w:rsidRPr="00BC0897" w:rsidRDefault="005224B5" w:rsidP="00B86952">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behavior as pure Cl- channel instead of Cl-/H+ antiporter, defective endosomal acidification</w:t>
            </w:r>
          </w:p>
        </w:tc>
        <w:tc>
          <w:tcPr>
            <w:tcW w:w="2410" w:type="dxa"/>
            <w:hideMark/>
          </w:tcPr>
          <w:p w:rsidR="005224B5" w:rsidRPr="00BC0897" w:rsidRDefault="005224B5" w:rsidP="00B86952">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 and HEK293</w:t>
            </w:r>
          </w:p>
        </w:tc>
        <w:tc>
          <w:tcPr>
            <w:tcW w:w="2268" w:type="dxa"/>
            <w:hideMark/>
          </w:tcPr>
          <w:p w:rsidR="005224B5" w:rsidRPr="00BC0897" w:rsidRDefault="005224B5"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{"citationID":"RhdN8b0I","properties":{"formattedCitation":"(Satoh et al. 2016)","plainCitation":"(Satoh et al. 2016)","noteIndex":0},"citationItems":[{"id":335,"uris":["http://zotero.org/users/local/jkkvYBSC/items/ZGVSYUYM"],"uri":["http://zotero.org/users/local/jkkvYBSC/items/ZGVSYUYM"],"itemData":{"id":335,"type":"article-journal","abstract":"Dent's disease is characterized by defective endocytosis in renal proximal tubules (PTs) and caused by mutations in the 2Cl(-)/H(+) exchanger, CLC-5. However, the pathological role of endosomal acidification in endocytosis has recently come into question. To clarify the mechanism of pathogenesis for Dent's disease, we examined the effects of a novel gating glutamate mutation, E211Q, on CLC-5 functions and endosomal acidification. In Xenopus oocytes, wild-type (WT) CLC-5 showed outward-rectifying currents that were inhibited by extracellular acidosis, but E211Q and an artificial pure Cl(-) channel mutant, E211A, showed linear currents that were insensitive to extracellular acidosis. Moreover, depolarizing pulse trains induced a robust reduction in the surface pH of oocytes expressing WT CLC-5 but not E211Q or E211A, indicating that the E211Q mutant functions as a pure Cl(-) channel similar to E211A. In HEK293 cells, E211A and E211Q stimulated endosomal acidification and hypotonicity-inducible vacuolar-type H(+)-ATPase (V-ATPase) activation at the plasma membrane. However, the stimulatory effects of these mutants were reduced compared with WT CLC-5. Furthermore, gene silencing experiments confirmed the functional coupling between V-ATPase and CLC-5 at the plasma membrane of isolated mouse PTs. These results reveal for the first time that the conversion of CLC-5 from a 2Cl(-)/H(+) exchanger into a Cl(-) channel induces Dent's disease in humans. In addition, defective endosomal acidification as a result of insufficient V-ATPase activation may still be important in the pathogenesis of Dent's disease.","container-title":"Pflugers Archiv: European Journal of Physiology","DOI":"10.1007/s00424-016-1808-7","ISSN":"1432-2013","issue":"7","journalAbbreviation":"Pflugers Arch.","language":"eng","note":"PMID: 27044412","page":"1183-1196","source":"PubMed","title":"A pure chloride channel mutant of CLC-5 causes Dent's disease via insufficient V-ATPase activation","volume":"468","author":[{"family":"Satoh","given":"Nobuhiko"},{"family":"Yamada","given":"Hideomi"},{"family":"Yamazaki","given":"Osamu"},{"family":"Suzuki","given":"Masashi"},{"family":"Nakamura","given":"Motonobu"},{"family":"Suzuki","given":"Atsushi"},{"family":"Ashida","given":"Akira"},{"family":"Yamamoto","given":"Daisuke"},{"family":"Kaku","given":"Yoshitsugu"},{"family":"Sekine","given":"Takashi"},{"family":"Seki","given":"George"},{"family":"Horita","given":"Shoko"}],"issued":{"date-parts":[["2016"]]}}}],"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rPr>
              <w:t>(Satoh et al. 2016)</w:t>
            </w:r>
            <w:r w:rsidRPr="00BC0897">
              <w:rPr>
                <w:rFonts w:ascii="Times New Roman" w:hAnsi="Times New Roman" w:cs="Times New Roman"/>
                <w:bCs/>
                <w:sz w:val="20"/>
                <w:szCs w:val="20"/>
                <w:lang w:val="en-US"/>
              </w:rPr>
              <w:fldChar w:fldCharType="end"/>
            </w:r>
          </w:p>
        </w:tc>
      </w:tr>
      <w:tr w:rsidR="00E26333" w:rsidRPr="002212C2" w:rsidTr="00925F4B">
        <w:trPr>
          <w:trHeight w:val="1703"/>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176FAB"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p.Glu</w:t>
            </w:r>
            <w:r w:rsidR="00E26333" w:rsidRPr="00BC0897">
              <w:rPr>
                <w:rFonts w:ascii="Times New Roman" w:hAnsi="Times New Roman" w:cs="Times New Roman"/>
                <w:bCs/>
                <w:sz w:val="20"/>
                <w:szCs w:val="20"/>
                <w:lang w:val="en-US"/>
              </w:rPr>
              <w:t>211A</w:t>
            </w:r>
            <w:r w:rsidRPr="00BC0897">
              <w:rPr>
                <w:rFonts w:ascii="Times New Roman" w:hAnsi="Times New Roman" w:cs="Times New Roman"/>
                <w:bCs/>
                <w:sz w:val="20"/>
                <w:szCs w:val="20"/>
                <w:lang w:val="en-US"/>
              </w:rPr>
              <w:t>la</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unaffected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unaffected</w:t>
            </w: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drastic effect on gating and changed voltage dependence, abolished proton transport, abolished H+ transport and voltage dependence, normal endosomal acidification, behavior as pure Cl- channel instead of Cl-/H+ antiporter, defective endosomal acidification</w:t>
            </w: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 and HEK293</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{"citationID":"2Q2xyhE6","properties":{"formattedCitation":"(Friedrich et al. 1999; Picollo and Pusch 2005; Smith and Lippiat 2010; Satoh et al. 2016)","plainCitation":"(Friedrich et al. 1999; Picollo and Pusch 2005; Smith and Lippiat 2010; Satoh et al. 2016)","noteIndex":0},"citationItems":[{"id":207,"uris":["http://zotero.org/users/local/jkkvYBSC/items/W93G7GFU"],"uri":["http://zotero.org/users/local/jkkvYBSC/items/W93G7GFU"],"itemData":{"id":207,"type":"article-journal","abstract":"ClC-4 and ClC-5, together with ClC-3, form a distinct branch of the CLC chloride channel family. Although ClC-5 was shown to be mainly expressed in endocytotic vesicles, expression of ClC-5 in Xenopus oocytes elicited chloride currents. We now show that ClC-4 also gives rise to strongly outwardly rectifying anion currents when expressed in oocytes. They closely resemble ClC-5 currents with which they share a NO3- &gt; Cl- &gt; Br- &gt; I- conductance sequence that differs from that reported for the highly homologous ClC-3. Both ClC-4 and ClC-5 currents are reduced by lowering extracellular pH. We could measure similar currents after expressing either channel in HEK293 cells. To demonstrate that these currents are directly mediated by the channel proteins, we introduced several point mutations that change channel characteristics. In ClC-5, several point mutations alter the kinetics of activation but leave macroscopic rectification and ion selectivity unchanged. A mutation (N565K) equivalent to a mutation reported to have profound effects on ClC-3 does not have similar effects on ClC-5. Moreover, a mutation at the end of D2 (S168T in ClC-5) changes ion selectivity, and a mutation at the end of D3 (E211A in ClC-5 and E224A in ClC-4) changes voltage dependence and ion selectivity. This shows that ClC-4 and ClC-5 can directly mediate plasma membrane currents.","container-title":"The Journal of Biological Chemistry","DOI":"10.1074/jbc.274.2.896","ISSN":"0021-9258","issue":"2","journalAbbreviation":"J. Biol. Chem.","language":"eng","note":"PMID: 9873029","page":"896-902","source":"PubMed","title":"Mutational analysis demonstrates that ClC-4 and ClC-5 directly mediate plasma membrane currents","volume":"274","author":[{"family":"Friedrich","given":"T."},{"family":"Breiderhoff","given":"T."},{"family":"Jentsch","given":"T. J."}],"issued":{"date-parts":[["1999",1,8]]}}},{"id":335,"uris":["http://zotero.org/users/local/jkkvYBSC/items/ZGVSYUYM"],"uri":["http://zotero.org/users/local/jkkvYBSC/items/ZGVSYUYM"],"itemData":{"id":335,"type":"article-journal","abstract":"Dent's disease is characterized by defective endocytosis in renal proximal tubules (PTs) and caused by mutations in the 2Cl(-)/H(+) exchanger, CLC-5. However, the pathological role of endosomal acidification in endocytosis has recently come into question. To clarify the mechanism of pathogenesis for Dent's disease, we examined the effects of a novel gating glutamate mutation, E211Q, on CLC-5 functions and endosomal acidification. In Xenopus oocytes, wild-type (WT) CLC-5 showed outward-rectifying currents that were inhibited by extracellular acidosis, but E211Q and an artificial pure Cl(-) channel mutant, E211A, showed linear currents that were insensitive to extracellular acidosis. Moreover, depolarizing pulse trains induced a robust reduction in the surface pH of oocytes expressing WT CLC-5 but not E211Q or E211A, indicating that the E211Q mutant functions as a pure Cl(-) channel similar to E211A. In HEK293 cells, E211A and E211Q stimulated endosomal acidification and hypotonicity-inducible vacuolar-type H(+)-ATPase (V-ATPase) activation at the plasma membrane. However, the stimulatory effects of these mutants were reduced compared with WT CLC-5. Furthermore, gene silencing experiments confirmed the functional coupling between V-ATPase and CLC-5 at the plasma membrane of isolated mouse PTs. These results reveal for the first time that the conversion of CLC-5 from a 2Cl(-)/H(+) exchanger into a Cl(-) channel induces Dent's disease in humans. In addition, defective endosomal acidification as a result of insufficient V-ATPase activation may still be important in the pathogenesis of Dent's disease.","container-title":"Pflugers Archiv: European Journal of Physiology","DOI":"10.1007/s00424-016-1808-7","ISSN":"1432-2013","issue":"7","journalAbbreviation":"Pflugers Arch.","language":"eng","note":"PMID: 27044412","page":"1183-1196","source":"PubMed","title":"A pure chloride channel mutant of CLC-5 causes Dent's disease via insufficient V-ATPase activation","volume":"468","author":[{"family":"Satoh","given":"Nobuhiko"},{"family":"Yamada","given":"Hideomi"},{"family":"Yamazaki","given":"Osamu"},{"family":"Suzuki","given":"Masashi"},{"family":"Nakamura","given":"Motonobu"},{"family":"Suzuki","given":"Atsushi"},{"family":"Ashida","given":"Akira"},{"family":"Yamamoto","given":"Daisuke"},{"family":"Kaku","given":"Yoshitsugu"},{"family":"Sekine","given":"Takashi"},{"family":"Seki","given":"George"},{"family":"Horita","given":"Shoko"}],"issued":{"date-parts":[["2016"]]}}},{"id":203,"uris":["http://zotero.org/users/local/jkkvYBSC/items/Q5J4JCXQ"],"uri":["http://zotero.org/users/local/jkkvYBSC/items/Q5J4JCXQ"],"itemData":{"id":203,"type":"article-journal","abstract":"ClC-4 and ClC-5 are members of the CLC gene family, with ClC-5 mutated in Dent's disease, a nephropathy associated with low-molecular-mass proteinuria and eventual renal failure. ClC-5 has been proposed to be an electrically shunting Cl- channel in early endosomes, facilitating intraluminal acidification. Motivated by the discovery that certain bacterial CLC proteins are secondary active Cl-/H+ antiporters, we hypothesized that mammalian CLC proteins might not be classical Cl- ion channels but might exhibit Cl(-)-coupled proton transport activity. Here we report that ClC-4 and ClC-5 carry a substantial amount of protons across the plasma membrane when activated by positive voltages, as revealed by measurements of pH close to the cell surface. Both proteins are able to extrude protons against their electrochemical gradient, demonstrating secondary active transport. H+, but not Cl-, transport was abolished when a pore glutamate was mutated to alanine (E211A). ClC-0, ClC-2 and ClC-Ka proteins showed no significant proton transport. The muscle channel ClC-1 exhibited a small H+ transport that might be physiologically relevant. For ClC-5, we estimated that Cl- and H+ transport contribute about equally to the total charge movement, raising the possibility that the coupled Cl-/H+ transport of ClC-4 and ClC-5 is of significant magnitude in vivo.","container-title":"Nature","DOI":"10.1038/nature03720","ISSN":"1476-4687","issue":"7049","journalAbbreviation":"Nature","language":"eng","note":"PMID: 16034421","page":"420-423","source":"PubMed","title":"Chloride/proton antiporter activity of mammalian CLC proteins ClC-4 and ClC-5","volume":"436","author":[{"family":"Picollo","given":"Alessandra"},{"family":"Pusch","given":"Michael"}],"issued":{"date-parts":[["2005",7,21]]}}},{"id":372,"uris":["http://zotero.org/users/local/jkkvYBSC/items/KMCQKHTF"],"uri":["http://zotero.org/users/local/jkkvYBSC/items/KMCQKHTF"],"itemData":{"id":372,"type":"article-journal","abstract":"The voltage-gated Cl(-) channel (CLC) family comprises cell surface Cl(-) channels and intracellular Cl(-)/H(+) exchangers. CLCs in organelle membranes are thought to assist acidification by providing a passive chloride conductance that electrically counterbalances H(+) accumulation. Following recent descriptions of Cl(-)/H(+) exchange activity in endosomal CLCs we have re-evaluated their role. We expressed human CLC-5 in HEK293 cells, recorded currents under a range of Cl(-) and H(+) gradients by whole-cell patch clamp, and examined the contribution of CLC-5 to endosomal acidification using a targeted pH-sensitive fluorescent protein. We found that CLC-5 only conducted outward currents, corresponding to Cl(-) flux into the cytoplasm and H(+) from the cytoplasm. Inward currents were never observed, despite the range of intracellular and extracellular Cl(-) concentrations and pH used. Endosomal acidification in HEK293 cells was prevented by 25 microm bafilomycin-A1, an inhibitor of vacuolar-type H(+)-ATPase (v-ATPase), which actively pumps H(+) into the endosomal lumen. Overexpression of CLC-5 in HEK293 cells conferred an additional bafilomycin-insensitive component to endosomal acidification. This effect was abolished by making mutations in CLC-5 that remove H(+) transport, which result in either no current (E268A) or bidirectional Cl(-) flux (E211A). Endosomal acidification in a proximal tubule cell line was partially sensitive to inhibition of v-ATPase by bafilomycin-A1. Furthermore, in the presence of bafilomycin-A1, acidification was significantly reduced and nearly fully ablated by partial and near-complete knockdown of endogenous CLC-5 by siRNA. These data suggest that CLC-5 is directly involved in endosomal acidification by exchanging endosomal Cl(-) for H(+).","container-title":"The Journal of Physiology","DOI":"10.1113/jphysiol.2010.188540","ISSN":"1469-7793","issue":"Pt 12","journalAbbreviation":"J. Physiol. (Lond.)","language":"eng","note":"PMID: 20421284\nPMCID: PMC2911210","page":"2033-2045","source":"PubMed","title":"Direct endosomal acidification by the outwardly rectifying CLC-5 Cl(-)/H(+) exchanger","volume":"588","author":[{"family":"Smith","given":"Andrew J."},{"family":"Lippiat","given":"Jonathan D."}],"issued":{"date-parts":[["2010",6,15]]}}}],"schema":"https://github.com/citation-style-language/schema/raw/master/csl-citation.json"}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lang w:val="en-US"/>
              </w:rPr>
              <w:t>(Friedrich et al. 1999; Picollo and Pusch 2005; Smith and Lippiat 2010; Satoh et al. 2016)</w:t>
            </w:r>
            <w:r w:rsidRPr="00BC0897">
              <w:rPr>
                <w:rFonts w:ascii="Times New Roman" w:hAnsi="Times New Roman" w:cs="Times New Roman"/>
                <w:bCs/>
                <w:sz w:val="20"/>
                <w:szCs w:val="20"/>
                <w:lang w:val="en-US"/>
              </w:rPr>
              <w:fldChar w:fldCharType="end"/>
            </w:r>
          </w:p>
        </w:tc>
      </w:tr>
      <w:tr w:rsidR="00E26333" w:rsidRPr="00BC0897" w:rsidTr="00925F4B">
        <w:trPr>
          <w:trHeight w:val="547"/>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176FAB"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w:t>
            </w:r>
            <w:r w:rsidR="00E26333" w:rsidRPr="00BC0897">
              <w:rPr>
                <w:rFonts w:ascii="Times New Roman" w:hAnsi="Times New Roman" w:cs="Times New Roman"/>
                <w:bCs/>
                <w:sz w:val="20"/>
                <w:szCs w:val="20"/>
                <w:lang w:val="en-US"/>
              </w:rPr>
              <w:t>G</w:t>
            </w:r>
            <w:r w:rsidRPr="00BC0897">
              <w:rPr>
                <w:rFonts w:ascii="Times New Roman" w:hAnsi="Times New Roman" w:cs="Times New Roman"/>
                <w:bCs/>
                <w:sz w:val="20"/>
                <w:szCs w:val="20"/>
                <w:lang w:val="en-US"/>
              </w:rPr>
              <w:t>ly</w:t>
            </w:r>
            <w:r w:rsidR="00E26333" w:rsidRPr="00BC0897">
              <w:rPr>
                <w:rFonts w:ascii="Times New Roman" w:hAnsi="Times New Roman" w:cs="Times New Roman"/>
                <w:bCs/>
                <w:sz w:val="20"/>
                <w:szCs w:val="20"/>
                <w:lang w:val="en-US"/>
              </w:rPr>
              <w:t>212A</w:t>
            </w:r>
            <w:r w:rsidRPr="00BC0897">
              <w:rPr>
                <w:rFonts w:ascii="Times New Roman" w:hAnsi="Times New Roman" w:cs="Times New Roman"/>
                <w:bCs/>
                <w:sz w:val="20"/>
                <w:szCs w:val="20"/>
                <w:lang w:val="en-US"/>
              </w:rPr>
              <w:t>la</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reduced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unaffected</w:t>
            </w: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 xml:space="preserve">unaffected protein expression, </w:t>
            </w:r>
            <w:r w:rsidRPr="00BC0897">
              <w:rPr>
                <w:rFonts w:ascii="Times New Roman" w:hAnsi="Times New Roman" w:cs="Times New Roman"/>
                <w:bCs/>
                <w:i/>
                <w:sz w:val="20"/>
                <w:szCs w:val="20"/>
                <w:lang w:val="en-US"/>
              </w:rPr>
              <w:t>N</w:t>
            </w:r>
            <w:r w:rsidRPr="00BC0897">
              <w:rPr>
                <w:rFonts w:ascii="Times New Roman" w:hAnsi="Times New Roman" w:cs="Times New Roman"/>
                <w:bCs/>
                <w:sz w:val="20"/>
                <w:szCs w:val="20"/>
                <w:lang w:val="en-US"/>
              </w:rPr>
              <w:t>-glycosylation unaffected</w:t>
            </w: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 and HEK293</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{"citationID":"5ENw8mIC","properties":{"formattedCitation":"(Grand et al. 2009)","plainCitation":"(Grand et al. 2009)","noteIndex":0},"citationItems":[{"id":321,"uris":["http://zotero.org/users/local/jkkvYBSC/items/KT75S5NW"],"uri":["http://zotero.org/users/local/jkkvYBSC/items/KT75S5NW"],"itemData":{"id":321,"type":"article-journal","abstract":"Dent's disease is an X-linked recessive disorder affecting the proximal tubules and is frequently associated with mutations in CLCN5, which encodes the electrogenic chloride-proton exchanger ClC-5. To better understand the functional consequences of CLCN5 mutations in this disease, we screened four newly identified missense mutations (G179D, S203L, G212A, L469P), one new nonsense mutation (R718X), and three known mutations (L200R, C219R, and C221R), in Xenopus laevis oocytes and HEK293 cells expressing either wild-type or mutant exchanger. A type-I mutant (G212A) trafficked normally to the cell surface and to early endosomes, underwent complex glycosylation at the cell surface like wild-type ClC-5, but exhibited significant reductions in outwardly rectifying ion currents. The type-II mutants (G179D, L200R, S203L, C219R, C221R, L469P, and R718X) were improperly N-glycosylated and were non-functional due to retention in the endoplasmic reticulum. Thus these mutations have distinct mechanisms by which they could impair ClC-5 function in Dent's disease.","container-title":"Kidney International","DOI":"10.1038/ki.2009.305","ISSN":"1523-1755","issue":"9","journalAbbreviation":"Kidney Int.","language":"eng","note":"PMID: 19657328","page":"999-1005","source":"PubMed","title":"Novel CLCN5 mutations in patients with Dent's disease result in altered ion currents or impaired exchanger processing","volume":"76","author":[{"family":"Grand","given":"Teddy"},{"family":"Mordasini","given":"David"},{"family":"L'Hoste","given":"Sébastien"},{"family":"Pennaforte","given":"Thomas"},{"family":"Genete","given":"Mathieu"},{"family":"Biyeyeme","given":"Marie-Jeanne"},{"family":"Vargas-Poussou","given":"Rosa"},{"family":"Blanchard","given":"Anne"},{"family":"Teulon","given":"Jacques"},{"family":"Lourdel","given":"Stéphane"}],"issued":{"date-parts":[["2009",11]]}}}],"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rPr>
              <w:t>(Grand et al. 2009)</w:t>
            </w:r>
            <w:r w:rsidRPr="00BC0897">
              <w:rPr>
                <w:rFonts w:ascii="Times New Roman" w:hAnsi="Times New Roman" w:cs="Times New Roman"/>
                <w:bCs/>
                <w:sz w:val="20"/>
                <w:szCs w:val="20"/>
                <w:lang w:val="en-US"/>
              </w:rPr>
              <w:fldChar w:fldCharType="end"/>
            </w:r>
          </w:p>
        </w:tc>
      </w:tr>
      <w:tr w:rsidR="00E26333" w:rsidRPr="00BC0897" w:rsidTr="00925F4B">
        <w:trPr>
          <w:trHeight w:val="555"/>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176FAB"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w:t>
            </w:r>
            <w:r w:rsidR="00E26333" w:rsidRPr="00BC0897">
              <w:rPr>
                <w:rFonts w:ascii="Times New Roman" w:hAnsi="Times New Roman" w:cs="Times New Roman"/>
                <w:bCs/>
                <w:sz w:val="20"/>
                <w:szCs w:val="20"/>
                <w:lang w:val="en-US"/>
              </w:rPr>
              <w:t>C</w:t>
            </w:r>
            <w:r w:rsidRPr="00BC0897">
              <w:rPr>
                <w:rFonts w:ascii="Times New Roman" w:hAnsi="Times New Roman" w:cs="Times New Roman"/>
                <w:bCs/>
                <w:sz w:val="20"/>
                <w:szCs w:val="20"/>
                <w:lang w:val="en-US"/>
              </w:rPr>
              <w:t>ys</w:t>
            </w:r>
            <w:r w:rsidR="00E26333" w:rsidRPr="00BC0897">
              <w:rPr>
                <w:rFonts w:ascii="Times New Roman" w:hAnsi="Times New Roman" w:cs="Times New Roman"/>
                <w:bCs/>
                <w:sz w:val="20"/>
                <w:szCs w:val="20"/>
                <w:lang w:val="en-US"/>
              </w:rPr>
              <w:t>219</w:t>
            </w:r>
            <w:r w:rsidRPr="00BC0897">
              <w:rPr>
                <w:rFonts w:ascii="Times New Roman" w:hAnsi="Times New Roman" w:cs="Times New Roman"/>
                <w:bCs/>
                <w:sz w:val="20"/>
                <w:szCs w:val="20"/>
                <w:lang w:val="en-US"/>
              </w:rPr>
              <w:t>Arg</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 xml:space="preserve">reduced protein expression, impaired </w:t>
            </w:r>
            <w:r w:rsidRPr="00BC0897">
              <w:rPr>
                <w:rFonts w:ascii="Times New Roman" w:hAnsi="Times New Roman" w:cs="Times New Roman"/>
                <w:bCs/>
                <w:i/>
                <w:sz w:val="20"/>
                <w:szCs w:val="20"/>
                <w:lang w:val="en-US"/>
              </w:rPr>
              <w:t>N</w:t>
            </w:r>
            <w:r w:rsidRPr="00BC0897">
              <w:rPr>
                <w:rFonts w:ascii="Times New Roman" w:hAnsi="Times New Roman" w:cs="Times New Roman"/>
                <w:bCs/>
                <w:sz w:val="20"/>
                <w:szCs w:val="20"/>
                <w:lang w:val="en-US"/>
              </w:rPr>
              <w:t>-glycosylation, ER retention</w:t>
            </w: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 and HEK293</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{"citationID":"zPdft82R","properties":{"formattedCitation":"(Grand et al. 2009)","plainCitation":"(Grand et al. 2009)","noteIndex":0},"citationItems":[{"id":321,"uris":["http://zotero.org/users/local/jkkvYBSC/items/KT75S5NW"],"uri":["http://zotero.org/users/local/jkkvYBSC/items/KT75S5NW"],"itemData":{"id":321,"type":"article-journal","abstract":"Dent's disease is an X-linked recessive disorder affecting the proximal tubules and is frequently associated with mutations in CLCN5, which encodes the electrogenic chloride-proton exchanger ClC-5. To better understand the functional consequences of CLCN5 mutations in this disease, we screened four newly identified missense mutations (G179D, S203L, G212A, L469P), one new nonsense mutation (R718X), and three known mutations (L200R, C219R, and C221R), in Xenopus laevis oocytes and HEK293 cells expressing either wild-type or mutant exchanger. A type-I mutant (G212A) trafficked normally to the cell surface and to early endosomes, underwent complex glycosylation at the cell surface like wild-type ClC-5, but exhibited significant reductions in outwardly rectifying ion currents. The type-II mutants (G179D, L200R, S203L, C219R, C221R, L469P, and R718X) were improperly N-glycosylated and were non-functional due to retention in the endoplasmic reticulum. Thus these mutations have distinct mechanisms by which they could impair ClC-5 function in Dent's disease.","container-title":"Kidney International","DOI":"10.1038/ki.2009.305","ISSN":"1523-1755","issue":"9","journalAbbreviation":"Kidney Int.","language":"eng","note":"PMID: 19657328","page":"999-1005","source":"PubMed","title":"Novel CLCN5 mutations in patients with Dent's disease result in altered ion currents or impaired exchanger processing","volume":"76","author":[{"family":"Grand","given":"Teddy"},{"family":"Mordasini","given":"David"},{"family":"L'Hoste","given":"Sébastien"},{"family":"Pennaforte","given":"Thomas"},{"family":"Genete","given":"Mathieu"},{"family":"Biyeyeme","given":"Marie-Jeanne"},{"family":"Vargas-Poussou","given":"Rosa"},{"family":"Blanchard","given":"Anne"},{"family":"Teulon","given":"Jacques"},{"family":"Lourdel","given":"Stéphane"}],"issued":{"date-parts":[["2009",11]]}}}],"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rPr>
              <w:t>(Grand et al. 2009)</w:t>
            </w:r>
            <w:r w:rsidRPr="00BC0897">
              <w:rPr>
                <w:rFonts w:ascii="Times New Roman" w:hAnsi="Times New Roman" w:cs="Times New Roman"/>
                <w:bCs/>
                <w:sz w:val="20"/>
                <w:szCs w:val="20"/>
                <w:lang w:val="en-US"/>
              </w:rPr>
              <w:fldChar w:fldCharType="end"/>
            </w:r>
          </w:p>
        </w:tc>
      </w:tr>
      <w:tr w:rsidR="00E26333" w:rsidRPr="002212C2" w:rsidTr="00925F4B">
        <w:trPr>
          <w:trHeight w:val="847"/>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176FAB"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w:t>
            </w:r>
            <w:r w:rsidR="00E26333" w:rsidRPr="00BC0897">
              <w:rPr>
                <w:rFonts w:ascii="Times New Roman" w:hAnsi="Times New Roman" w:cs="Times New Roman"/>
                <w:bCs/>
                <w:sz w:val="20"/>
                <w:szCs w:val="20"/>
                <w:lang w:val="en-US"/>
              </w:rPr>
              <w:t>C</w:t>
            </w:r>
            <w:r w:rsidRPr="00BC0897">
              <w:rPr>
                <w:rFonts w:ascii="Times New Roman" w:hAnsi="Times New Roman" w:cs="Times New Roman"/>
                <w:bCs/>
                <w:sz w:val="20"/>
                <w:szCs w:val="20"/>
                <w:lang w:val="en-US"/>
              </w:rPr>
              <w:t>ys</w:t>
            </w:r>
            <w:r w:rsidR="00E26333" w:rsidRPr="00BC0897">
              <w:rPr>
                <w:rFonts w:ascii="Times New Roman" w:hAnsi="Times New Roman" w:cs="Times New Roman"/>
                <w:bCs/>
                <w:sz w:val="20"/>
                <w:szCs w:val="20"/>
                <w:lang w:val="en-US"/>
              </w:rPr>
              <w:t>221</w:t>
            </w:r>
            <w:r w:rsidRPr="00BC0897">
              <w:rPr>
                <w:rFonts w:ascii="Times New Roman" w:hAnsi="Times New Roman" w:cs="Times New Roman"/>
                <w:bCs/>
                <w:sz w:val="20"/>
                <w:szCs w:val="20"/>
                <w:lang w:val="en-US"/>
              </w:rPr>
              <w:t>Arg</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 xml:space="preserve">reduced protein expression, impaired </w:t>
            </w:r>
            <w:r w:rsidRPr="00BC0897">
              <w:rPr>
                <w:rFonts w:ascii="Times New Roman" w:hAnsi="Times New Roman" w:cs="Times New Roman"/>
                <w:bCs/>
                <w:i/>
                <w:sz w:val="20"/>
                <w:szCs w:val="20"/>
                <w:lang w:val="en-US"/>
              </w:rPr>
              <w:t>N</w:t>
            </w:r>
            <w:r w:rsidRPr="00BC0897">
              <w:rPr>
                <w:rFonts w:ascii="Times New Roman" w:hAnsi="Times New Roman" w:cs="Times New Roman"/>
                <w:bCs/>
                <w:sz w:val="20"/>
                <w:szCs w:val="20"/>
                <w:lang w:val="en-US"/>
              </w:rPr>
              <w:t xml:space="preserve">-glycosylation, ER retention, misfolded in the ER, </w:t>
            </w:r>
            <w:proofErr w:type="spellStart"/>
            <w:r w:rsidRPr="00BC0897">
              <w:rPr>
                <w:rFonts w:ascii="Times New Roman" w:hAnsi="Times New Roman" w:cs="Times New Roman"/>
                <w:bCs/>
                <w:sz w:val="20"/>
                <w:szCs w:val="20"/>
                <w:lang w:val="en-US"/>
              </w:rPr>
              <w:t>polyubiquinated</w:t>
            </w:r>
            <w:proofErr w:type="spellEnd"/>
            <w:r w:rsidRPr="00BC0897">
              <w:rPr>
                <w:rFonts w:ascii="Times New Roman" w:hAnsi="Times New Roman" w:cs="Times New Roman"/>
                <w:bCs/>
                <w:sz w:val="20"/>
                <w:szCs w:val="20"/>
                <w:lang w:val="en-US"/>
              </w:rPr>
              <w:t xml:space="preserve"> and degraded by proteasome</w:t>
            </w: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 HEK293, OK cells</w:t>
            </w:r>
          </w:p>
        </w:tc>
        <w:tc>
          <w:tcPr>
            <w:tcW w:w="2268" w:type="dxa"/>
            <w:hideMark/>
          </w:tcPr>
          <w:p w:rsidR="00E26333" w:rsidRPr="00BC0897" w:rsidRDefault="00527EAD" w:rsidP="000F21AB">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{"citationID":"d9u7zicA","properties":{"formattedCitation":"(Ludwig et al. 2005; Grand et al. 2009; D\\uc0\\u8217{}Antonio et al. 2013)","plainCitation":"(Ludwig et al. 2005; Grand et al. 2009; D’Antonio et al. 2013)","noteIndex":0},"citationItems":[{"id":468,"uris":["http://zotero.org/users/local/jkkvYBSC/items/A6DET4KW"],"uri":["http://zotero.org/users/local/jkkvYBSC/items/A6DET4KW"],"itemData":{"id":468,"type":"article-journal","abstract":"ClC-5 is a member of the ClC family of voltage-gated chloride channels. Loss-of-function mutations of its corresponding gene (CLCN5) cause Dent's disease, an X-linked kidney disorder, characterized by low-molecular weight proteinuria, hypercalciuria, nephrocalcinosis/nephrolithiasis, and progressive renal failure. Here, we examined the effect of different mutations on function and cellular trafficking of the recombinant protein. Mutant CLCN5 cDNAs were generated by site directed mutagenesis for two premature stop codon variants (R347X and M517IfsX528), and several missense mutations (C221R, L324R, G462 V, and R516 W). We also tested L521R (instead of L521RfsX526 observed) and mutants G506E and R648X (previously reported by others). After heterologous expression in Xenopus oocytes, ClC-5 channel activity and surface expression were determined by two-electrode voltage-clamp analysis and ClC-5 surface ELISA, respectively. Except for the R516 W and R648X variants, none of the mutated proteins induced functional chloride currents or reached the plasma membrane. This is readily understandable for the truncation mutations. Yet, the tested missense mutations are distributed over different transmembrane regions, implying that correct channel structure and orientation in the membrane is not only a prerequisite for proper ClC-5 function but also for Golgi exit. Interestingly, the R648X mutant although functionally compromised, displayed a significant increase in surface expression. This finding might be explained by the deletion of a ClC-5 carboxy-terminal PY-like internalization signal, which in turn impairs channel removal from the membrane. Our observations further imply that recruitment of ClC-5 to alternative routes (plasma membrane or early endosomes) in the trans-Golgi network is mediated via different signal sequences.","container-title":"Human Genetics","DOI":"10.1007/s00439-005-1303-2","ISSN":"0340-6717","issue":"2-3","journalAbbreviation":"Hum. Genet.","language":"eng","note":"PMID: 15895257","page":"228-237","source":"PubMed","title":"Functional evaluation of Dent's disease-causing mutations: implications for ClC-5 channel trafficking and internalization","title-short":"Functional evaluation of Dent's disease-causing mutations","volume":"117","author":[{"family":"Ludwig","given":"Michael"},{"family":"Doroszewicz","given":"Jolanta"},{"family":"Seyberth","given":"Hannsjörg W."},{"family":"Bökenkamp","given":"Arend"},{"family":"Balluch","given":"Bernd"},{"family":"Nuutinen","given":"Matti"},{"family":"Utsch","given":"Boris"},{"family":"Waldegger","given":"Siegfried"}],"issued":{"date-parts":[["2005",7]]}}},{"id":321,"uris":["http://zotero.org/users/local/jkkvYBSC/items/KT75S5NW"],"uri":["http://zotero.org/users/local/jkkvYBSC/items/KT75S5NW"],"itemData":{"id":321,"type":"article-journal","abstract":"Dent's disease is an X-linked recessive disorder affecting the proximal tubules and is frequently associated with mutations in CLCN5, which encodes the electrogenic chloride-proton exchanger ClC-5. To better understand the functional consequences of CLCN5 mutations in this disease, we screened four newly identified missense mutations (G179D, S203L, G212A, L469P), one new nonsense mutation (R718X), and three known mutations (L200R, C219R, and C221R), in Xenopus laevis oocytes and HEK293 cells expressing either wild-type or mutant exchanger. A type-I mutant (G212A) trafficked normally to the cell surface and to early endosomes, underwent complex glycosylation at the cell surface like wild-type ClC-5, but exhibited significant reductions in outwardly rectifying ion currents. The type-II mutants (G179D, L200R, S203L, C219R, C221R, L469P, and R718X) were improperly N-glycosylated and were non-functional due to retention in the endoplasmic reticulum. Thus these mutations have distinct mechanisms by which they could impair ClC-5 function in Dent's disease.","container-title":"Kidney International","DOI":"10.1038/ki.2009.305","ISSN":"1523-1755","issue":"9","journalAbbreviation":"Kidney Int.","language":"eng","note":"PMID: 19657328","page":"999-1005","source":"PubMed","title":"Novel CLCN5 mutations in patients with Dent's disease result in altered ion currents or impaired exchanger processing","volume":"76","author":[{"family":"Grand","given":"Teddy"},{"family":"Mordasini","given":"David"},{"family":"L'Hoste","given":"Sébastien"},{"family":"Pennaforte","given":"Thomas"},{"family":"Genete","given":"Mathieu"},{"family":"Biyeyeme","given":"Marie-Jeanne"},{"family":"Vargas-Poussou","given":"Rosa"},{"family":"Blanchard","given":"Anne"},{"family":"Teulon","given":"Jacques"},{"family":"Lourdel","given":"Stéphane"}],"issued":{"date-parts":[["2009",11]]}}},{"id":466,"uris":["http://zotero.org/users/local/jkkvYBSC/items/BQARCYU5"],"uri":["http://zotero.org/users/local/jkkvYBSC/items/BQARCYU5"],"itemData":{"id":466,"type":"article-journal","abstract":"Mutations in the CLCN5 (chloride channel, voltage-sensitive 5) gene cause Dent's disease because they reduce the functional expression of the ClC-5 chloride/proton transporter in the recycling endosomes of proximal tubule epithelial cells. The majority (60%) of these disease-causing mutations in ClC-5 are misprocessed and retained in the ER (endoplasmic reticulum). Importantly, the structural basis for misprocessing and the cellular destiny of such ClC-5 mutants have yet to be defined. A ClC-5 monomer comprises a short N-terminal region, an extensive membrane domain and a large C-terminal domain. The recent crystal structure of a eukaryotic ClC (chloride channel) transporter revealed the intimate interaction between the membrane domain and the C-terminal region. Therefore we hypothesized that intramolecular interactions may be perturbed in certain mutants. In the present study we examined two misprocessed mutants: C221R located in the membrane domain and R718X, which truncates the C-terminal domain. Both mutants exhibited enhanced protease susceptibility relative to the normal protein in limited proteolysis studies, providing direct evidence that they are misfolded. Interestingly, the membrane-localized mutation C221R led to enhanced protease susceptibility of the cytosolic N-terminal region, and the C-terminal truncation mutation R718X led to enhanced protease susceptibility of both the cytosolic C-terminal and the membrane domain. Together, these studies support the idea that certain misprocessing mutations alter intramolecular interactions within the full-length ClC-5 protein. Further, we found that these misfolded mutants are polyubiquitinated and targeted for proteasomal degradation in the OK (opossum kidney) renal epithelial cells, thereby ensuring that they do not elicit the unfolded protein response.","container-title":"The Biochemical Journal","DOI":"10.1042/BJ20121848","ISSN":"1470-8728","issue":"3","journalAbbreviation":"Biochem. J.","language":"eng","note":"PMID: 23566014","page":"391-400","source":"PubMed","title":"Conformational defects underlie proteasomal degradation of Dent's disease-causing mutants of ClC-5","volume":"452","author":[{"family":"D'Antonio","given":"Christina"},{"family":"Molinski","given":"Steven"},{"family":"Ahmadi","given":"Saumel"},{"family":"Huan","given":"Ling-Jun"},{"family":"Wellhauser","given":"Leigh"},{"family":"Bear","given":"Christine E."}],"issued":{"date-parts":[["2013",6,15]]}}}],"schema":"https://github.com/citation-style-language/schema/raw/master/csl-citation.json"}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lang w:val="en-US"/>
              </w:rPr>
              <w:t>(Ludwig et al. 2005; Grand et al. 2009; D’Antonio et al. 2013)</w:t>
            </w:r>
            <w:r w:rsidRPr="00BC0897">
              <w:rPr>
                <w:rFonts w:ascii="Times New Roman" w:hAnsi="Times New Roman" w:cs="Times New Roman"/>
                <w:bCs/>
                <w:sz w:val="20"/>
                <w:szCs w:val="20"/>
                <w:lang w:val="en-US"/>
              </w:rPr>
              <w:fldChar w:fldCharType="end"/>
            </w:r>
          </w:p>
        </w:tc>
      </w:tr>
      <w:tr w:rsidR="00E26333" w:rsidRPr="00BC0897" w:rsidTr="00925F4B">
        <w:trPr>
          <w:trHeight w:val="300"/>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176FAB"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w:t>
            </w:r>
            <w:r w:rsidR="00E26333" w:rsidRPr="00BC0897">
              <w:rPr>
                <w:rFonts w:ascii="Times New Roman" w:hAnsi="Times New Roman" w:cs="Times New Roman"/>
                <w:bCs/>
                <w:sz w:val="20"/>
                <w:szCs w:val="20"/>
                <w:lang w:val="en-US"/>
              </w:rPr>
              <w:t>L</w:t>
            </w:r>
            <w:r w:rsidRPr="00BC0897">
              <w:rPr>
                <w:rFonts w:ascii="Times New Roman" w:hAnsi="Times New Roman" w:cs="Times New Roman"/>
                <w:bCs/>
                <w:sz w:val="20"/>
                <w:szCs w:val="20"/>
                <w:lang w:val="en-US"/>
              </w:rPr>
              <w:t>eu</w:t>
            </w:r>
            <w:r w:rsidR="00E26333" w:rsidRPr="00BC0897">
              <w:rPr>
                <w:rFonts w:ascii="Times New Roman" w:hAnsi="Times New Roman" w:cs="Times New Roman"/>
                <w:bCs/>
                <w:sz w:val="20"/>
                <w:szCs w:val="20"/>
                <w:lang w:val="en-US"/>
              </w:rPr>
              <w:t>225P</w:t>
            </w:r>
            <w:r w:rsidRPr="00BC0897">
              <w:rPr>
                <w:rFonts w:ascii="Times New Roman" w:hAnsi="Times New Roman" w:cs="Times New Roman"/>
                <w:bCs/>
                <w:sz w:val="20"/>
                <w:szCs w:val="20"/>
                <w:lang w:val="en-US"/>
              </w:rPr>
              <w:t>ro</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altered N-glycosylation, ER retention</w:t>
            </w: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 and HEK293</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{"citationID":"OYUFgWDd","properties":{"formattedCitation":"(Grand et al. 2011)","plainCitation":"(Grand et al. 2011)","noteIndex":0},"citationItems":[{"id":349,"uris":["http://zotero.org/users/local/jkkvYBSC/items/UAGIQI52"],"uri":["http://zotero.org/users/local/jkkvYBSC/items/UAGIQI52"],"itemData":{"id":349,"type":"article-journal","abstract":"Mutations in the electrogenic Cl(-)/H(+) exchanger ClC-5 gene CLCN5 are frequently associated with Dent disease, an X-linked recessive disorder affecting the proximal tubules. Here, we investigate the consequences in Xenopus laevis oocytes and in HEK293 cells of nine previously reported, pathogenic, missense mutations of ClC-5, most of them which are located in regions forming the subunit interface. Two mutants trafficked normally to the cell surface and to early endosomes, and displayed complex glycosylation at the cell surface like wild-type ClC-5, but exhibited reduced currents. Three mutants displayed improper N-glycosylation, and were nonfunctional due to being retained and degraded at the endoplasmic reticulum. Functional characterization of four mutants allowed us to identify a novel mechanism leading to ClC-5 dysfunction in Dent disease. We report that these mutant proteins were delayed in their processing, and that the stability of their complex glycosylated form was reduced, causing lower cell surface expression. The early endosome distribution of these mutants was normal. Half of these mutants displayed reduced currents, whereas the other half showed abolished currents. Our study revealed distinct cellular mechanisms accounting for ClC-5 loss of function in Dent disease.","container-title":"Human Mutation","DOI":"10.1002/humu.21467","ISSN":"1098-1004","issue":"4","journalAbbreviation":"Hum. Mutat.","language":"eng","note":"PMID: 21305656","page":"476-483","source":"PubMed","title":"Heterogeneity in the processing of CLCN5 mutants related to Dent disease","volume":"32","author":[{"family":"Grand","given":"Teddy"},{"family":"L'Hoste","given":"Sébastien"},{"family":"Mordasini","given":"David"},{"family":"Defontaine","given":"Nadia"},{"family":"Keck","given":"Mathilde"},{"family":"Pennaforte","given":"Thomas"},{"family":"Genete","given":"Mathieu"},{"family":"Laghmani","given":"Kamel"},{"family":"Teulon","given":"Jacques"},{"family":"Lourdel","given":"Stéphane"}],"issued":{"date-parts":[["2011",4]]}}}],"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rPr>
              <w:t>(Grand et al. 2011)</w:t>
            </w:r>
            <w:r w:rsidRPr="00BC0897">
              <w:rPr>
                <w:rFonts w:ascii="Times New Roman" w:hAnsi="Times New Roman" w:cs="Times New Roman"/>
                <w:bCs/>
                <w:sz w:val="20"/>
                <w:szCs w:val="20"/>
                <w:lang w:val="en-US"/>
              </w:rPr>
              <w:fldChar w:fldCharType="end"/>
            </w:r>
          </w:p>
        </w:tc>
      </w:tr>
      <w:tr w:rsidR="00E26333" w:rsidRPr="002212C2" w:rsidTr="00925F4B">
        <w:trPr>
          <w:trHeight w:val="537"/>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176FAB"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w:t>
            </w:r>
            <w:r w:rsidR="00E26333" w:rsidRPr="00BC0897">
              <w:rPr>
                <w:rFonts w:ascii="Times New Roman" w:hAnsi="Times New Roman" w:cs="Times New Roman"/>
                <w:bCs/>
                <w:sz w:val="20"/>
                <w:szCs w:val="20"/>
                <w:lang w:val="en-US"/>
              </w:rPr>
              <w:t>S</w:t>
            </w:r>
            <w:r w:rsidRPr="00BC0897">
              <w:rPr>
                <w:rFonts w:ascii="Times New Roman" w:hAnsi="Times New Roman" w:cs="Times New Roman"/>
                <w:bCs/>
                <w:sz w:val="20"/>
                <w:szCs w:val="20"/>
                <w:lang w:val="en-US"/>
              </w:rPr>
              <w:t>er</w:t>
            </w:r>
            <w:r w:rsidR="00E26333" w:rsidRPr="00BC0897">
              <w:rPr>
                <w:rFonts w:ascii="Times New Roman" w:hAnsi="Times New Roman" w:cs="Times New Roman"/>
                <w:bCs/>
                <w:sz w:val="20"/>
                <w:szCs w:val="20"/>
                <w:lang w:val="en-US"/>
              </w:rPr>
              <w:t>244L</w:t>
            </w:r>
            <w:r w:rsidRPr="00BC0897">
              <w:rPr>
                <w:rFonts w:ascii="Times New Roman" w:hAnsi="Times New Roman" w:cs="Times New Roman"/>
                <w:bCs/>
                <w:sz w:val="20"/>
                <w:szCs w:val="20"/>
                <w:lang w:val="en-US"/>
              </w:rPr>
              <w:t>eu</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reduced/ abolished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unaffected</w:t>
            </w: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altered Cl-/H+ stoichiometry</w:t>
            </w: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 HEK293 and renal cortical tubular epithelial cells</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5C2768" w:rsidRPr="00BC0897">
              <w:rPr>
                <w:rFonts w:ascii="Times New Roman" w:hAnsi="Times New Roman" w:cs="Times New Roman"/>
                <w:bCs/>
                <w:sz w:val="20"/>
                <w:szCs w:val="20"/>
                <w:lang w:val="en-US"/>
              </w:rPr>
              <w:instrText xml:space="preserve"> ADDIN ZOTERO_ITEM CSL_CITATION {"citationID":"0k3EKlxx","properties":{"formattedCitation":"(Lloyd et al. 1996; Grand et al. 2011; Tang et al. 2016; Chang et al. 2020)","plainCitation":"(Lloyd et al. 1996; Grand et al. 2011; Tang et al. 2016; Chang et al. 2020)","noteIndex":0},"citationItems":[{"id":99,"uris":["http://zotero.org/users/local/jkkvYBSC/items/F43E5GWG"],"uri":["http://zotero.org/users/local/jkkvYBSC/items/F43E5GWG"],"itemData":{"id":99,"type":"article-journal","abstract":"KIDNEY stones (nephrolithiasis), which affect 12% of males and 5% of females in the western world, are familial in 45% of patients1,2 and are most commonly associated with hypercalciuria1. Three disorders of hypercalciuric nephrolithiasis (Dent's disease3, X-linked recessive nephrolithiasis (XRN)4, and X-linked recessive hypophosphataemic rickets (XLRH)5) have been mapped to Xpll.22 (refs 5–7). A microdeletion6 in one Dent's disease kindred allowed the identification of a candidate gene,CLCN5 (refs 8,9) which encodes a putative renal chloride channel. Here we report the investigation of 11 kindreds with these renal tubular disorders for CLCN5 abnormalities; this identified three nonsense, four missense and two donor splice site mutations, together with one intragenic deletion and one micro-deletion encompassing the entire gene. Heterologous expression of wild-type CLCN5 in Xenopus oocytes yielded outwardly rectifying chloride currents, which were either abolished or markedly reduced by the mutations. The common aetiology for Dent's disease, XRN and XLRH indicates that CLCN5 may be involved in other renal tubular disorders associated with kidney stones.","container-title":"Nature","DOI":"10.1038/379445a0","ISSN":"1476-4687","issue":"6564","journalAbbreviation":"Nature","language":"en","page":"445-449","source":"www.nature.com","title":"A common molecular basis for three inherited kidney stone diseases","volume":"379","author":[{"family":"Lloyd","given":"Sarah E."},{"family":"Pearce","given":"Simon H. S."},{"family":"Fisher","given":"Simon E."},{"family":"Steinmeyer","given":"Klaus"},{"family":"Schwappach","given":"Blanche"},{"family":"Scheinman","given":"Steven J."},{"family":"Harding","given":"Brian"},{"family":"Bolino","given":"Alessandra"},{"family":"Devoto","given":"Marcella"},{"family":"Goodyer","given":"Paul"},{"family":"Rigden","given":"Susan P. A."},{"family":"Wrong","given":"Oliver"},{"family":"Jentsch","given":"Thomas J."},{"family":"Craig","given":"Ian W."},{"family":"Thakker","given":"Rajesh V."}],"issued":{"date-parts":[["1996",2]]}}},{"id":349,"uris":["http://zotero.org/users/local/jkkvYBSC/items/UAGIQI52"],"uri":["http://zotero.org/users/local/jkkvYBSC/items/UAGIQI52"],"itemData":{"id":349,"type":"article-journal","abstract":"Mutations in the electrogenic Cl(-)/H(+) exchanger ClC-5 gene CLCN5 are frequently associated with Dent disease, an X-linked recessive disorder affecting the proximal tubules. Here, we investigate the consequences in Xenopus laevis oocytes and in HEK293 cells of nine previously reported, pathogenic, missense mutations of ClC-5, most of them which are located in regions forming the subunit interface. Two mutants trafficked normally to the cell surface and to early endosomes, and displayed complex glycosylation at the cell surface like wild-type ClC-5, but exhibited reduced currents. Three mutants displayed improper N-glycosylation, and were nonfunctional due to being retained and degraded at the endoplasmic reticulum. Functional characterization of four mutants allowed us to identify a novel mechanism leading to ClC-5 dysfunction in Dent disease. We report that these mutant proteins were delayed in their processing, and that the stability of their complex glycosylated form was reduced, causing lower cell surface expression. The early endosome distribution of these mutants was normal. Half of these mutants displayed reduced currents, whereas the other half showed abolished currents. Our study revealed distinct cellular mechanisms accounting for ClC-5 loss of function in Dent disease.","container-title":"Human Mutation","DOI":"10.1002/humu.21467","ISSN":"1098-1004","issue":"4","journalAbbreviation":"Hum. Mutat.","language":"eng","note":"PMID: 21305656","page":"476-483","source":"PubMed","title":"Heterogeneity in the processing of CLCN5 mutants related to Dent disease","volume":"32","author":[{"family":"Grand","given":"Teddy"},{"family":"L'Hoste","given":"Sébastien"},{"family":"Mordasini","given":"David"},{"family":"Defontaine","given":"Nadia"},{"family":"Keck","given":"Mathilde"},{"family":"Pennaforte","given":"Thomas"},{"family":"Genete","given":"Mathieu"},{"family":"Laghmani","given":"Kamel"},{"family":"Teulon","given":"Jacques"},{"family":"Lourdel","given":"Stéphane"}],"issued":{"date-parts":[["2011",4]]}}},{"id":64,"uris":["http://zotero.org/users/local/jkkvYBSC/items/P4DHEA6J"],"uri":["http://zotero.org/users/local/jkkvYBSC/items/P4DHEA6J"],"itemData":{"id":64,"type":"article-journal","abstract":"Dent disease type 1, an X-linked inherited kidney disease is caused by mutations in electrogenic Cl(-)/H(+) exchanger, ClC-5. We functionally studied the most frequent mutation (S244L) and two mutations recently identified in RKSC patients, Q629X and R345W. We also studied T657S, which has a high minor-allele frequency (0.23%) in the African-American population, was published previously as pathogenic to cause Dent disease. The transport properties of CLC-5 were electrophysiologically characterized. WT and ClC-5 mutant currents were inhibited by pH 5.5, but not affected by an alkaline extracellular solution (pH 8.5). The T657S and R345W mutations showed the same anion selectivity sequence as WT ClC-5 (SCN(-)&gt;NO3(-)≈Cl(-)&gt;Br(-)&gt;I(-)). However, the S244L and Q629X mutations abolished this anion conductance sequence. Cell surface CLC-5 expression was quantified using extracellular HA-tagged CLC-5 and a chemiluminescent immunoassay. Cellular localization of eGFP-tagged CLC-5 proteins was also examined in HEK293 cells with organelle-specific fluorescent probes. Functional defects of R345W and Q629X mutations were caused by the trafficking of the protein to the plasma membrane since proteins were mostly retained in the endoplasmic reticulum, and mutations showed positive correlations between surface expression and transport function. In contrast, although the S244L transport function was significantly lower than WT, cell surface, early endosome, and endoplasmic reticulum expression was equal to that of WT CLC-5. Function and trafficking of T657S was equivalent to the WT CLC-5 suggesting this is a benign variant rather than pathogenic. These studies demonstrate the useful information that can be gained by detailed functional studies of mutations predicted to be pathogenic.","container-title":"Physiological Reports","DOI":"10.14814/phy2.12776","ISSN":"2051-817X","issue":"8","journalAbbreviation":"Physiol Rep","language":"eng","note":"PMID: 27117801\nPMCID: PMC4848727","page":"e12776","source":"PubMed","title":"Functional and transport analyses of CLCN5 genetic changes identified in Dent disease patients","volume":"4","author":[{"family":"Tang","given":"Xiaojing"},{"family":"Brown","given":"Matthew R."},{"family":"Cogal","given":"Andrea G."},{"family":"Gauvin","given":"Daniel"},{"family":"Harris","given":"Peter C."},{"family":"Lieske","given":"John C."},{"family":"Romero","given":"Michael F."},{"family":"Chang","given":"Min-Hwang"}],"issued":{"date-parts":[["2016",4]]}}},{"id":651,"uris":["http://zotero.org/users/local/jkkvYBSC/items/N2549KG2"],"uri":["http://zotero.org/users/local/jkkvYBSC/items/N2549KG2"],"itemData":{"id":651,"type":"article-journal","abstract":"Dent disease 1 (DD1) is caused by mutations in the CLCN5 gene encoding a voltage-gated electrogenic nCl-/H+ exchanger ClC-5. Using ion-selective microelectrodes and Xenopus oocytes, here we studied Cl-/H+ coupling properties of WT ClC-5 and four DD1-associated variants (S244L, R345W, Q629*, and T657S), along with trafficking and localization of ClC-5. WT ClC-5 had a 2Cl-/H+ exchange ratio at a Vh of +40 mV with a [Cl-]out of 104 mm, but the transport direction did not reverse with a [Cl-]out of 5 mm, indicating that ClC-5-mediated exchange of two Cl- out for one H+ in is not permissible. We hypothesized that ClC-5 and H+-ATPase are functionally coupled during H+-ATPase-mediated endosomal acidification, crucial for ClC-5 activation by depolarizing endosomes. ClC-5 transport that provides three net negative charges appeared self-inhibitory because of ClC-5's voltage-gated properties, but shunt conductance facilitated further H+-ATPase-mediated endosomal acidification. Thus, an on-and-off \"burst\" of ClC-5 activity was crucial for preventing Cl- exit from endosomes. The subcellular distribution of the ClC-5:S244L variant was comparable with that of WT ClC-5, but the variant had a much slower Cl- and H+ transport and displayed an altered stoichiometry of 1.6:1. The ClC-5:R345W variant exhibited slightly higher Cl-/H+ transport than ClC-5:S244L, but co-localized with early endosomes, suggesting decreased ClC-5:R345W membrane trafficking is perhaps in a fully functional form. The truncated ClC-5:Q629* variant displayed the lowest Cl-/H+ exchange and was retained in the endoplasmic reticulum and cis-Golgi, but not in early endosomes, suggesting the nonsense mutation affects ClC-5 maturation and trafficking.","container-title":"The Journal of Biological Chemistry","DOI":"10.1074/jbc.RA119.011366","ISSN":"1083-351X","issue":"6","journalAbbreviation":"J. Biol. Chem.","language":"eng","note":"PMID: 31852738\nPMCID: PMC7008381","page":"1464-1473","source":"PubMed","title":"Cl- and H+ coupling properties and subcellular localizations of wildtype and disease-associated variants of the voltage-gated Cl-/H+ exchanger ClC-5","volume":"295","author":[{"family":"Chang","given":"Min-Hwang"},{"family":"Brown","given":"Matthew R."},{"family":"Liu","given":"Yiran"},{"family":"Gainullin","given":"Vladimir G."},{"family":"Harris","given":"Peter C."},{"family":"Romero","given":"Michael F."},{"family":"Lieske","given":"John C."}],"issued":{"date-parts":[["2020",2,7]]}}}],"schema":"https://github.com/citation-style-language/schema/raw/master/csl-citation.json"}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lang w:val="en-US"/>
              </w:rPr>
              <w:t>(Lloyd et al. 1996; Grand et al. 2011; Tang et al. 2016; Chang et al. 2020)</w:t>
            </w:r>
            <w:r w:rsidRPr="00BC0897">
              <w:rPr>
                <w:rFonts w:ascii="Times New Roman" w:hAnsi="Times New Roman" w:cs="Times New Roman"/>
                <w:bCs/>
                <w:sz w:val="20"/>
                <w:szCs w:val="20"/>
                <w:lang w:val="en-US"/>
              </w:rPr>
              <w:fldChar w:fldCharType="end"/>
            </w:r>
          </w:p>
        </w:tc>
      </w:tr>
      <w:tr w:rsidR="00E26333" w:rsidRPr="002212C2" w:rsidTr="00925F4B">
        <w:trPr>
          <w:trHeight w:val="545"/>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176FAB"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w:t>
            </w:r>
            <w:r w:rsidR="00E26333" w:rsidRPr="00BC0897">
              <w:rPr>
                <w:rFonts w:ascii="Times New Roman" w:hAnsi="Times New Roman" w:cs="Times New Roman"/>
                <w:bCs/>
                <w:sz w:val="20"/>
                <w:szCs w:val="20"/>
                <w:lang w:val="en-US"/>
              </w:rPr>
              <w:t>S</w:t>
            </w:r>
            <w:r w:rsidRPr="00BC0897">
              <w:rPr>
                <w:rFonts w:ascii="Times New Roman" w:hAnsi="Times New Roman" w:cs="Times New Roman"/>
                <w:bCs/>
                <w:sz w:val="20"/>
                <w:szCs w:val="20"/>
                <w:lang w:val="en-US"/>
              </w:rPr>
              <w:t>er</w:t>
            </w:r>
            <w:r w:rsidR="00E26333" w:rsidRPr="00BC0897">
              <w:rPr>
                <w:rFonts w:ascii="Times New Roman" w:hAnsi="Times New Roman" w:cs="Times New Roman"/>
                <w:bCs/>
                <w:sz w:val="20"/>
                <w:szCs w:val="20"/>
                <w:lang w:val="en-US"/>
              </w:rPr>
              <w:t>244A</w:t>
            </w:r>
            <w:r w:rsidRPr="00BC0897">
              <w:rPr>
                <w:rFonts w:ascii="Times New Roman" w:hAnsi="Times New Roman" w:cs="Times New Roman"/>
                <w:bCs/>
                <w:sz w:val="20"/>
                <w:szCs w:val="20"/>
                <w:lang w:val="en-US"/>
              </w:rPr>
              <w:t>la</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no changes in ion selectivity or in steady-state rectification</w:t>
            </w: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 xml:space="preserve">HEK293 and </w:t>
            </w: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{"citationID":"s6KzOSkn","properties":{"formattedCitation":"(Lloyd et al. 1996; Friedrich et al. 1999)","plainCitation":"(Lloyd et al. 1996; Friedrich et al. 1999)","noteIndex":0},"citationItems":[{"id":99,"uris":["http://zotero.org/users/local/jkkvYBSC/items/F43E5GWG"],"uri":["http://zotero.org/users/local/jkkvYBSC/items/F43E5GWG"],"itemData":{"id":99,"type":"article-journal","abstract":"KIDNEY stones (nephrolithiasis), which affect 12% of males and 5% of females in the western world, are familial in 45% of patients1,2 and are most commonly associated with hypercalciuria1. Three disorders of hypercalciuric nephrolithiasis (Dent's disease3, X-linked recessive nephrolithiasis (XRN)4, and X-linked recessive hypophosphataemic rickets (XLRH)5) have been mapped to Xpll.22 (refs 5–7). A microdeletion6 in one Dent's disease kindred allowed the identification of a candidate gene,CLCN5 (refs 8,9) which encodes a putative renal chloride channel. Here we report the investigation of 11 kindreds with these renal tubular disorders for CLCN5 abnormalities; this identified three nonsense, four missense and two donor splice site mutations, together with one intragenic deletion and one micro-deletion encompassing the entire gene. Heterologous expression of wild-type CLCN5 in Xenopus oocytes yielded outwardly rectifying chloride currents, which were either abolished or markedly reduced by the mutations. The common aetiology for Dent's disease, XRN and XLRH indicates that CLCN5 may be involved in other renal tubular disorders associated with kidney stones.","container-title":"Nature","DOI":"10.1038/379445a0","ISSN":"1476-4687","issue":"6564","journalAbbreviation":"Nature","language":"en","page":"445-449","source":"www.nature.com","title":"A common molecular basis for three inherited kidney stone diseases","volume":"379","author":[{"family":"Lloyd","given":"Sarah E."},{"family":"Pearce","given":"Simon H. S."},{"family":"Fisher","given":"Simon E."},{"family":"Steinmeyer","given":"Klaus"},{"family":"Schwappach","given":"Blanche"},{"family":"Scheinman","given":"Steven J."},{"family":"Harding","given":"Brian"},{"family":"Bolino","given":"Alessandra"},{"family":"Devoto","given":"Marcella"},{"family":"Goodyer","given":"Paul"},{"family":"Rigden","given":"Susan P. A."},{"family":"Wrong","given":"Oliver"},{"family":"Jentsch","given":"Thomas J."},{"family":"Craig","given":"Ian W."},{"family":"Thakker","given":"Rajesh V."}],"issued":{"date-parts":[["1996",2]]}}},{"id":207,"uris":["http://zotero.org/users/local/jkkvYBSC/items/W93G7GFU"],"uri":["http://zotero.org/users/local/jkkvYBSC/items/W93G7GFU"],"itemData":{"id":207,"type":"article-journal","abstract":"ClC-4 and ClC-5, together with ClC-3, form a distinct branch of the CLC chloride channel family. Although ClC-5 was shown to be mainly expressed in endocytotic vesicles, expression of ClC-5 in Xenopus oocytes elicited chloride currents. We now show that ClC-4 also gives rise to strongly outwardly rectifying anion currents when expressed in oocytes. They closely resemble ClC-5 currents with which they share a NO3- &gt; Cl- &gt; Br- &gt; I- conductance sequence that differs from that reported for the highly homologous ClC-3. Both ClC-4 and ClC-5 currents are reduced by lowering extracellular pH. We could measure similar currents after expressing either channel in HEK293 cells. To demonstrate that these currents are directly mediated by the channel proteins, we introduced several point mutations that change channel characteristics. In ClC-5, several point mutations alter the kinetics of activation but leave macroscopic rectification and ion selectivity unchanged. A mutation (N565K) equivalent to a mutation reported to have profound effects on ClC-3 does not have similar effects on ClC-5. Moreover, a mutation at the end of D2 (S168T in ClC-5) changes ion selectivity, and a mutation at the end of D3 (E211A in ClC-5 and E224A in ClC-4) changes voltage dependence and ion selectivity. This shows that ClC-4 and ClC-5 can directly mediate plasma membrane currents.","container-title":"The Journal of Biological Chemistry","DOI":"10.1074/jbc.274.2.896","ISSN":"0021-9258","issue":"2","journalAbbreviation":"J. Biol. Chem.","language":"eng","note":"PMID: 9873029","page":"896-902","source":"PubMed","title":"Mutational analysis demonstrates that ClC-4 and ClC-5 directly mediate plasma membrane currents","volume":"274","author":[{"family":"Friedrich","given":"T."},{"family":"Breiderhoff","given":"T."},{"family":"Jentsch","given":"T. J."}],"issued":{"date-parts":[["1999",1,8]]}}}],"schema":"https://github.com/citation-style-language/schema/raw/master/csl-citation.json"}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lang w:val="en-US"/>
              </w:rPr>
              <w:t>(Lloyd et al. 1996; Friedrich et al. 1999)</w:t>
            </w:r>
            <w:r w:rsidRPr="00BC0897">
              <w:rPr>
                <w:rFonts w:ascii="Times New Roman" w:hAnsi="Times New Roman" w:cs="Times New Roman"/>
                <w:bCs/>
                <w:sz w:val="20"/>
                <w:szCs w:val="20"/>
                <w:lang w:val="en-US"/>
              </w:rPr>
              <w:fldChar w:fldCharType="end"/>
            </w:r>
          </w:p>
        </w:tc>
      </w:tr>
      <w:tr w:rsidR="00E26333" w:rsidRPr="00BC0897" w:rsidTr="00925F4B">
        <w:trPr>
          <w:trHeight w:val="553"/>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F86D2D"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w:t>
            </w:r>
            <w:r w:rsidR="00E26333" w:rsidRPr="00BC0897">
              <w:rPr>
                <w:rFonts w:ascii="Times New Roman" w:hAnsi="Times New Roman" w:cs="Times New Roman"/>
                <w:bCs/>
                <w:sz w:val="20"/>
                <w:szCs w:val="20"/>
                <w:lang w:val="en-US"/>
              </w:rPr>
              <w:t>S</w:t>
            </w:r>
            <w:r w:rsidRPr="00BC0897">
              <w:rPr>
                <w:rFonts w:ascii="Times New Roman" w:hAnsi="Times New Roman" w:cs="Times New Roman"/>
                <w:bCs/>
                <w:sz w:val="20"/>
                <w:szCs w:val="20"/>
                <w:lang w:val="en-US"/>
              </w:rPr>
              <w:t>er</w:t>
            </w:r>
            <w:r w:rsidR="00E26333" w:rsidRPr="00BC0897">
              <w:rPr>
                <w:rFonts w:ascii="Times New Roman" w:hAnsi="Times New Roman" w:cs="Times New Roman"/>
                <w:bCs/>
                <w:sz w:val="20"/>
                <w:szCs w:val="20"/>
                <w:lang w:val="en-US"/>
              </w:rPr>
              <w:t>244T</w:t>
            </w:r>
            <w:r w:rsidRPr="00BC0897">
              <w:rPr>
                <w:rFonts w:ascii="Times New Roman" w:hAnsi="Times New Roman" w:cs="Times New Roman"/>
                <w:bCs/>
                <w:sz w:val="20"/>
                <w:szCs w:val="20"/>
                <w:lang w:val="en-US"/>
              </w:rPr>
              <w:t>hr</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reduced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no changes in ion selectivity or in steady-state rectification</w:t>
            </w: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 xml:space="preserve">HEK293 and </w:t>
            </w: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{"citationID":"1nsG8xXK","properties":{"formattedCitation":"(Friedrich et al. 1999)","plainCitation":"(Friedrich et al. 1999)","noteIndex":0},"citationItems":[{"id":207,"uris":["http://zotero.org/users/local/jkkvYBSC/items/W93G7GFU"],"uri":["http://zotero.org/users/local/jkkvYBSC/items/W93G7GFU"],"itemData":{"id":207,"type":"article-journal","abstract":"ClC-4 and ClC-5, together with ClC-3, form a distinct branch of the CLC chloride channel family. Although ClC-5 was shown to be mainly expressed in endocytotic vesicles, expression of ClC-5 in Xenopus oocytes elicited chloride currents. We now show that ClC-4 also gives rise to strongly outwardly rectifying anion currents when expressed in oocytes. They closely resemble ClC-5 currents with which they share a NO3- &gt; Cl- &gt; Br- &gt; I- conductance sequence that differs from that reported for the highly homologous ClC-3. Both ClC-4 and ClC-5 currents are reduced by lowering extracellular pH. We could measure similar currents after expressing either channel in HEK293 cells. To demonstrate that these currents are directly mediated by the channel proteins, we introduced several point mutations that change channel characteristics. In ClC-5, several point mutations alter the kinetics of activation but leave macroscopic rectification and ion selectivity unchanged. A mutation (N565K) equivalent to a mutation reported to have profound effects on ClC-3 does not have similar effects on ClC-5. Moreover, a mutation at the end of D2 (S168T in ClC-5) changes ion selectivity, and a mutation at the end of D3 (E211A in ClC-5 and E224A in ClC-4) changes voltage dependence and ion selectivity. This shows that ClC-4 and ClC-5 can directly mediate plasma membrane currents.","container-title":"The Journal of Biological Chemistry","DOI":"10.1074/jbc.274.2.896","ISSN":"0021-9258","issue":"2","journalAbbreviation":"J. Biol. Chem.","language":"eng","note":"PMID: 9873029","page":"896-902","source":"PubMed","title":"Mutational analysis demonstrates that ClC-4 and ClC-5 directly mediate plasma membrane currents","volume":"274","author":[{"family":"Friedrich","given":"T."},{"family":"Breiderhoff","given":"T."},{"family":"Jentsch","given":"T. J."}],"issued":{"date-parts":[["1999",1,8]]}}}],"schema":"https://github.com/citation-style-language/schema/raw/master/csl-citation.json"}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rPr>
              <w:t>(Friedrich et al. 1999)</w:t>
            </w:r>
            <w:r w:rsidRPr="00BC0897">
              <w:rPr>
                <w:rFonts w:ascii="Times New Roman" w:hAnsi="Times New Roman" w:cs="Times New Roman"/>
                <w:bCs/>
                <w:sz w:val="20"/>
                <w:szCs w:val="20"/>
                <w:lang w:val="en-US"/>
              </w:rPr>
              <w:fldChar w:fldCharType="end"/>
            </w:r>
          </w:p>
        </w:tc>
      </w:tr>
      <w:tr w:rsidR="00E26333" w:rsidRPr="00BC0897" w:rsidTr="00925F4B">
        <w:trPr>
          <w:trHeight w:val="300"/>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F86D2D"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w:t>
            </w:r>
            <w:r w:rsidR="00E26333" w:rsidRPr="00BC0897">
              <w:rPr>
                <w:rFonts w:ascii="Times New Roman" w:hAnsi="Times New Roman" w:cs="Times New Roman"/>
                <w:bCs/>
                <w:sz w:val="20"/>
                <w:szCs w:val="20"/>
                <w:lang w:val="en-US"/>
              </w:rPr>
              <w:t>G</w:t>
            </w:r>
            <w:r w:rsidRPr="00BC0897">
              <w:rPr>
                <w:rFonts w:ascii="Times New Roman" w:hAnsi="Times New Roman" w:cs="Times New Roman"/>
                <w:bCs/>
                <w:sz w:val="20"/>
                <w:szCs w:val="20"/>
                <w:lang w:val="en-US"/>
              </w:rPr>
              <w:t>ly</w:t>
            </w:r>
            <w:r w:rsidR="00E26333" w:rsidRPr="00BC0897">
              <w:rPr>
                <w:rFonts w:ascii="Times New Roman" w:hAnsi="Times New Roman" w:cs="Times New Roman"/>
                <w:bCs/>
                <w:sz w:val="20"/>
                <w:szCs w:val="20"/>
                <w:lang w:val="en-US"/>
              </w:rPr>
              <w:t>260V</w:t>
            </w:r>
            <w:r w:rsidRPr="00BC0897">
              <w:rPr>
                <w:rFonts w:ascii="Times New Roman" w:hAnsi="Times New Roman" w:cs="Times New Roman"/>
                <w:bCs/>
                <w:sz w:val="20"/>
                <w:szCs w:val="20"/>
                <w:lang w:val="en-US"/>
              </w:rPr>
              <w:t>al</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reduced</w:t>
            </w: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 and HEK293</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{"citationID":"kaOeG8O9","properties":{"formattedCitation":"(Grand et al. 2011)","plainCitation":"(Grand et al. 2011)","noteIndex":0},"citationItems":[{"id":349,"uris":["http://zotero.org/users/local/jkkvYBSC/items/UAGIQI52"],"uri":["http://zotero.org/users/local/jkkvYBSC/items/UAGIQI52"],"itemData":{"id":349,"type":"article-journal","abstract":"Mutations in the electrogenic Cl(-)/H(+) exchanger ClC-5 gene CLCN5 are frequently associated with Dent disease, an X-linked recessive disorder affecting the proximal tubules. Here, we investigate the consequences in Xenopus laevis oocytes and in HEK293 cells of nine previously reported, pathogenic, missense mutations of ClC-5, most of them which are located in regions forming the subunit interface. Two mutants trafficked normally to the cell surface and to early endosomes, and displayed complex glycosylation at the cell surface like wild-type ClC-5, but exhibited reduced currents. Three mutants displayed improper N-glycosylation, and were nonfunctional due to being retained and degraded at the endoplasmic reticulum. Functional characterization of four mutants allowed us to identify a novel mechanism leading to ClC-5 dysfunction in Dent disease. We report that these mutant proteins were delayed in their processing, and that the stability of their complex glycosylated form was reduced, causing lower cell surface expression. The early endosome distribution of these mutants was normal. Half of these mutants displayed reduced currents, whereas the other half showed abolished currents. Our study revealed distinct cellular mechanisms accounting for ClC-5 loss of function in Dent disease.","container-title":"Human Mutation","DOI":"10.1002/humu.21467","ISSN":"1098-1004","issue":"4","journalAbbreviation":"Hum. Mutat.","language":"eng","note":"PMID: 21305656","page":"476-483","source":"PubMed","title":"Heterogeneity in the processing of CLCN5 mutants related to Dent disease","volume":"32","author":[{"family":"Grand","given":"Teddy"},{"family":"L'Hoste","given":"Sébastien"},{"family":"Mordasini","given":"David"},{"family":"Defontaine","given":"Nadia"},{"family":"Keck","given":"Mathilde"},{"family":"Pennaforte","given":"Thomas"},{"family":"Genete","given":"Mathieu"},{"family":"Laghmani","given":"Kamel"},{"family":"Teulon","given":"Jacques"},{"family":"Lourdel","given":"Stéphane"}],"issued":{"date-parts":[["2011",4]]}}}],"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rPr>
              <w:t>(Grand et al. 2011)</w:t>
            </w:r>
            <w:r w:rsidRPr="00BC0897">
              <w:rPr>
                <w:rFonts w:ascii="Times New Roman" w:hAnsi="Times New Roman" w:cs="Times New Roman"/>
                <w:bCs/>
                <w:sz w:val="20"/>
                <w:szCs w:val="20"/>
                <w:lang w:val="en-US"/>
              </w:rPr>
              <w:fldChar w:fldCharType="end"/>
            </w:r>
          </w:p>
        </w:tc>
      </w:tr>
      <w:tr w:rsidR="00E26333" w:rsidRPr="00BC0897" w:rsidTr="00925F4B">
        <w:trPr>
          <w:trHeight w:val="346"/>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F86D2D"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p.Glu</w:t>
            </w:r>
            <w:r w:rsidR="00E26333" w:rsidRPr="00BC0897">
              <w:rPr>
                <w:rFonts w:ascii="Times New Roman" w:hAnsi="Times New Roman" w:cs="Times New Roman"/>
                <w:bCs/>
                <w:sz w:val="20"/>
                <w:szCs w:val="20"/>
                <w:lang w:val="en-US"/>
              </w:rPr>
              <w:t>268A</w:t>
            </w:r>
            <w:r w:rsidRPr="00BC0897">
              <w:rPr>
                <w:rFonts w:ascii="Times New Roman" w:hAnsi="Times New Roman" w:cs="Times New Roman"/>
                <w:bCs/>
                <w:sz w:val="20"/>
                <w:szCs w:val="20"/>
                <w:lang w:val="en-US"/>
              </w:rPr>
              <w:t>la</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normal endosomal acidification</w:t>
            </w: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HEK293</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{"citationID":"GBXu9PiR","properties":{"formattedCitation":"(Smith and Lippiat 2010)","plainCitation":"(Smith and Lippiat 2010)","noteIndex":0},"citationItems":[{"id":372,"uris":["http://zotero.org/users/local/jkkvYBSC/items/KMCQKHTF"],"uri":["http://zotero.org/users/local/jkkvYBSC/items/KMCQKHTF"],"itemData":{"id":372,"type":"article-journal","abstract":"The voltage-gated Cl(-) channel (CLC) family comprises cell surface Cl(-) channels and intracellular Cl(-)/H(+) exchangers. CLCs in organelle membranes are thought to assist acidification by providing a passive chloride conductance that electrically counterbalances H(+) accumulation. Following recent descriptions of Cl(-)/H(+) exchange activity in endosomal CLCs we have re-evaluated their role. We expressed human CLC-5 in HEK293 cells, recorded currents under a range of Cl(-) and H(+) gradients by whole-cell patch clamp, and examined the contribution of CLC-5 to endosomal acidification using a targeted pH-sensitive fluorescent protein. We found that CLC-5 only conducted outward currents, corresponding to Cl(-) flux into the cytoplasm and H(+) from the cytoplasm. Inward currents were never observed, despite the range of intracellular and extracellular Cl(-) concentrations and pH used. Endosomal acidification in HEK293 cells was prevented by 25 microm bafilomycin-A1, an inhibitor of vacuolar-type H(+)-ATPase (v-ATPase), which actively pumps H(+) into the endosomal lumen. Overexpression of CLC-5 in HEK293 cells conferred an additional bafilomycin-insensitive component to endosomal acidification. This effect was abolished by making mutations in CLC-5 that remove H(+) transport, which result in either no current (E268A) or bidirectional Cl(-) flux (E211A). Endosomal acidification in a proximal tubule cell line was partially sensitive to inhibition of v-ATPase by bafilomycin-A1. Furthermore, in the presence of bafilomycin-A1, acidification was significantly reduced and nearly fully ablated by partial and near-complete knockdown of endogenous CLC-5 by siRNA. These data suggest that CLC-5 is directly involved in endosomal acidification by exchanging endosomal Cl(-) for H(+).","container-title":"The Journal of Physiology","DOI":"10.1113/jphysiol.2010.188540","ISSN":"1469-7793","issue":"Pt 12","journalAbbreviation":"J. Physiol. (Lond.)","language":"eng","note":"PMID: 20421284\nPMCID: PMC2911210","page":"2033-2045","source":"PubMed","title":"Direct endosomal acidification by the outwardly rectifying CLC-5 Cl(-)/H(+) exchanger","volume":"588","author":[{"family":"Smith","given":"Andrew J."},{"family":"Lippiat","given":"Jonathan D."}],"issued":{"date-parts":[["2010",6,15]]}}}],"schema":"https://github.com/citation-style-language/schema/raw/master/csl-citation.json"}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rPr>
              <w:t>(Smith and Lippiat 2010)</w:t>
            </w:r>
            <w:r w:rsidRPr="00BC0897">
              <w:rPr>
                <w:rFonts w:ascii="Times New Roman" w:hAnsi="Times New Roman" w:cs="Times New Roman"/>
                <w:bCs/>
                <w:sz w:val="20"/>
                <w:szCs w:val="20"/>
                <w:lang w:val="en-US"/>
              </w:rPr>
              <w:fldChar w:fldCharType="end"/>
            </w:r>
          </w:p>
        </w:tc>
      </w:tr>
      <w:tr w:rsidR="00E26333" w:rsidRPr="002212C2" w:rsidTr="00925F4B">
        <w:trPr>
          <w:trHeight w:val="408"/>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F86D2D"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w:t>
            </w:r>
            <w:r w:rsidR="00E26333" w:rsidRPr="00BC0897">
              <w:rPr>
                <w:rFonts w:ascii="Times New Roman" w:hAnsi="Times New Roman" w:cs="Times New Roman"/>
                <w:bCs/>
                <w:sz w:val="20"/>
                <w:szCs w:val="20"/>
                <w:lang w:val="en-US"/>
              </w:rPr>
              <w:t>S</w:t>
            </w:r>
            <w:r w:rsidRPr="00BC0897">
              <w:rPr>
                <w:rFonts w:ascii="Times New Roman" w:hAnsi="Times New Roman" w:cs="Times New Roman"/>
                <w:bCs/>
                <w:sz w:val="20"/>
                <w:szCs w:val="20"/>
                <w:lang w:val="en-US"/>
              </w:rPr>
              <w:t>er270Arg</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reduced/ abolished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absent</w:t>
            </w: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ER localization</w:t>
            </w: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 and HEK-MSR</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{"citationID":"ZKzoPzYb","properties":{"formattedCitation":"(Igarashi et al. 1998; Smith et al. 2009)","plainCitation":"(Igarashi et al. 1998; Smith et al. 2009)","noteIndex":0},"citationItems":[{"id":463,"uris":["http://zotero.org/users/local/jkkvYBSC/items/6TTMGNDQ"],"uri":["http://zotero.org/users/local/jkkvYBSC/items/6TTMGNDQ"],"itemData":{"id":463,"type":"article-journal","abstract":"Mutations of the human CLCN5 gene, which encodes the CLC-5 Cl(-)/H(+) exchanger, lead to Dent's disease. Mutations result in functional defects that range from moderate reductions to complete loss of whole cell currents, although the severity of the functional defect rarely correlates with the severity of the disease. To further elucidate the basis of CLC-5 mutations causing Dent's disease, we examined the functional and cell biological consequences of seven previously reported missense mutants, utilizing electrophysiological and cell biological techniques. This revealed three classes of Dent's disease-causing CLC-5 mutations. Class 1 mutations lead to endoplasmic reticulum retention and degradation of CLC-5. Class 2 mutations appear to have little effect on subcellular distribution of CLC-5 but cause defective function resulting in severe defects in endosomal acidification. Class 3 mutations lead to alterations in the endosomal distribution of CLC-5 but are otherwise able to support endosomal acidification. Molecular modeling demonstrates a structural basis that may underlie the nature of the defect resulting from each mutation with each class occupying discrete regions of the protein quaternary structure. Thus these results demonstrate that the cell biological consequences of CLC-5 mutations are heterogeneous and can be classified into three major groups and that a correlation between the nature of the defect and the location of the mutation in the structure may be drawn. This model may prove to be useful as a tool to aid in the diagnosis and future therapeutic intervention of the disease.","container-title":"American Journal of Physiology. Renal Physiology","DOI":"10.1152/ajprenal.90526.2008","ISSN":"1931-857X","issue":"2","journalAbbreviation":"Am. J. Physiol. Renal Physiol.","language":"eng","note":"PMID: 19019917\nPMCID: PMC2643861","page":"F390-397","source":"PubMed","title":"Characterization of Dent's disease mutations of CLC-5 reveals a correlation between functional and cell biological consequences and protein structure","volume":"296","author":[{"family":"Smith","given":"Andrew J."},{"family":"Reed","given":"Anita A. C."},{"family":"Loh","given":"Nellie Y."},{"family":"Thakker","given":"Rajesh V."},{"family":"Lippiat","given":"Jonathan D."}],"issued":{"date-parts":[["2009",2]]}}},{"id":332,"uris":["http://zotero.org/users/local/jkkvYBSC/items/CP8UYL58"],"uri":["http://zotero.org/users/local/jkkvYBSC/items/CP8UYL58"],"itemData":{"id":332,"type":"article-journal","abstract":"BACKGROUND: The annual urinary screening of Japanese children above three years of age has identified a progressive renal tubular disorder characterized by low molecular weight proteinuria, hypercalciuria and nephrocalcinosis, and this represents a variant of Dent's disease. Hitherto, 12 mutations of the X-linked renal specific chloride channel, CLCN5, have been reported in the Dent'sJapan variant. To further identify such CLCN5 mutations and to define the structure-function relationships of this channel, we have investigated five unrelated, non-consanguinous Japanese families with this disorder.\nMETHODS: Leukocyte DNA from probands was used with CLCN5 primers for PCR amplification of the coding region, and the DNA sequences of the products determined. Functional studies were performed by expressing the mutants in Xenopus oocytes.\nRESULTS: Five CLCN5 mutations consisting of two nonsense (R648X and R704X), two missense (S270R and L278F) and one acceptor splice site mutation (ag--&gt;cg) in intron 4 were identified. The missense and splice site mutations represent novel abnormalities. Heterologous expression in Xenopus oocytes of wild-type and the missense mutants demonstrated that the mutations, which were translated, either abolished or markedly reduced chloride conductance.\nCONCLUSIONS: These results expand the spectrum of CLCN5 mutations associated with this renal disorder and provide insight into possible structure-function relationships. For example, both the missense mutations are located within a short putative loop between two transmembrane domains, and our results suggest that this region may have an important functional role in the regulation of channel activity.","container-title":"Kidney International","DOI":"10.1046/j.1523-1755.1998.00203.x","ISSN":"0085-2538","issue":"6","journalAbbreviation":"Kidney Int.","language":"eng","note":"PMID: 9853249","page":"1850-1856","source":"PubMed","title":"Functional characterization of renal chloride channel, CLCN5, mutations associated with Dent'sJapan disease","volume":"54","author":[{"family":"Igarashi","given":"T."},{"family":"Günther","given":"W."},{"family":"Sekine","given":"T."},{"family":"Inatomi","given":"J."},{"family":"Shiraga","given":"H."},{"family":"Takahashi","given":"S."},{"family":"Suzuki","given":"J."},{"family":"Tsuru","given":"N."},{"family":"Yanagihara","given":"T."},{"family":"Shimazu","given":"M."},{"family":"Jentsch","given":"T. J."},{"family":"Thakker","given":"R. V."}],"issued":{"date-parts":[["1998",12]]}}}],"schema":"https://github.com/citation-style-language/schema/raw/master/csl-citation.json"}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lang w:val="en-US"/>
              </w:rPr>
              <w:t>(Igarashi et al. 1998; Smith et al. 2009)</w:t>
            </w:r>
            <w:r w:rsidRPr="00BC0897">
              <w:rPr>
                <w:rFonts w:ascii="Times New Roman" w:hAnsi="Times New Roman" w:cs="Times New Roman"/>
                <w:bCs/>
                <w:sz w:val="20"/>
                <w:szCs w:val="20"/>
                <w:lang w:val="en-US"/>
              </w:rPr>
              <w:fldChar w:fldCharType="end"/>
            </w:r>
          </w:p>
        </w:tc>
      </w:tr>
      <w:tr w:rsidR="00E26333" w:rsidRPr="00BC0897" w:rsidTr="00925F4B">
        <w:trPr>
          <w:trHeight w:val="300"/>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F86D2D"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p.Tyr</w:t>
            </w:r>
            <w:r w:rsidR="00E26333" w:rsidRPr="00BC0897">
              <w:rPr>
                <w:rFonts w:ascii="Times New Roman" w:hAnsi="Times New Roman" w:cs="Times New Roman"/>
                <w:bCs/>
                <w:sz w:val="20"/>
                <w:szCs w:val="20"/>
                <w:lang w:val="en-US"/>
              </w:rPr>
              <w:t>272C</w:t>
            </w:r>
            <w:r w:rsidRPr="00BC0897">
              <w:rPr>
                <w:rFonts w:ascii="Times New Roman" w:hAnsi="Times New Roman" w:cs="Times New Roman"/>
                <w:bCs/>
                <w:sz w:val="20"/>
                <w:szCs w:val="20"/>
                <w:lang w:val="en-US"/>
              </w:rPr>
              <w:t>ys</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unaffected</w:t>
            </w: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 and HEK293</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{"citationID":"G0nGEQvA","properties":{"formattedCitation":"(Grand et al. 2011)","plainCitation":"(Grand et al. 2011)","noteIndex":0},"citationItems":[{"id":349,"uris":["http://zotero.org/users/local/jkkvYBSC/items/UAGIQI52"],"uri":["http://zotero.org/users/local/jkkvYBSC/items/UAGIQI52"],"itemData":{"id":349,"type":"article-journal","abstract":"Mutations in the electrogenic Cl(-)/H(+) exchanger ClC-5 gene CLCN5 are frequently associated with Dent disease, an X-linked recessive disorder affecting the proximal tubules. Here, we investigate the consequences in Xenopus laevis oocytes and in HEK293 cells of nine previously reported, pathogenic, missense mutations of ClC-5, most of them which are located in regions forming the subunit interface. Two mutants trafficked normally to the cell surface and to early endosomes, and displayed complex glycosylation at the cell surface like wild-type ClC-5, but exhibited reduced currents. Three mutants displayed improper N-glycosylation, and were nonfunctional due to being retained and degraded at the endoplasmic reticulum. Functional characterization of four mutants allowed us to identify a novel mechanism leading to ClC-5 dysfunction in Dent disease. We report that these mutant proteins were delayed in their processing, and that the stability of their complex glycosylated form was reduced, causing lower cell surface expression. The early endosome distribution of these mutants was normal. Half of these mutants displayed reduced currents, whereas the other half showed abolished currents. Our study revealed distinct cellular mechanisms accounting for ClC-5 loss of function in Dent disease.","container-title":"Human Mutation","DOI":"10.1002/humu.21467","ISSN":"1098-1004","issue":"4","journalAbbreviation":"Hum. Mutat.","language":"eng","note":"PMID: 21305656","page":"476-483","source":"PubMed","title":"Heterogeneity in the processing of CLCN5 mutants related to Dent disease","volume":"32","author":[{"family":"Grand","given":"Teddy"},{"family":"L'Hoste","given":"Sébastien"},{"family":"Mordasini","given":"David"},{"family":"Defontaine","given":"Nadia"},{"family":"Keck","given":"Mathilde"},{"family":"Pennaforte","given":"Thomas"},{"family":"Genete","given":"Mathieu"},{"family":"Laghmani","given":"Kamel"},{"family":"Teulon","given":"Jacques"},{"family":"Lourdel","given":"Stéphane"}],"issued":{"date-parts":[["2011",4]]}}}],"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rPr>
              <w:t>(Grand et al. 2011)</w:t>
            </w:r>
            <w:r w:rsidRPr="00BC0897">
              <w:rPr>
                <w:rFonts w:ascii="Times New Roman" w:hAnsi="Times New Roman" w:cs="Times New Roman"/>
                <w:bCs/>
                <w:sz w:val="20"/>
                <w:szCs w:val="20"/>
                <w:lang w:val="en-US"/>
              </w:rPr>
              <w:fldChar w:fldCharType="end"/>
            </w:r>
          </w:p>
        </w:tc>
      </w:tr>
      <w:tr w:rsidR="00925F4B" w:rsidRPr="00BC0897" w:rsidTr="00B86952">
        <w:trPr>
          <w:trHeight w:val="841"/>
        </w:trPr>
        <w:tc>
          <w:tcPr>
            <w:tcW w:w="1144" w:type="dxa"/>
            <w:hideMark/>
          </w:tcPr>
          <w:p w:rsidR="00925F4B" w:rsidRPr="00BC0897" w:rsidRDefault="00925F4B" w:rsidP="00B86952">
            <w:pPr>
              <w:spacing w:after="0"/>
              <w:jc w:val="both"/>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lastRenderedPageBreak/>
              <w:t>Type</w:t>
            </w:r>
          </w:p>
        </w:tc>
        <w:tc>
          <w:tcPr>
            <w:tcW w:w="1941" w:type="dxa"/>
            <w:hideMark/>
          </w:tcPr>
          <w:p w:rsidR="00925F4B" w:rsidRPr="00BC0897" w:rsidRDefault="00925F4B" w:rsidP="00B86952">
            <w:pPr>
              <w:spacing w:after="0"/>
              <w:jc w:val="both"/>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Mutation</w:t>
            </w:r>
          </w:p>
        </w:tc>
        <w:tc>
          <w:tcPr>
            <w:tcW w:w="1276" w:type="dxa"/>
            <w:hideMark/>
          </w:tcPr>
          <w:p w:rsidR="00925F4B" w:rsidRPr="00BC0897" w:rsidRDefault="00925F4B" w:rsidP="00B86952">
            <w:pPr>
              <w:spacing w:after="0"/>
              <w:jc w:val="both"/>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Chloride current</w:t>
            </w:r>
          </w:p>
        </w:tc>
        <w:tc>
          <w:tcPr>
            <w:tcW w:w="1276" w:type="dxa"/>
            <w:hideMark/>
          </w:tcPr>
          <w:p w:rsidR="00925F4B" w:rsidRPr="00BC0897" w:rsidRDefault="00925F4B" w:rsidP="00B86952">
            <w:pPr>
              <w:spacing w:after="0"/>
              <w:jc w:val="both"/>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Plasma membrane expression</w:t>
            </w:r>
          </w:p>
        </w:tc>
        <w:tc>
          <w:tcPr>
            <w:tcW w:w="4252" w:type="dxa"/>
            <w:hideMark/>
          </w:tcPr>
          <w:p w:rsidR="00925F4B" w:rsidRPr="00BC0897" w:rsidRDefault="00925F4B" w:rsidP="00B86952">
            <w:pPr>
              <w:spacing w:after="0"/>
              <w:jc w:val="both"/>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Other observations</w:t>
            </w:r>
          </w:p>
        </w:tc>
        <w:tc>
          <w:tcPr>
            <w:tcW w:w="2410" w:type="dxa"/>
            <w:hideMark/>
          </w:tcPr>
          <w:p w:rsidR="00925F4B" w:rsidRPr="00BC0897" w:rsidRDefault="00925F4B" w:rsidP="00B86952">
            <w:pPr>
              <w:spacing w:after="0"/>
              <w:jc w:val="both"/>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Biological system</w:t>
            </w:r>
          </w:p>
        </w:tc>
        <w:tc>
          <w:tcPr>
            <w:tcW w:w="2268" w:type="dxa"/>
            <w:hideMark/>
          </w:tcPr>
          <w:p w:rsidR="00925F4B" w:rsidRPr="00BC0897" w:rsidRDefault="00925F4B" w:rsidP="00B86952">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Ref</w:t>
            </w:r>
          </w:p>
        </w:tc>
      </w:tr>
      <w:tr w:rsidR="00E26333" w:rsidRPr="002212C2" w:rsidTr="00925F4B">
        <w:trPr>
          <w:trHeight w:val="428"/>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F86D2D"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w:t>
            </w:r>
            <w:r w:rsidR="00E26333" w:rsidRPr="00BC0897">
              <w:rPr>
                <w:rFonts w:ascii="Times New Roman" w:hAnsi="Times New Roman" w:cs="Times New Roman"/>
                <w:bCs/>
                <w:sz w:val="20"/>
                <w:szCs w:val="20"/>
                <w:lang w:val="en-US"/>
              </w:rPr>
              <w:t>L</w:t>
            </w:r>
            <w:r w:rsidRPr="00BC0897">
              <w:rPr>
                <w:rFonts w:ascii="Times New Roman" w:hAnsi="Times New Roman" w:cs="Times New Roman"/>
                <w:bCs/>
                <w:sz w:val="20"/>
                <w:szCs w:val="20"/>
                <w:lang w:val="en-US"/>
              </w:rPr>
              <w:t>eu278Phe</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reduced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reduced</w:t>
            </w: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 and HEK293</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{"citationID":"WC13Sj2h","properties":{"formattedCitation":"(Igarashi et al. 1998; Grand et al. 2011)","plainCitation":"(Igarashi et al. 1998; Grand et al. 2011)","noteIndex":0},"citationItems":[{"id":349,"uris":["http://zotero.org/users/local/jkkvYBSC/items/UAGIQI52"],"uri":["http://zotero.org/users/local/jkkvYBSC/items/UAGIQI52"],"itemData":{"id":349,"type":"article-journal","abstract":"Mutations in the electrogenic Cl(-)/H(+) exchanger ClC-5 gene CLCN5 are frequently associated with Dent disease, an X-linked recessive disorder affecting the proximal tubules. Here, we investigate the consequences in Xenopus laevis oocytes and in HEK293 cells of nine previously reported, pathogenic, missense mutations of ClC-5, most of them which are located in regions forming the subunit interface. Two mutants trafficked normally to the cell surface and to early endosomes, and displayed complex glycosylation at the cell surface like wild-type ClC-5, but exhibited reduced currents. Three mutants displayed improper N-glycosylation, and were nonfunctional due to being retained and degraded at the endoplasmic reticulum. Functional characterization of four mutants allowed us to identify a novel mechanism leading to ClC-5 dysfunction in Dent disease. We report that these mutant proteins were delayed in their processing, and that the stability of their complex glycosylated form was reduced, causing lower cell surface expression. The early endosome distribution of these mutants was normal. Half of these mutants displayed reduced currents, whereas the other half showed abolished currents. Our study revealed distinct cellular mechanisms accounting for ClC-5 loss of function in Dent disease.","container-title":"Human Mutation","DOI":"10.1002/humu.21467","ISSN":"1098-1004","issue":"4","journalAbbreviation":"Hum. Mutat.","language":"eng","note":"PMID: 21305656","page":"476-483","source":"PubMed","title":"Heterogeneity in the processing of CLCN5 mutants related to Dent disease","volume":"32","author":[{"family":"Grand","given":"Teddy"},{"family":"L'Hoste","given":"Sébastien"},{"family":"Mordasini","given":"David"},{"family":"Defontaine","given":"Nadia"},{"family":"Keck","given":"Mathilde"},{"family":"Pennaforte","given":"Thomas"},{"family":"Genete","given":"Mathieu"},{"family":"Laghmani","given":"Kamel"},{"family":"Teulon","given":"Jacques"},{"family":"Lourdel","given":"Stéphane"}],"issued":{"date-parts":[["2011",4]]}}},{"id":332,"uris":["http://zotero.org/users/local/jkkvYBSC/items/CP8UYL58"],"uri":["http://zotero.org/users/local/jkkvYBSC/items/CP8UYL58"],"itemData":{"id":332,"type":"article-journal","abstract":"BACKGROUND: The annual urinary screening of Japanese children above three years of age has identified a progressive renal tubular disorder characterized by low molecular weight proteinuria, hypercalciuria and nephrocalcinosis, and this represents a variant of Dent's disease. Hitherto, 12 mutations of the X-linked renal specific chloride channel, CLCN5, have been reported in the Dent'sJapan variant. To further identify such CLCN5 mutations and to define the structure-function relationships of this channel, we have investigated five unrelated, non-consanguinous Japanese families with this disorder.\nMETHODS: Leukocyte DNA from probands was used with CLCN5 primers for PCR amplification of the coding region, and the DNA sequences of the products determined. Functional studies were performed by expressing the mutants in Xenopus oocytes.\nRESULTS: Five CLCN5 mutations consisting of two nonsense (R648X and R704X), two missense (S270R and L278F) and one acceptor splice site mutation (ag--&gt;cg) in intron 4 were identified. The missense and splice site mutations represent novel abnormalities. Heterologous expression in Xenopus oocytes of wild-type and the missense mutants demonstrated that the mutations, which were translated, either abolished or markedly reduced chloride conductance.\nCONCLUSIONS: These results expand the spectrum of CLCN5 mutations associated with this renal disorder and provide insight into possible structure-function relationships. For example, both the missense mutations are located within a short putative loop between two transmembrane domains, and our results suggest that this region may have an important functional role in the regulation of channel activity.","container-title":"Kidney International","DOI":"10.1046/j.1523-1755.1998.00203.x","ISSN":"0085-2538","issue":"6","journalAbbreviation":"Kidney Int.","language":"eng","note":"PMID: 9853249","page":"1850-1856","source":"PubMed","title":"Functional characterization of renal chloride channel, CLCN5, mutations associated with Dent'sJapan disease","volume":"54","author":[{"family":"Igarashi","given":"T."},{"family":"Günther","given":"W."},{"family":"Sekine","given":"T."},{"family":"Inatomi","given":"J."},{"family":"Shiraga","given":"H."},{"family":"Takahashi","given":"S."},{"family":"Suzuki","given":"J."},{"family":"Tsuru","given":"N."},{"family":"Yanagihara","given":"T."},{"family":"Shimazu","given":"M."},{"family":"Jentsch","given":"T. J."},{"family":"Thakker","given":"R. V."}],"issued":{"date-parts":[["1998",12]]}}}],"schema":"https://github.com/citation-style-language/schema/raw/master/csl-citation.json"}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lang w:val="en-US"/>
              </w:rPr>
              <w:t>(Igarashi et al. 1998; Grand et al. 2011)</w:t>
            </w:r>
            <w:r w:rsidRPr="00BC0897">
              <w:rPr>
                <w:rFonts w:ascii="Times New Roman" w:hAnsi="Times New Roman" w:cs="Times New Roman"/>
                <w:bCs/>
                <w:sz w:val="20"/>
                <w:szCs w:val="20"/>
                <w:lang w:val="en-US"/>
              </w:rPr>
              <w:fldChar w:fldCharType="end"/>
            </w:r>
          </w:p>
        </w:tc>
      </w:tr>
      <w:tr w:rsidR="00E26333" w:rsidRPr="002212C2" w:rsidTr="00925F4B">
        <w:trPr>
          <w:trHeight w:val="406"/>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F86D2D"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p.Arg</w:t>
            </w:r>
            <w:r w:rsidR="00E26333" w:rsidRPr="00BC0897">
              <w:rPr>
                <w:rFonts w:ascii="Times New Roman" w:hAnsi="Times New Roman" w:cs="Times New Roman"/>
                <w:bCs/>
                <w:sz w:val="20"/>
                <w:szCs w:val="20"/>
                <w:lang w:val="en-US"/>
              </w:rPr>
              <w:t>280P</w:t>
            </w:r>
            <w:r w:rsidRPr="00BC0897">
              <w:rPr>
                <w:rFonts w:ascii="Times New Roman" w:hAnsi="Times New Roman" w:cs="Times New Roman"/>
                <w:bCs/>
                <w:sz w:val="20"/>
                <w:szCs w:val="20"/>
                <w:lang w:val="en-US"/>
              </w:rPr>
              <w:t>ro</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reduced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reduced</w:t>
            </w: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localized in early endosomes</w:t>
            </w: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 and HEK-MSR</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{"citationID":"fPthhcGy","properties":{"formattedCitation":"(Lloyd et al. 1997b; Smith et al. 2009)","plainCitation":"(Lloyd et al. 1997b; Smith et al. 2009)","noteIndex":0},"citationItems":[{"id":743,"uris":["http://zotero.org/users/local/jkkvYBSC/items/ZUUI8399"],"uri":["http://zotero.org/users/local/jkkvYBSC/items/ZUUI8399"],"itemData":{"id":743,"type":"article-journal","abstract":"The annual urinary screening of Japanese children above 3 yr of age has identified a progressive proximal renal tubular disorder characterized by low molecular weight proteinuria, hypercalciuria, and nephrocalcinosis. The disorder, which has a familial predisposition and occurs predominantly in males, has similarities to three X-linked proximal renal tubular disorders that are due to mutations in the renal chloride channel gene, CLCN5. We have investigated four unrelated Japanese kindreds with this tubulopathy and have identified four different CLCN5 mutations (two nonsense, one missense, and one frameshift). These are predicted to lead to a loss of chloride channel function, and heterologous expression of the missense CLCN5 mutation in Xenopus oocytes demonstrated a 70% reduction in channel activity when compared with the wild-type. In addition, single-stranded conformation polymorphism (SSCP) analysis was found to be a sensitive and specific mutational screening method that detected &gt; 75% of CLCN5 mutations. Thus, the results of our study expand the spectrum of clinical phenotypes associated with CLCN5 mutations to include this proximal renal tubular disorder of Japanese children. In addition, the mutational screening of CLCN5 by SSCP will help to supplement the clinical evaluation of the annual urinary screening program for this disorder.","container-title":"The Journal of Clinical Investigation","DOI":"10.1172/JCI119262","ISSN":"0021-9738","issue":"5","journalAbbreviation":"J. Clin. Invest.","language":"eng","note":"PMID: 9062355\nPMCID: PMC507905","page":"967-974","source":"PubMed","title":"Idiopathic low molecular weight proteinuria associated with hypercalciuric nephrocalcinosis in Japanese children is due to mutations of the renal chloride channel (CLCN5)","volume":"99","author":[{"family":"Lloyd","given":"S. E."},{"family":"Pearce","given":"S. H."},{"family":"Günther","given":"W."},{"family":"Kawaguchi","given":"H."},{"family":"Igarashi","given":"T."},{"family":"Jentsch","given":"T. J."},{"family":"Thakker","given":"R. V."}],"issued":{"date-parts":[["1997",3,1]]}}},{"id":463,"uris":["http://zotero.org/users/local/jkkvYBSC/items/6TTMGNDQ"],"uri":["http://zotero.org/users/local/jkkvYBSC/items/6TTMGNDQ"],"itemData":{"id":463,"type":"article-journal","abstract":"Mutations of the human CLCN5 gene, which encodes the CLC-5 Cl(-)/H(+) exchanger, lead to Dent's disease. Mutations result in functional defects that range from moderate reductions to complete loss of whole cell currents, although the severity of the functional defect rarely correlates with the severity of the disease. To further elucidate the basis of CLC-5 mutations causing Dent's disease, we examined the functional and cell biological consequences of seven previously reported missense mutants, utilizing electrophysiological and cell biological techniques. This revealed three classes of Dent's disease-causing CLC-5 mutations. Class 1 mutations lead to endoplasmic reticulum retention and degradation of CLC-5. Class 2 mutations appear to have little effect on subcellular distribution of CLC-5 but cause defective function resulting in severe defects in endosomal acidification. Class 3 mutations lead to alterations in the endosomal distribution of CLC-5 but are otherwise able to support endosomal acidification. Molecular modeling demonstrates a structural basis that may underlie the nature of the defect resulting from each mutation with each class occupying discrete regions of the protein quaternary structure. Thus these results demonstrate that the cell biological consequences of CLC-5 mutations are heterogeneous and can be classified into three major groups and that a correlation between the nature of the defect and the location of the mutation in the structure may be drawn. This model may prove to be useful as a tool to aid in the diagnosis and future therapeutic intervention of the disease.","container-title":"American Journal of Physiology. Renal Physiology","DOI":"10.1152/ajprenal.90526.2008","ISSN":"1931-857X","issue":"2","journalAbbreviation":"Am. J. Physiol. Renal Physiol.","language":"eng","note":"PMID: 19019917\nPMCID: PMC2643861","page":"F390-397","source":"PubMed","title":"Characterization of Dent's disease mutations of CLC-5 reveals a correlation between functional and cell biological consequences and protein structure","volume":"296","author":[{"family":"Smith","given":"Andrew J."},{"family":"Reed","given":"Anita A. C."},{"family":"Loh","given":"Nellie Y."},{"family":"Thakker","given":"Rajesh V."},{"family":"Lippiat","given":"Jonathan D."}],"issued":{"date-parts":[["2009",2]]}}}],"schema":"https://github.com/citation-style-language/schema/raw/master/csl-citation.json"}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lang w:val="en-US"/>
              </w:rPr>
              <w:t>(Lloyd et al. 1997b; Smith et al. 2009)</w:t>
            </w:r>
            <w:r w:rsidRPr="00BC0897">
              <w:rPr>
                <w:rFonts w:ascii="Times New Roman" w:hAnsi="Times New Roman" w:cs="Times New Roman"/>
                <w:bCs/>
                <w:sz w:val="20"/>
                <w:szCs w:val="20"/>
                <w:lang w:val="en-US"/>
              </w:rPr>
              <w:fldChar w:fldCharType="end"/>
            </w:r>
          </w:p>
        </w:tc>
      </w:tr>
      <w:tr w:rsidR="00E26333" w:rsidRPr="002212C2" w:rsidTr="00925F4B">
        <w:trPr>
          <w:trHeight w:val="300"/>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F86D2D"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p.Leu324Arg</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{"citationID":"ds6Wqt2C","properties":{"formattedCitation":"(Ludwig et al. 2005)","plainCitation":"(Ludwig et al. 2005)","noteIndex":0},"citationItems":[{"id":468,"uris":["http://zotero.org/users/local/jkkvYBSC/items/A6DET4KW"],"uri":["http://zotero.org/users/local/jkkvYBSC/items/A6DET4KW"],"itemData":{"id":468,"type":"article-journal","abstract":"ClC-5 is a member of the ClC family of voltage-gated chloride channels. Loss-of-function mutations of its corresponding gene (CLCN5) cause Dent's disease, an X-linked kidney disorder, characterized by low-molecular weight proteinuria, hypercalciuria, nephrocalcinosis/nephrolithiasis, and progressive renal failure. Here, we examined the effect of different mutations on function and cellular trafficking of the recombinant protein. Mutant CLCN5 cDNAs were generated by site directed mutagenesis for two premature stop codon variants (R347X and M517IfsX528), and several missense mutations (C221R, L324R, G462 V, and R516 W). We also tested L521R (instead of L521RfsX526 observed) and mutants G506E and R648X (previously reported by others). After heterologous expression in Xenopus oocytes, ClC-5 channel activity and surface expression were determined by two-electrode voltage-clamp analysis and ClC-5 surface ELISA, respectively. Except for the R516 W and R648X variants, none of the mutated proteins induced functional chloride currents or reached the plasma membrane. This is readily understandable for the truncation mutations. Yet, the tested missense mutations are distributed over different transmembrane regions, implying that correct channel structure and orientation in the membrane is not only a prerequisite for proper ClC-5 function but also for Golgi exit. Interestingly, the R648X mutant although functionally compromised, displayed a significant increase in surface expression. This finding might be explained by the deletion of a ClC-5 carboxy-terminal PY-like internalization signal, which in turn impairs channel removal from the membrane. Our observations further imply that recruitment of ClC-5 to alternative routes (plasma membrane or early endosomes) in the trans-Golgi network is mediated via different signal sequences.","container-title":"Human Genetics","DOI":"10.1007/s00439-005-1303-2","ISSN":"0340-6717","issue":"2-3","journalAbbreviation":"Hum. Genet.","language":"eng","note":"PMID: 15895257","page":"228-237","source":"PubMed","title":"Functional evaluation of Dent's disease-causing mutations: implications for ClC-5 channel trafficking and internalization","title-short":"Functional evaluation of Dent's disease-causing mutations","volume":"117","author":[{"family":"Ludwig","given":"Michael"},{"family":"Doroszewicz","given":"Jolanta"},{"family":"Seyberth","given":"Hannsjörg W."},{"family":"Bökenkamp","given":"Arend"},{"family":"Balluch","given":"Bernd"},{"family":"Nuutinen","given":"Matti"},{"family":"Utsch","given":"Boris"},{"family":"Waldegger","given":"Siegfried"}],"issued":{"date-parts":[["2005",7]]}}}],"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lang w:val="en-US"/>
              </w:rPr>
              <w:t>(Ludwig et al. 2005)</w:t>
            </w:r>
            <w:r w:rsidRPr="00BC0897">
              <w:rPr>
                <w:rFonts w:ascii="Times New Roman" w:hAnsi="Times New Roman" w:cs="Times New Roman"/>
                <w:bCs/>
                <w:sz w:val="20"/>
                <w:szCs w:val="20"/>
                <w:lang w:val="en-US"/>
              </w:rPr>
              <w:fldChar w:fldCharType="end"/>
            </w:r>
          </w:p>
        </w:tc>
      </w:tr>
      <w:tr w:rsidR="00E26333" w:rsidRPr="00BC0897" w:rsidTr="00925F4B">
        <w:trPr>
          <w:trHeight w:val="388"/>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F86D2D"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w:t>
            </w:r>
            <w:r w:rsidR="00E26333" w:rsidRPr="00BC0897">
              <w:rPr>
                <w:rFonts w:ascii="Times New Roman" w:hAnsi="Times New Roman" w:cs="Times New Roman"/>
                <w:bCs/>
                <w:sz w:val="20"/>
                <w:szCs w:val="20"/>
                <w:lang w:val="en-US"/>
              </w:rPr>
              <w:t>G</w:t>
            </w:r>
            <w:r w:rsidRPr="00BC0897">
              <w:rPr>
                <w:rFonts w:ascii="Times New Roman" w:hAnsi="Times New Roman" w:cs="Times New Roman"/>
                <w:bCs/>
                <w:sz w:val="20"/>
                <w:szCs w:val="20"/>
                <w:lang w:val="en-US"/>
              </w:rPr>
              <w:t>ly333Arg</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 xml:space="preserve">lower expression, impaired </w:t>
            </w:r>
            <w:r w:rsidRPr="00BC0897">
              <w:rPr>
                <w:rFonts w:ascii="Times New Roman" w:hAnsi="Times New Roman" w:cs="Times New Roman"/>
                <w:bCs/>
                <w:i/>
                <w:sz w:val="20"/>
                <w:szCs w:val="20"/>
                <w:lang w:val="en-US"/>
              </w:rPr>
              <w:t>N</w:t>
            </w:r>
            <w:r w:rsidRPr="00BC0897">
              <w:rPr>
                <w:rFonts w:ascii="Times New Roman" w:hAnsi="Times New Roman" w:cs="Times New Roman"/>
                <w:bCs/>
                <w:sz w:val="20"/>
                <w:szCs w:val="20"/>
                <w:lang w:val="en-US"/>
              </w:rPr>
              <w:t>-glycosylation</w:t>
            </w: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 and CHO</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{"citationID":"agj4kAUb","properties":{"formattedCitation":"(Tanuma et al. 2007)","plainCitation":"(Tanuma et al. 2007)","noteIndex":0},"citationItems":[{"id":410,"uris":["http://zotero.org/users/local/jkkvYBSC/items/MIQLD8GM"],"uri":["http://zotero.org/users/local/jkkvYBSC/items/MIQLD8GM"],"itemData":{"id":410,"type":"article-journal","abstract":"BACKGROUND/AIMS: Mutations of the endosomal chloride/proton exchanger gene, CLCN5, cause Dent's disease, an X-linked recessive proximal tubular disorder. The renal endocytic system was found to be affected in clcn5 knockout mice. However, the impaired endocytic machinery of Dent's disease patients has not been thoroughly investigated.\nMETHODS: The CLCN5 gene was sequenced in a Japanese patient with Dent's disease and his family. The loss-of-function phenotype of the missense CLCN5 mutation was investigated by gene expression in Xenopus oocytes and CHO cells. Immunohistochemical analysis was performed on kidney biopsy specimens for endocytic machinery proteins, megalin, cubilin, and disabled-2 (Dab2) in proximal tubules.\nRESULTS: Genomic analysis revealed a novel G-to-A transition at the first nucleotide of the 333rd codon of CLCN5, causing a substitution of glycine with arginine. Inefficient expression of the mutant gene in Xenopus oocytes resulted in abolished chloride currents. Impaired N-glycosylation of the mutant protein was evident in the DNA-transfected CHO cells. Proximal tubular expression of megalin, cubilin, and Dab2 was markedly reduced and irregular staining in some portions was observed in the patient compared with controls.\nCONCLUSIONS: A novel G333R CLCN5 mutation caused defective expression of megalin, cubilin, and Dab2 in a patient with Dent's disease.","container-title":"Nephron. Physiology","DOI":"10.1159/000111253","ISSN":"1660-2137","issue":"4","journalAbbreviation":"Nephron Physiol","language":"eng","note":"PMID: 18025833","page":"p87-97","source":"PubMed","title":"Functional characterization of a novel missense CLCN5 mutation causing alterations in proximal tubular endocytic machinery in Dent's disease","volume":"107","author":[{"family":"Tanuma","given":"Atsuhito"},{"family":"Sato","given":"Hiroyoshi"},{"family":"Takeda","given":"Tetsuro"},{"family":"Hosojima","given":"Michihiro"},{"family":"Obayashi","given":"Hiroaki"},{"family":"Hama","given":"Hitomi"},{"family":"Iino","given":"Noriaki"},{"family":"Hosaka","given":"Kiyoko"},{"family":"Kaseda","given":"Ryohei"},{"family":"Imai","given":"Naofumi"},{"family":"Ueno","given":"Mitsuhiro"},{"family":"Yamazaki","given":"Maya"},{"family":"Sakimura","given":"Kenji"},{"family":"Gejyo","given":"Fumitake"},{"family":"Saito","given":"Akihiko"}],"issued":{"date-parts":[["2007"]]}}}],"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rPr>
              <w:t>(Tanuma et al. 2007)</w:t>
            </w:r>
            <w:r w:rsidRPr="00BC0897">
              <w:rPr>
                <w:rFonts w:ascii="Times New Roman" w:hAnsi="Times New Roman" w:cs="Times New Roman"/>
                <w:bCs/>
                <w:sz w:val="20"/>
                <w:szCs w:val="20"/>
                <w:lang w:val="en-US"/>
              </w:rPr>
              <w:fldChar w:fldCharType="end"/>
            </w:r>
          </w:p>
        </w:tc>
      </w:tr>
      <w:tr w:rsidR="00E26333" w:rsidRPr="00BC0897" w:rsidTr="00925F4B">
        <w:trPr>
          <w:trHeight w:val="300"/>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F86D2D"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p.Asn340Lys</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altered N-glycosylation, ER retention</w:t>
            </w: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 and HEK293</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{"citationID":"rLbh4233","properties":{"formattedCitation":"(Grand et al. 2011)","plainCitation":"(Grand et al. 2011)","noteIndex":0},"citationItems":[{"id":349,"uris":["http://zotero.org/users/local/jkkvYBSC/items/UAGIQI52"],"uri":["http://zotero.org/users/local/jkkvYBSC/items/UAGIQI52"],"itemData":{"id":349,"type":"article-journal","abstract":"Mutations in the electrogenic Cl(-)/H(+) exchanger ClC-5 gene CLCN5 are frequently associated with Dent disease, an X-linked recessive disorder affecting the proximal tubules. Here, we investigate the consequences in Xenopus laevis oocytes and in HEK293 cells of nine previously reported, pathogenic, missense mutations of ClC-5, most of them which are located in regions forming the subunit interface. Two mutants trafficked normally to the cell surface and to early endosomes, and displayed complex glycosylation at the cell surface like wild-type ClC-5, but exhibited reduced currents. Three mutants displayed improper N-glycosylation, and were nonfunctional due to being retained and degraded at the endoplasmic reticulum. Functional characterization of four mutants allowed us to identify a novel mechanism leading to ClC-5 dysfunction in Dent disease. We report that these mutant proteins were delayed in their processing, and that the stability of their complex glycosylated form was reduced, causing lower cell surface expression. The early endosome distribution of these mutants was normal. Half of these mutants displayed reduced currents, whereas the other half showed abolished currents. Our study revealed distinct cellular mechanisms accounting for ClC-5 loss of function in Dent disease.","container-title":"Human Mutation","DOI":"10.1002/humu.21467","ISSN":"1098-1004","issue":"4","journalAbbreviation":"Hum. Mutat.","language":"eng","note":"PMID: 21305656","page":"476-483","source":"PubMed","title":"Heterogeneity in the processing of CLCN5 mutants related to Dent disease","volume":"32","author":[{"family":"Grand","given":"Teddy"},{"family":"L'Hoste","given":"Sébastien"},{"family":"Mordasini","given":"David"},{"family":"Defontaine","given":"Nadia"},{"family":"Keck","given":"Mathilde"},{"family":"Pennaforte","given":"Thomas"},{"family":"Genete","given":"Mathieu"},{"family":"Laghmani","given":"Kamel"},{"family":"Teulon","given":"Jacques"},{"family":"Lourdel","given":"Stéphane"}],"issued":{"date-parts":[["2011",4]]}}}],"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rPr>
              <w:t>(Grand et al. 2011)</w:t>
            </w:r>
            <w:r w:rsidRPr="00BC0897">
              <w:rPr>
                <w:rFonts w:ascii="Times New Roman" w:hAnsi="Times New Roman" w:cs="Times New Roman"/>
                <w:bCs/>
                <w:sz w:val="20"/>
                <w:szCs w:val="20"/>
                <w:lang w:val="en-US"/>
              </w:rPr>
              <w:fldChar w:fldCharType="end"/>
            </w:r>
          </w:p>
        </w:tc>
      </w:tr>
      <w:tr w:rsidR="00E26333" w:rsidRPr="002212C2" w:rsidTr="00925F4B">
        <w:trPr>
          <w:trHeight w:val="600"/>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F86D2D"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p.Arg345Trp</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reduced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reduced</w:t>
            </w: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reduced endosomal expression, ER localization, altered Cl-/H+ stoichiometry</w:t>
            </w: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 HEK293 and renal cortical tubular epithelial cells</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5C2768" w:rsidRPr="00BC0897">
              <w:rPr>
                <w:rFonts w:ascii="Times New Roman" w:hAnsi="Times New Roman" w:cs="Times New Roman"/>
                <w:bCs/>
                <w:sz w:val="20"/>
                <w:szCs w:val="20"/>
                <w:lang w:val="en-US"/>
              </w:rPr>
              <w:instrText xml:space="preserve"> ADDIN ZOTERO_ITEM CSL_CITATION {"citationID":"RJjMbPE7","properties":{"formattedCitation":"(Tang et al. 2016; Chang et al. 2020)","plainCitation":"(Tang et al. 2016; Chang et al. 2020)","noteIndex":0},"citationItems":[{"id":64,"uris":["http://zotero.org/users/local/jkkvYBSC/items/P4DHEA6J"],"uri":["http://zotero.org/users/local/jkkvYBSC/items/P4DHEA6J"],"itemData":{"id":64,"type":"article-journal","abstract":"Dent disease type 1, an X-linked inherited kidney disease is caused by mutations in electrogenic Cl(-)/H(+) exchanger, ClC-5. We functionally studied the most frequent mutation (S244L) and two mutations recently identified in RKSC patients, Q629X and R345W. We also studied T657S, which has a high minor-allele frequency (0.23%) in the African-American population, was published previously as pathogenic to cause Dent disease. The transport properties of CLC-5 were electrophysiologically characterized. WT and ClC-5 mutant currents were inhibited by pH 5.5, but not affected by an alkaline extracellular solution (pH 8.5). The T657S and R345W mutations showed the same anion selectivity sequence as WT ClC-5 (SCN(-)&gt;NO3(-)≈Cl(-)&gt;Br(-)&gt;I(-)). However, the S244L and Q629X mutations abolished this anion conductance sequence. Cell surface CLC-5 expression was quantified using extracellular HA-tagged CLC-5 and a chemiluminescent immunoassay. Cellular localization of eGFP-tagged CLC-5 proteins was also examined in HEK293 cells with organelle-specific fluorescent probes. Functional defects of R345W and Q629X mutations were caused by the trafficking of the protein to the plasma membrane since proteins were mostly retained in the endoplasmic reticulum, and mutations showed positive correlations between surface expression and transport function. In contrast, although the S244L transport function was significantly lower than WT, cell surface, early endosome, and endoplasmic reticulum expression was equal to that of WT CLC-5. Function and trafficking of T657S was equivalent to the WT CLC-5 suggesting this is a benign variant rather than pathogenic. These studies demonstrate the useful information that can be gained by detailed functional studies of mutations predicted to be pathogenic.","container-title":"Physiological Reports","DOI":"10.14814/phy2.12776","ISSN":"2051-817X","issue":"8","journalAbbreviation":"Physiol Rep","language":"eng","note":"PMID: 27117801\nPMCID: PMC4848727","page":"e12776","source":"PubMed","title":"Functional and transport analyses of CLCN5 genetic changes identified in Dent disease patients","volume":"4","author":[{"family":"Tang","given":"Xiaojing"},{"family":"Brown","given":"Matthew R."},{"family":"Cogal","given":"Andrea G."},{"family":"Gauvin","given":"Daniel"},{"family":"Harris","given":"Peter C."},{"family":"Lieske","given":"John C."},{"family":"Romero","given":"Michael F."},{"family":"Chang","given":"Min-Hwang"}],"issued":{"date-parts":[["2016",4]]}}},{"id":651,"uris":["http://zotero.org/users/local/jkkvYBSC/items/N2549KG2"],"uri":["http://zotero.org/users/local/jkkvYBSC/items/N2549KG2"],"itemData":{"id":651,"type":"article-journal","abstract":"Dent disease 1 (DD1) is caused by mutations in the CLCN5 gene encoding a voltage-gated electrogenic nCl-/H+ exchanger ClC-5. Using ion-selective microelectrodes and Xenopus oocytes, here we studied Cl-/H+ coupling properties of WT ClC-5 and four DD1-associated variants (S244L, R345W, Q629*, and T657S), along with trafficking and localization of ClC-5. WT ClC-5 had a 2Cl-/H+ exchange ratio at a Vh of +40 mV with a [Cl-]out of 104 mm, but the transport direction did not reverse with a [Cl-]out of 5 mm, indicating that ClC-5-mediated exchange of two Cl- out for one H+ in is not permissible. We hypothesized that ClC-5 and H+-ATPase are functionally coupled during H+-ATPase-mediated endosomal acidification, crucial for ClC-5 activation by depolarizing endosomes. ClC-5 transport that provides three net negative charges appeared self-inhibitory because of ClC-5's voltage-gated properties, but shunt conductance facilitated further H+-ATPase-mediated endosomal acidification. Thus, an on-and-off \"burst\" of ClC-5 activity was crucial for preventing Cl- exit from endosomes. The subcellular distribution of the ClC-5:S244L variant was comparable with that of WT ClC-5, but the variant had a much slower Cl- and H+ transport and displayed an altered stoichiometry of 1.6:1. The ClC-5:R345W variant exhibited slightly higher Cl-/H+ transport than ClC-5:S244L, but co-localized with early endosomes, suggesting decreased ClC-5:R345W membrane trafficking is perhaps in a fully functional form. The truncated ClC-5:Q629* variant displayed the lowest Cl-/H+ exchange and was retained in the endoplasmic reticulum and cis-Golgi, but not in early endosomes, suggesting the nonsense mutation affects ClC-5 maturation and trafficking.","container-title":"The Journal of Biological Chemistry","DOI":"10.1074/jbc.RA119.011366","ISSN":"1083-351X","issue":"6","journalAbbreviation":"J. Biol. Chem.","language":"eng","note":"PMID: 31852738\nPMCID: PMC7008381","page":"1464-1473","source":"PubMed","title":"Cl- and H+ coupling properties and subcellular localizations of wildtype and disease-associated variants of the voltage-gated Cl-/H+ exchanger ClC-5","volume":"295","author":[{"family":"Chang","given":"Min-Hwang"},{"family":"Brown","given":"Matthew R."},{"family":"Liu","given":"Yiran"},{"family":"Gainullin","given":"Vladimir G."},{"family":"Harris","given":"Peter C."},{"family":"Romero","given":"Michael F."},{"family":"Lieske","given":"John C."}],"issued":{"date-parts":[["2020",2,7]]}}}],"schema":"https://github.com/citation-style-language/schema/raw/master/csl-citation.json"}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lang w:val="en-US"/>
              </w:rPr>
              <w:t>(Tang et al. 2016; Chang et al. 2020)</w:t>
            </w:r>
            <w:r w:rsidRPr="00BC0897">
              <w:rPr>
                <w:rFonts w:ascii="Times New Roman" w:hAnsi="Times New Roman" w:cs="Times New Roman"/>
                <w:bCs/>
                <w:sz w:val="20"/>
                <w:szCs w:val="20"/>
                <w:lang w:val="en-US"/>
              </w:rPr>
              <w:fldChar w:fldCharType="end"/>
            </w:r>
          </w:p>
        </w:tc>
      </w:tr>
      <w:tr w:rsidR="00E26333" w:rsidRPr="00BC0897" w:rsidTr="00925F4B">
        <w:trPr>
          <w:trHeight w:val="600"/>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F86D2D"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p.Asn408Gln</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reduced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unaffected</w:t>
            </w: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 xml:space="preserve">impaired </w:t>
            </w:r>
            <w:r w:rsidRPr="00BC0897">
              <w:rPr>
                <w:rFonts w:ascii="Times New Roman" w:hAnsi="Times New Roman" w:cs="Times New Roman"/>
                <w:bCs/>
                <w:i/>
                <w:sz w:val="20"/>
                <w:szCs w:val="20"/>
                <w:lang w:val="en-US"/>
              </w:rPr>
              <w:t>N</w:t>
            </w:r>
            <w:r w:rsidRPr="00BC0897">
              <w:rPr>
                <w:rFonts w:ascii="Times New Roman" w:hAnsi="Times New Roman" w:cs="Times New Roman"/>
                <w:bCs/>
                <w:sz w:val="20"/>
                <w:szCs w:val="20"/>
                <w:lang w:val="en-US"/>
              </w:rPr>
              <w:t xml:space="preserve">-glycosylation, increased </w:t>
            </w:r>
            <w:proofErr w:type="spellStart"/>
            <w:r w:rsidRPr="00BC0897">
              <w:rPr>
                <w:rFonts w:ascii="Times New Roman" w:hAnsi="Times New Roman" w:cs="Times New Roman"/>
                <w:bCs/>
                <w:sz w:val="20"/>
                <w:szCs w:val="20"/>
                <w:lang w:val="en-US"/>
              </w:rPr>
              <w:t>polyubiquitination</w:t>
            </w:r>
            <w:proofErr w:type="spellEnd"/>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{"citationID":"6TDPbjcY","properties":{"formattedCitation":"(Schmieder et al. 2007)","plainCitation":"(Schmieder et al. 2007)","noteIndex":0},"citationItems":[{"id":475,"uris":["http://zotero.org/users/local/jkkvYBSC/items/ZE8TA7DP"],"uri":["http://zotero.org/users/local/jkkvYBSC/items/ZE8TA7DP"],"itemData":{"id":475,"type":"article-journal","abstract":"Mutations in the gene encoding ClC-5 lead to X-linked hypercalciuric nephrolithiasis (XLHN), characterized by proteinuria, hypercalciuria, and phosphaturia. In renal proximal tubule cells, ClC-5 was identified as an important player in endocytosis, which ensures reabsorption of filtered protein. However, the recent finding that ClC-5 is a Cl(-)/H(+) antiporter and not a Cl(-) channel as long thought points to the lack of understanding of its functional role. Also, little biochemical data are available about ClC-5 and its post-translational modifications have not been investigated. Here, we examined the role of N-glycosylation of xClC-5 in the Xenopus oocyte expression system by comparing wild-type (WT) xClC-5 and N-glycosylation site mutants. We found that xClC-5 is N-glycosylated on asparagines 169 and 470, which are the only N-glycosylated sites. xClC-5 mutants have an increased susceptibility to polyubiquitination and proteasomal degradation; however, without a notable impact on the expression level. Using a cross-linking reagent, we showed that xClC-5 assembles into protein complexes, independent of its N-glycosylation. Voltage-clamp measurements showed a reduced conductance in the presence of tunicamycin and with xClC-5 N-glycosylation site mutants. Using immunocytochemistry, we localized xClC-5 mainly in intracellular compartments, and found that its cell surface pool is reduced in the absence of N-glycans. We further examined the plasma membrane retrieval of WT and mutant xClC-5 in the presence of Brefeldin A (BFA), and found that the non-glycosylated mutant was retrieved more than five times faster than the WT protein. We conclude that N-glycosylation enhances cell surface expression of xClC-5, increasing its plasma membrane transport activity.","container-title":"Journal of Cellular Physiology","DOI":"10.1002/jcp.20882","ISSN":"0021-9541","issue":"2","journalAbbreviation":"J. Cell. Physiol.","language":"eng","note":"PMID: 17111367","page":"479-488","source":"PubMed","title":"N-glycosylation of the Xenopus laevis ClC-5 protein plays a role in cell surface expression, affecting transport activity at the plasma membrane","volume":"210","author":[{"family":"Schmieder","given":"Sandra"},{"family":"Bogliolo","given":"Stéphanie"},{"family":"Ehrenfeld","given":"Jordi"}],"issued":{"date-parts":[["2007",2]]}}}],"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rPr>
              <w:t>(Schmieder et al. 2007)</w:t>
            </w:r>
            <w:r w:rsidRPr="00BC0897">
              <w:rPr>
                <w:rFonts w:ascii="Times New Roman" w:hAnsi="Times New Roman" w:cs="Times New Roman"/>
                <w:bCs/>
                <w:sz w:val="20"/>
                <w:szCs w:val="20"/>
                <w:lang w:val="en-US"/>
              </w:rPr>
              <w:fldChar w:fldCharType="end"/>
            </w:r>
          </w:p>
        </w:tc>
      </w:tr>
      <w:tr w:rsidR="00E26333" w:rsidRPr="002212C2" w:rsidTr="00925F4B">
        <w:trPr>
          <w:trHeight w:val="300"/>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F86D2D"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p.Gly</w:t>
            </w:r>
            <w:r w:rsidR="00E26333" w:rsidRPr="00BC0897">
              <w:rPr>
                <w:rFonts w:ascii="Times New Roman" w:hAnsi="Times New Roman" w:cs="Times New Roman"/>
                <w:bCs/>
                <w:sz w:val="20"/>
                <w:szCs w:val="20"/>
                <w:lang w:val="en-US"/>
              </w:rPr>
              <w:t>462V</w:t>
            </w:r>
            <w:r w:rsidRPr="00BC0897">
              <w:rPr>
                <w:rFonts w:ascii="Times New Roman" w:hAnsi="Times New Roman" w:cs="Times New Roman"/>
                <w:bCs/>
                <w:sz w:val="20"/>
                <w:szCs w:val="20"/>
                <w:lang w:val="en-US"/>
              </w:rPr>
              <w:t>al</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{"citationID":"7wDRwjRB","properties":{"formattedCitation":"(Ludwig et al. 2005)","plainCitation":"(Ludwig et al. 2005)","noteIndex":0},"citationItems":[{"id":468,"uris":["http://zotero.org/users/local/jkkvYBSC/items/A6DET4KW"],"uri":["http://zotero.org/users/local/jkkvYBSC/items/A6DET4KW"],"itemData":{"id":468,"type":"article-journal","abstract":"ClC-5 is a member of the ClC family of voltage-gated chloride channels. Loss-of-function mutations of its corresponding gene (CLCN5) cause Dent's disease, an X-linked kidney disorder, characterized by low-molecular weight proteinuria, hypercalciuria, nephrocalcinosis/nephrolithiasis, and progressive renal failure. Here, we examined the effect of different mutations on function and cellular trafficking of the recombinant protein. Mutant CLCN5 cDNAs were generated by site directed mutagenesis for two premature stop codon variants (R347X and M517IfsX528), and several missense mutations (C221R, L324R, G462 V, and R516 W). We also tested L521R (instead of L521RfsX526 observed) and mutants G506E and R648X (previously reported by others). After heterologous expression in Xenopus oocytes, ClC-5 channel activity and surface expression were determined by two-electrode voltage-clamp analysis and ClC-5 surface ELISA, respectively. Except for the R516 W and R648X variants, none of the mutated proteins induced functional chloride currents or reached the plasma membrane. This is readily understandable for the truncation mutations. Yet, the tested missense mutations are distributed over different transmembrane regions, implying that correct channel structure and orientation in the membrane is not only a prerequisite for proper ClC-5 function but also for Golgi exit. Interestingly, the R648X mutant although functionally compromised, displayed a significant increase in surface expression. This finding might be explained by the deletion of a ClC-5 carboxy-terminal PY-like internalization signal, which in turn impairs channel removal from the membrane. Our observations further imply that recruitment of ClC-5 to alternative routes (plasma membrane or early endosomes) in the trans-Golgi network is mediated via different signal sequences.","container-title":"Human Genetics","DOI":"10.1007/s00439-005-1303-2","ISSN":"0340-6717","issue":"2-3","journalAbbreviation":"Hum. Genet.","language":"eng","note":"PMID: 15895257","page":"228-237","source":"PubMed","title":"Functional evaluation of Dent's disease-causing mutations: implications for ClC-5 channel trafficking and internalization","title-short":"Functional evaluation of Dent's disease-causing mutations","volume":"117","author":[{"family":"Ludwig","given":"Michael"},{"family":"Doroszewicz","given":"Jolanta"},{"family":"Seyberth","given":"Hannsjörg W."},{"family":"Bökenkamp","given":"Arend"},{"family":"Balluch","given":"Bernd"},{"family":"Nuutinen","given":"Matti"},{"family":"Utsch","given":"Boris"},{"family":"Waldegger","given":"Siegfried"}],"issued":{"date-parts":[["2005",7]]}}}],"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lang w:val="en-US"/>
              </w:rPr>
              <w:t>(Ludwig et al. 2005)</w:t>
            </w:r>
            <w:r w:rsidRPr="00BC0897">
              <w:rPr>
                <w:rFonts w:ascii="Times New Roman" w:hAnsi="Times New Roman" w:cs="Times New Roman"/>
                <w:bCs/>
                <w:sz w:val="20"/>
                <w:szCs w:val="20"/>
                <w:lang w:val="en-US"/>
              </w:rPr>
              <w:fldChar w:fldCharType="end"/>
            </w:r>
          </w:p>
        </w:tc>
      </w:tr>
      <w:tr w:rsidR="00E26333" w:rsidRPr="00BC0897" w:rsidTr="00925F4B">
        <w:trPr>
          <w:trHeight w:val="600"/>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F86D2D"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p.Leu</w:t>
            </w:r>
            <w:r w:rsidR="00E26333" w:rsidRPr="00BC0897">
              <w:rPr>
                <w:rFonts w:ascii="Times New Roman" w:hAnsi="Times New Roman" w:cs="Times New Roman"/>
                <w:bCs/>
                <w:sz w:val="20"/>
                <w:szCs w:val="20"/>
                <w:lang w:val="en-US"/>
              </w:rPr>
              <w:t>469P</w:t>
            </w:r>
            <w:r w:rsidRPr="00BC0897">
              <w:rPr>
                <w:rFonts w:ascii="Times New Roman" w:hAnsi="Times New Roman" w:cs="Times New Roman"/>
                <w:bCs/>
                <w:sz w:val="20"/>
                <w:szCs w:val="20"/>
                <w:lang w:val="en-US"/>
              </w:rPr>
              <w:t>ro</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 xml:space="preserve">reduced protein expression, impaired </w:t>
            </w:r>
            <w:r w:rsidRPr="00BC0897">
              <w:rPr>
                <w:rFonts w:ascii="Times New Roman" w:hAnsi="Times New Roman" w:cs="Times New Roman"/>
                <w:bCs/>
                <w:i/>
                <w:sz w:val="20"/>
                <w:szCs w:val="20"/>
                <w:lang w:val="en-US"/>
              </w:rPr>
              <w:t>N</w:t>
            </w:r>
            <w:r w:rsidRPr="00BC0897">
              <w:rPr>
                <w:rFonts w:ascii="Times New Roman" w:hAnsi="Times New Roman" w:cs="Times New Roman"/>
                <w:bCs/>
                <w:sz w:val="20"/>
                <w:szCs w:val="20"/>
                <w:lang w:val="en-US"/>
              </w:rPr>
              <w:t>-glycosylation, ER retention</w:t>
            </w: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 and HEK293</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{"citationID":"DDeR0rLz","properties":{"formattedCitation":"(Grand et al. 2009)","plainCitation":"(Grand et al. 2009)","noteIndex":0},"citationItems":[{"id":321,"uris":["http://zotero.org/users/local/jkkvYBSC/items/KT75S5NW"],"uri":["http://zotero.org/users/local/jkkvYBSC/items/KT75S5NW"],"itemData":{"id":321,"type":"article-journal","abstract":"Dent's disease is an X-linked recessive disorder affecting the proximal tubules and is frequently associated with mutations in CLCN5, which encodes the electrogenic chloride-proton exchanger ClC-5. To better understand the functional consequences of CLCN5 mutations in this disease, we screened four newly identified missense mutations (G179D, S203L, G212A, L469P), one new nonsense mutation (R718X), and three known mutations (L200R, C219R, and C221R), in Xenopus laevis oocytes and HEK293 cells expressing either wild-type or mutant exchanger. A type-I mutant (G212A) trafficked normally to the cell surface and to early endosomes, underwent complex glycosylation at the cell surface like wild-type ClC-5, but exhibited significant reductions in outwardly rectifying ion currents. The type-II mutants (G179D, L200R, S203L, C219R, C221R, L469P, and R718X) were improperly N-glycosylated and were non-functional due to retention in the endoplasmic reticulum. Thus these mutations have distinct mechanisms by which they could impair ClC-5 function in Dent's disease.","container-title":"Kidney International","DOI":"10.1038/ki.2009.305","ISSN":"1523-1755","issue":"9","journalAbbreviation":"Kidney Int.","language":"eng","note":"PMID: 19657328","page":"999-1005","source":"PubMed","title":"Novel CLCN5 mutations in patients with Dent's disease result in altered ion currents or impaired exchanger processing","volume":"76","author":[{"family":"Grand","given":"Teddy"},{"family":"Mordasini","given":"David"},{"family":"L'Hoste","given":"Sébastien"},{"family":"Pennaforte","given":"Thomas"},{"family":"Genete","given":"Mathieu"},{"family":"Biyeyeme","given":"Marie-Jeanne"},{"family":"Vargas-Poussou","given":"Rosa"},{"family":"Blanchard","given":"Anne"},{"family":"Teulon","given":"Jacques"},{"family":"Lourdel","given":"Stéphane"}],"issued":{"date-parts":[["2009",11]]}}}],"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rPr>
              <w:t>(Grand et al. 2009)</w:t>
            </w:r>
            <w:r w:rsidRPr="00BC0897">
              <w:rPr>
                <w:rFonts w:ascii="Times New Roman" w:hAnsi="Times New Roman" w:cs="Times New Roman"/>
                <w:bCs/>
                <w:sz w:val="20"/>
                <w:szCs w:val="20"/>
                <w:lang w:val="en-US"/>
              </w:rPr>
              <w:fldChar w:fldCharType="end"/>
            </w:r>
          </w:p>
        </w:tc>
      </w:tr>
      <w:tr w:rsidR="00E26333" w:rsidRPr="002212C2" w:rsidTr="00925F4B">
        <w:trPr>
          <w:trHeight w:val="293"/>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F86D2D"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p.Gly506Glu</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{"citationID":"GZgYi0EE","properties":{"formattedCitation":"(Lloyd et al. 1996; Ludwig et al. 2005)","plainCitation":"(Lloyd et al. 1996; Ludwig et al. 2005)","noteIndex":0},"citationItems":[{"id":99,"uris":["http://zotero.org/users/local/jkkvYBSC/items/F43E5GWG"],"uri":["http://zotero.org/users/local/jkkvYBSC/items/F43E5GWG"],"itemData":{"id":99,"type":"article-journal","abstract":"KIDNEY stones (nephrolithiasis), which affect 12% of males and 5% of females in the western world, are familial in 45% of patients1,2 and are most commonly associated with hypercalciuria1. Three disorders of hypercalciuric nephrolithiasis (Dent's disease3, X-linked recessive nephrolithiasis (XRN)4, and X-linked recessive hypophosphataemic rickets (XLRH)5) have been mapped to Xpll.22 (refs 5–7). A microdeletion6 in one Dent's disease kindred allowed the identification of a candidate gene,CLCN5 (refs 8,9) which encodes a putative renal chloride channel. Here we report the investigation of 11 kindreds with these renal tubular disorders for CLCN5 abnormalities; this identified three nonsense, four missense and two donor splice site mutations, together with one intragenic deletion and one micro-deletion encompassing the entire gene. Heterologous expression of wild-type CLCN5 in Xenopus oocytes yielded outwardly rectifying chloride currents, which were either abolished or markedly reduced by the mutations. The common aetiology for Dent's disease, XRN and XLRH indicates that CLCN5 may be involved in other renal tubular disorders associated with kidney stones.","container-title":"Nature","DOI":"10.1038/379445a0","ISSN":"1476-4687","issue":"6564","journalAbbreviation":"Nature","language":"en","page":"445-449","source":"www.nature.com","title":"A common molecular basis for three inherited kidney stone diseases","volume":"379","author":[{"family":"Lloyd","given":"Sarah E."},{"family":"Pearce","given":"Simon H. S."},{"family":"Fisher","given":"Simon E."},{"family":"Steinmeyer","given":"Klaus"},{"family":"Schwappach","given":"Blanche"},{"family":"Scheinman","given":"Steven J."},{"family":"Harding","given":"Brian"},{"family":"Bolino","given":"Alessandra"},{"family":"Devoto","given":"Marcella"},{"family":"Goodyer","given":"Paul"},{"family":"Rigden","given":"Susan P. A."},{"family":"Wrong","given":"Oliver"},{"family":"Jentsch","given":"Thomas J."},{"family":"Craig","given":"Ian W."},{"family":"Thakker","given":"Rajesh V."}],"issued":{"date-parts":[["1996",2]]}}},{"id":468,"uris":["http://zotero.org/users/local/jkkvYBSC/items/A6DET4KW"],"uri":["http://zotero.org/users/local/jkkvYBSC/items/A6DET4KW"],"itemData":{"id":468,"type":"article-journal","abstract":"ClC-5 is a member of the ClC family of voltage-gated chloride channels. Loss-of-function mutations of its corresponding gene (CLCN5) cause Dent's disease, an X-linked kidney disorder, characterized by low-molecular weight proteinuria, hypercalciuria, nephrocalcinosis/nephrolithiasis, and progressive renal failure. Here, we examined the effect of different mutations on function and cellular trafficking of the recombinant protein. Mutant CLCN5 cDNAs were generated by site directed mutagenesis for two premature stop codon variants (R347X and M517IfsX528), and several missense mutations (C221R, L324R, G462 V, and R516 W). We also tested L521R (instead of L521RfsX526 observed) and mutants G506E and R648X (previously reported by others). After heterologous expression in Xenopus oocytes, ClC-5 channel activity and surface expression were determined by two-electrode voltage-clamp analysis and ClC-5 surface ELISA, respectively. Except for the R516 W and R648X variants, none of the mutated proteins induced functional chloride currents or reached the plasma membrane. This is readily understandable for the truncation mutations. Yet, the tested missense mutations are distributed over different transmembrane regions, implying that correct channel structure and orientation in the membrane is not only a prerequisite for proper ClC-5 function but also for Golgi exit. Interestingly, the R648X mutant although functionally compromised, displayed a significant increase in surface expression. This finding might be explained by the deletion of a ClC-5 carboxy-terminal PY-like internalization signal, which in turn impairs channel removal from the membrane. Our observations further imply that recruitment of ClC-5 to alternative routes (plasma membrane or early endosomes) in the trans-Golgi network is mediated via different signal sequences.","container-title":"Human Genetics","DOI":"10.1007/s00439-005-1303-2","ISSN":"0340-6717","issue":"2-3","journalAbbreviation":"Hum. Genet.","language":"eng","note":"PMID: 15895257","page":"228-237","source":"PubMed","title":"Functional evaluation of Dent's disease-causing mutations: implications for ClC-5 channel trafficking and internalization","title-short":"Functional evaluation of Dent's disease-causing mutations","volume":"117","author":[{"family":"Ludwig","given":"Michael"},{"family":"Doroszewicz","given":"Jolanta"},{"family":"Seyberth","given":"Hannsjörg W."},{"family":"Bökenkamp","given":"Arend"},{"family":"Balluch","given":"Bernd"},{"family":"Nuutinen","given":"Matti"},{"family":"Utsch","given":"Boris"},{"family":"Waldegger","given":"Siegfried"}],"issued":{"date-parts":[["2005",7]]}}}],"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lang w:val="en-US"/>
              </w:rPr>
              <w:t>(Lloyd et al. 1996; Ludwig et al. 2005)</w:t>
            </w:r>
            <w:r w:rsidRPr="00BC0897">
              <w:rPr>
                <w:rFonts w:ascii="Times New Roman" w:hAnsi="Times New Roman" w:cs="Times New Roman"/>
                <w:bCs/>
                <w:sz w:val="20"/>
                <w:szCs w:val="20"/>
                <w:lang w:val="en-US"/>
              </w:rPr>
              <w:fldChar w:fldCharType="end"/>
            </w:r>
          </w:p>
        </w:tc>
      </w:tr>
      <w:tr w:rsidR="00E26333" w:rsidRPr="00BC0897" w:rsidTr="00925F4B">
        <w:trPr>
          <w:trHeight w:val="466"/>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F86D2D"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p.Gly512Arg</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{"citationID":"doHs6qbP","properties":{"formattedCitation":"(Lloyd et al. 1997a)","plainCitation":"(Lloyd et al. 1997a)","noteIndex":0},"citationItems":[{"id":454,"uris":["http://zotero.org/users/local/jkkvYBSC/items/J6EHPHDA"],"uri":["http://zotero.org/users/local/jkkvYBSC/items/J6EHPHDA"],"itemData":{"id":454,"type":"article-journal","abstract":"Mutations of the renal-specific chloride channel (CLCN5) gene, which is located on chromosome Xp11.22, are associated with hypercalciuric nephrolithiasis (kidney stones) in the Northern European and Japanese populations. CLCN5 encodes a 746 amino acid channel (CLC-5) that has approximately 12 transmembrane domains, and heterologous expression of wild-type CLC-5 in Xenopus oocytes has yielded outwardly rectifying chloride currents that were markedly reduced or abolished by these mutations. In order to assess further the structural and functional relationships of this recently cloned chloride channel, additional CLCN5 mutations have been identified in five unrelated families with this disorder. Three of these mutations were missense (G57V, G512R and E527D), one was a nonsense (R648Stop) and one was an insertion (30:H insertion). In addition, two of the mutations (30:H insertion and E527D) were demonstrated to be de novo, and the G57V and E527D mutations were identified in families of Afro-American and Indian origin, respectively. The G57V and 30:H insertion mutations represent the first CLCN5 mutations to be identified in the N-terminus region, and the R648Stop mutation, which has been observed previously in an unrelated family, suggests that this codon may be particularly prone to mutations. Heterologous expression of the mutations resulted in a marked reduction or abolition of the chloride currents, thereby establishing their functional importance. These results help to elucidate further the structure-function relationships of this renal chloride channel.","container-title":"Human Molecular Genetics","DOI":"10.1093/hmg/6.8.1233","ISSN":"0964-6906","issue":"8","journalAbbreviation":"Hum. Mol. Genet.","language":"eng","note":"PMID: 9259268","page":"1233-1239","source":"PubMed","title":"Characterisation of renal chloride channel, CLCN5, mutations in hypercalciuric nephrolithiasis (kidney stones) disorders","volume":"6","author":[{"family":"Lloyd","given":"S. E."},{"family":"Gunther","given":"W."},{"family":"Pearce","given":"S. H."},{"family":"Thomson","given":"A."},{"family":"Bianchi","given":"M. L."},{"family":"Bosio","given":"M."},{"family":"Craig","given":"I. W."},{"family":"Fisher","given":"S. E."},{"family":"Scheinman","given":"S. J."},{"family":"Wrong","given":"O."},{"family":"Jentsch","given":"T. J."},{"family":"Thakker","given":"R. V."}],"issued":{"date-parts":[["1997",8]]}}}],"schema":"https://github.com/citation-style-language/schema/raw/master/csl-citation.json"}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rPr>
              <w:t>(Lloyd et al. 1997a)</w:t>
            </w:r>
            <w:r w:rsidRPr="00BC0897">
              <w:rPr>
                <w:rFonts w:ascii="Times New Roman" w:hAnsi="Times New Roman" w:cs="Times New Roman"/>
                <w:bCs/>
                <w:sz w:val="20"/>
                <w:szCs w:val="20"/>
                <w:lang w:val="en-US"/>
              </w:rPr>
              <w:fldChar w:fldCharType="end"/>
            </w:r>
          </w:p>
        </w:tc>
      </w:tr>
      <w:tr w:rsidR="00E26333" w:rsidRPr="002212C2" w:rsidTr="00925F4B">
        <w:trPr>
          <w:trHeight w:val="300"/>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F86D2D"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p.Gly513Glu</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reduced/ abolished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 xml:space="preserve">altered </w:t>
            </w:r>
            <w:r w:rsidRPr="00BC0897">
              <w:rPr>
                <w:rFonts w:ascii="Times New Roman" w:hAnsi="Times New Roman" w:cs="Times New Roman"/>
                <w:bCs/>
                <w:i/>
                <w:sz w:val="20"/>
                <w:szCs w:val="20"/>
                <w:lang w:val="en-US"/>
              </w:rPr>
              <w:t>N</w:t>
            </w:r>
            <w:r w:rsidRPr="00BC0897">
              <w:rPr>
                <w:rFonts w:ascii="Times New Roman" w:hAnsi="Times New Roman" w:cs="Times New Roman"/>
                <w:bCs/>
                <w:sz w:val="20"/>
                <w:szCs w:val="20"/>
                <w:lang w:val="en-US"/>
              </w:rPr>
              <w:t>-glycosylation, ER retention</w:t>
            </w: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 xml:space="preserve">HEK-MSR, </w:t>
            </w: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 and HEK293</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{"citationID":"n8VGqWOL","properties":{"formattedCitation":"(Smith et al. 2009; Grand et al. 2011)","plainCitation":"(Smith et al. 2009; Grand et al. 2011)","noteIndex":0},"citationItems":[{"id":463,"uris":["http://zotero.org/users/local/jkkvYBSC/items/6TTMGNDQ"],"uri":["http://zotero.org/users/local/jkkvYBSC/items/6TTMGNDQ"],"itemData":{"id":463,"type":"article-journal","abstract":"Mutations of the human CLCN5 gene, which encodes the CLC-5 Cl(-)/H(+) exchanger, lead to Dent's disease. Mutations result in functional defects that range from moderate reductions to complete loss of whole cell currents, although the severity of the functional defect rarely correlates with the severity of the disease. To further elucidate the basis of CLC-5 mutations causing Dent's disease, we examined the functional and cell biological consequences of seven previously reported missense mutants, utilizing electrophysiological and cell biological techniques. This revealed three classes of Dent's disease-causing CLC-5 mutations. Class 1 mutations lead to endoplasmic reticulum retention and degradation of CLC-5. Class 2 mutations appear to have little effect on subcellular distribution of CLC-5 but cause defective function resulting in severe defects in endosomal acidification. Class 3 mutations lead to alterations in the endosomal distribution of CLC-5 but are otherwise able to support endosomal acidification. Molecular modeling demonstrates a structural basis that may underlie the nature of the defect resulting from each mutation with each class occupying discrete regions of the protein quaternary structure. Thus these results demonstrate that the cell biological consequences of CLC-5 mutations are heterogeneous and can be classified into three major groups and that a correlation between the nature of the defect and the location of the mutation in the structure may be drawn. This model may prove to be useful as a tool to aid in the diagnosis and future therapeutic intervention of the disease.","container-title":"American Journal of Physiology. Renal Physiology","DOI":"10.1152/ajprenal.90526.2008","ISSN":"1931-857X","issue":"2","journalAbbreviation":"Am. J. Physiol. Renal Physiol.","language":"eng","note":"PMID: 19019917\nPMCID: PMC2643861","page":"F390-397","source":"PubMed","title":"Characterization of Dent's disease mutations of CLC-5 reveals a correlation between functional and cell biological consequences and protein structure","volume":"296","author":[{"family":"Smith","given":"Andrew J."},{"family":"Reed","given":"Anita A. C."},{"family":"Loh","given":"Nellie Y."},{"family":"Thakker","given":"Rajesh V."},{"family":"Lippiat","given":"Jonathan D."}],"issued":{"date-parts":[["2009",2]]}}},{"id":349,"uris":["http://zotero.org/users/local/jkkvYBSC/items/UAGIQI52"],"uri":["http://zotero.org/users/local/jkkvYBSC/items/UAGIQI52"],"itemData":{"id":349,"type":"article-journal","abstract":"Mutations in the electrogenic Cl(-)/H(+) exchanger ClC-5 gene CLCN5 are frequently associated with Dent disease, an X-linked recessive disorder affecting the proximal tubules. Here, we investigate the consequences in Xenopus laevis oocytes and in HEK293 cells of nine previously reported, pathogenic, missense mutations of ClC-5, most of them which are located in regions forming the subunit interface. Two mutants trafficked normally to the cell surface and to early endosomes, and displayed complex glycosylation at the cell surface like wild-type ClC-5, but exhibited reduced currents. Three mutants displayed improper N-glycosylation, and were nonfunctional due to being retained and degraded at the endoplasmic reticulum. Functional characterization of four mutants allowed us to identify a novel mechanism leading to ClC-5 dysfunction in Dent disease. We report that these mutant proteins were delayed in their processing, and that the stability of their complex glycosylated form was reduced, causing lower cell surface expression. The early endosome distribution of these mutants was normal. Half of these mutants displayed reduced currents, whereas the other half showed abolished currents. Our study revealed distinct cellular mechanisms accounting for ClC-5 loss of function in Dent disease.","container-title":"Human Mutation","DOI":"10.1002/humu.21467","ISSN":"1098-1004","issue":"4","journalAbbreviation":"Hum. Mutat.","language":"eng","note":"PMID: 21305656","page":"476-483","source":"PubMed","title":"Heterogeneity in the processing of CLCN5 mutants related to Dent disease","volume":"32","author":[{"family":"Grand","given":"Teddy"},{"family":"L'Hoste","given":"Sébastien"},{"family":"Mordasini","given":"David"},{"family":"Defontaine","given":"Nadia"},{"family":"Keck","given":"Mathilde"},{"family":"Pennaforte","given":"Thomas"},{"family":"Genete","given":"Mathieu"},{"family":"Laghmani","given":"Kamel"},{"family":"Teulon","given":"Jacques"},{"family":"Lourdel","given":"Stéphane"}],"issued":{"date-parts":[["2011",4]]}}}],"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lang w:val="en-US"/>
              </w:rPr>
              <w:t>(Smith et al. 2009; Grand et al. 2011)</w:t>
            </w:r>
            <w:r w:rsidRPr="00BC0897">
              <w:rPr>
                <w:rFonts w:ascii="Times New Roman" w:hAnsi="Times New Roman" w:cs="Times New Roman"/>
                <w:bCs/>
                <w:sz w:val="20"/>
                <w:szCs w:val="20"/>
                <w:lang w:val="en-US"/>
              </w:rPr>
              <w:fldChar w:fldCharType="end"/>
            </w:r>
          </w:p>
        </w:tc>
      </w:tr>
      <w:tr w:rsidR="00E26333" w:rsidRPr="002212C2" w:rsidTr="00925F4B">
        <w:trPr>
          <w:trHeight w:val="469"/>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F86D2D"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p.Arg516Trp</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reduced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unaffected/ abolished</w:t>
            </w: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ER localization</w:t>
            </w: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 and HEK-MSR</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{"citationID":"rFnkrUq4","properties":{"formattedCitation":"(Ludwig et al. 2005; Smith et al. 2009)","plainCitation":"(Ludwig et al. 2005; Smith et al. 2009)","noteIndex":0},"citationItems":[{"id":468,"uris":["http://zotero.org/users/local/jkkvYBSC/items/A6DET4KW"],"uri":["http://zotero.org/users/local/jkkvYBSC/items/A6DET4KW"],"itemData":{"id":468,"type":"article-journal","abstract":"ClC-5 is a member of the ClC family of voltage-gated chloride channels. Loss-of-function mutations of its corresponding gene (CLCN5) cause Dent's disease, an X-linked kidney disorder, characterized by low-molecular weight proteinuria, hypercalciuria, nephrocalcinosis/nephrolithiasis, and progressive renal failure. Here, we examined the effect of different mutations on function and cellular trafficking of the recombinant protein. Mutant CLCN5 cDNAs were generated by site directed mutagenesis for two premature stop codon variants (R347X and M517IfsX528), and several missense mutations (C221R, L324R, G462 V, and R516 W). We also tested L521R (instead of L521RfsX526 observed) and mutants G506E and R648X (previously reported by others). After heterologous expression in Xenopus oocytes, ClC-5 channel activity and surface expression were determined by two-electrode voltage-clamp analysis and ClC-5 surface ELISA, respectively. Except for the R516 W and R648X variants, none of the mutated proteins induced functional chloride currents or reached the plasma membrane. This is readily understandable for the truncation mutations. Yet, the tested missense mutations are distributed over different transmembrane regions, implying that correct channel structure and orientation in the membrane is not only a prerequisite for proper ClC-5 function but also for Golgi exit. Interestingly, the R648X mutant although functionally compromised, displayed a significant increase in surface expression. This finding might be explained by the deletion of a ClC-5 carboxy-terminal PY-like internalization signal, which in turn impairs channel removal from the membrane. Our observations further imply that recruitment of ClC-5 to alternative routes (plasma membrane or early endosomes) in the trans-Golgi network is mediated via different signal sequences.","container-title":"Human Genetics","DOI":"10.1007/s00439-005-1303-2","ISSN":"0340-6717","issue":"2-3","journalAbbreviation":"Hum. Genet.","language":"eng","note":"PMID: 15895257","page":"228-237","source":"PubMed","title":"Functional evaluation of Dent's disease-causing mutations: implications for ClC-5 channel trafficking and internalization","title-short":"Functional evaluation of Dent's disease-causing mutations","volume":"117","author":[{"family":"Ludwig","given":"Michael"},{"family":"Doroszewicz","given":"Jolanta"},{"family":"Seyberth","given":"Hannsjörg W."},{"family":"Bökenkamp","given":"Arend"},{"family":"Balluch","given":"Bernd"},{"family":"Nuutinen","given":"Matti"},{"family":"Utsch","given":"Boris"},{"family":"Waldegger","given":"Siegfried"}],"issued":{"date-parts":[["2005",7]]}}},{"id":463,"uris":["http://zotero.org/users/local/jkkvYBSC/items/6TTMGNDQ"],"uri":["http://zotero.org/users/local/jkkvYBSC/items/6TTMGNDQ"],"itemData":{"id":463,"type":"article-journal","abstract":"Mutations of the human CLCN5 gene, which encodes the CLC-5 Cl(-)/H(+) exchanger, lead to Dent's disease. Mutations result in functional defects that range from moderate reductions to complete loss of whole cell currents, although the severity of the functional defect rarely correlates with the severity of the disease. To further elucidate the basis of CLC-5 mutations causing Dent's disease, we examined the functional and cell biological consequences of seven previously reported missense mutants, utilizing electrophysiological and cell biological techniques. This revealed three classes of Dent's disease-causing CLC-5 mutations. Class 1 mutations lead to endoplasmic reticulum retention and degradation of CLC-5. Class 2 mutations appear to have little effect on subcellular distribution of CLC-5 but cause defective function resulting in severe defects in endosomal acidification. Class 3 mutations lead to alterations in the endosomal distribution of CLC-5 but are otherwise able to support endosomal acidification. Molecular modeling demonstrates a structural basis that may underlie the nature of the defect resulting from each mutation with each class occupying discrete regions of the protein quaternary structure. Thus these results demonstrate that the cell biological consequences of CLC-5 mutations are heterogeneous and can be classified into three major groups and that a correlation between the nature of the defect and the location of the mutation in the structure may be drawn. This model may prove to be useful as a tool to aid in the diagnosis and future therapeutic intervention of the disease.","container-title":"American Journal of Physiology. Renal Physiology","DOI":"10.1152/ajprenal.90526.2008","ISSN":"1931-857X","issue":"2","journalAbbreviation":"Am. J. Physiol. Renal Physiol.","language":"eng","note":"PMID: 19019917\nPMCID: PMC2643861","page":"F390-397","source":"PubMed","title":"Characterization of Dent's disease mutations of CLC-5 reveals a correlation between functional and cell biological consequences and protein structure","volume":"296","author":[{"family":"Smith","given":"Andrew J."},{"family":"Reed","given":"Anita A. C."},{"family":"Loh","given":"Nellie Y."},{"family":"Thakker","given":"Rajesh V."},{"family":"Lippiat","given":"Jonathan D."}],"issued":{"date-parts":[["2009",2]]}}}],"schema":"https://github.com/citation-style-language/schema/raw/master/csl-citation.json"}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lang w:val="en-US"/>
              </w:rPr>
              <w:t>(Ludwig et al. 2005; Smith et al. 2009)</w:t>
            </w:r>
            <w:r w:rsidRPr="00BC0897">
              <w:rPr>
                <w:rFonts w:ascii="Times New Roman" w:hAnsi="Times New Roman" w:cs="Times New Roman"/>
                <w:bCs/>
                <w:sz w:val="20"/>
                <w:szCs w:val="20"/>
                <w:lang w:val="en-US"/>
              </w:rPr>
              <w:fldChar w:fldCharType="end"/>
            </w:r>
          </w:p>
        </w:tc>
      </w:tr>
      <w:tr w:rsidR="00E26333" w:rsidRPr="00BC0897" w:rsidTr="00925F4B">
        <w:trPr>
          <w:trHeight w:val="600"/>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F86D2D"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p.Ser</w:t>
            </w:r>
            <w:r w:rsidR="00E26333" w:rsidRPr="00BC0897">
              <w:rPr>
                <w:rFonts w:ascii="Times New Roman" w:hAnsi="Times New Roman" w:cs="Times New Roman"/>
                <w:bCs/>
                <w:sz w:val="20"/>
                <w:szCs w:val="20"/>
                <w:lang w:val="en-US"/>
              </w:rPr>
              <w:t>520P</w:t>
            </w:r>
            <w:r w:rsidRPr="00BC0897">
              <w:rPr>
                <w:rFonts w:ascii="Times New Roman" w:hAnsi="Times New Roman" w:cs="Times New Roman"/>
                <w:bCs/>
                <w:sz w:val="20"/>
                <w:szCs w:val="20"/>
                <w:lang w:val="en-US"/>
              </w:rPr>
              <w:t>ro</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reduced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unaffected</w:t>
            </w: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disorders in endocytosis, not efficiently targeted to endosomes</w:t>
            </w: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 LLC-PK1 and primary murine proximal tubular cells (</w:t>
            </w:r>
            <w:proofErr w:type="spellStart"/>
            <w:r w:rsidRPr="00BC0897">
              <w:rPr>
                <w:rFonts w:ascii="Times New Roman" w:hAnsi="Times New Roman" w:cs="Times New Roman"/>
                <w:bCs/>
                <w:sz w:val="20"/>
                <w:szCs w:val="20"/>
                <w:lang w:val="en-US"/>
              </w:rPr>
              <w:t>wt</w:t>
            </w:r>
            <w:proofErr w:type="spellEnd"/>
            <w:r w:rsidRPr="00BC0897">
              <w:rPr>
                <w:rFonts w:ascii="Times New Roman" w:hAnsi="Times New Roman" w:cs="Times New Roman"/>
                <w:bCs/>
                <w:sz w:val="20"/>
                <w:szCs w:val="20"/>
                <w:lang w:val="en-US"/>
              </w:rPr>
              <w:t xml:space="preserve"> and KO)</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E41E4B" w:rsidRPr="00BC0897">
              <w:rPr>
                <w:rFonts w:ascii="Times New Roman" w:hAnsi="Times New Roman" w:cs="Times New Roman"/>
                <w:bCs/>
                <w:sz w:val="20"/>
                <w:szCs w:val="20"/>
                <w:lang w:val="en-US"/>
              </w:rPr>
              <w:instrText xml:space="preserve"> ADDIN ZOTERO_ITEM CSL_CITATION {"citationID":"ftrkdiTW","properties":{"formattedCitation":"(Lloyd et al. 1996; Wang et al. 2005)","plainCitation":"(Lloyd et al. 1996; Wang et al. 2005)","noteIndex":0},"citationItems":[{"id":99,"uris":["http://zotero.org/users/local/jkkvYBSC/items/F43E5GWG"],"uri":["http://zotero.org/users/local/jkkvYBSC/items/F43E5GWG"],"itemData":{"id":99,"type":"article-journal","abstract":"KIDNEY stones (nephrolithiasis), which affect 12% of males and 5% of females in the western world, are familial in 45% of patients1,2 and are most commonly associated with hypercalciuria1. Three disorders of hypercalciuric nephrolithiasis (Dent's disease3, X-linked recessive nephrolithiasis (XRN)4, and X-linked recessive hypophosphataemic rickets (XLRH)5) have been mapped to Xpll.22 (refs 5–7). A microdeletion6 in one Dent's disease kindred allowed the identification of a candidate gene,CLCN5 (refs 8,9) which encodes a putative renal chloride channel. Here we report the investigation of 11 kindreds with these renal tubular disorders for CLCN5 abnormalities; this identified three nonsense, four missense and two donor splice site mutations, together with one intragenic deletion and one micro-deletion encompassing the entire gene. Heterologous expression of wild-type CLCN5 in Xenopus oocytes yielded outwardly rectifying chloride currents, which were either abolished or markedly reduced by the mutations. The common aetiology for Dent's disease, XRN and XLRH indicates that CLCN5 may be involved in other renal tubular disorders associated with kidney stones.","container-title":"Nature","DOI":"10.1038/379445a0","ISSN":"1476-4687","issue":"6564","journalAbbreviation":"Nature","language":"en","page":"445-449","source":"www.nature.com","title":"A common molecular basis for three inherited kidney stone diseases","volume":"379","author":[{"family":"Lloyd","given":"Sarah E."},{"family":"Pearce","given":"Simon H. S."},{"family":"Fisher","given":"Simon E."},{"family":"Steinmeyer","given":"Klaus"},{"family":"Schwappach","given":"Blanche"},{"family":"Scheinman","given":"Steven J."},{"family":"Harding","given":"Brian"},{"family":"Bolino","given":"Alessandra"},{"family":"Devoto","given":"Marcella"},{"family":"Goodyer","given":"Paul"},{"family":"Rigden","given":"Susan P. A."},{"family":"Wrong","given":"Oliver"},{"family":"Jentsch","given":"Thomas J."},{"family":"Craig","given":"Ian W."},{"family":"Thakker","given":"Rajesh V."}],"issued":{"date-parts":[["1996",2]]}}},{"id":"p7ATYret/OYK3xya7","uris":["http://zotero.org/users/local/jkkvYBSC/items/K3ATMGK5"],"uri":["http://zotero.org/users/local/jkkvYBSC/items/K3ATMGK5"],"itemData":{"id":774,"type":"article-journal","abstract":"The proper functioning of the Cl(-) channel, ClC-5, is essential for the uptake of low molecular mass proteins through receptor-mediated endocytosis in the proximal tubule. Dent's disease patients with mutant ClC-5 channels and ClC-5 knockout (KO) mice both have low molecular mass proteinuria. To further understand the function of ClC-5, endocytosis was studied in LLC-PK(1) cells and primary cultures of proximal tubule cells from wild-type (WT) and ClC-5 KO kidneys. Endocytosis in the proximal tubule cells from KO mice was reduced compared with that in WT animals. Endocytosis in WT but not in KO cells was inhibited by bafilomycin A-1 and Cl(-) depletion, whereas endocytosis in both WT and KO cells was inhibited by the NHE3 blocker, S3226. Infection with adenovirus containing WT ClC-5 rescued receptor-mediated endocytosis in KO cells, whereas infection with any of the three disease-causing mutants, myc-W22G-ClC-5, myc-S520P-ClC-5, or myc-R704X-ClC-5, did not. WT and the three mutants all trafficked to the apical surface, as assessed by surface biotinylation. WT-ClC-5 and the W22G mutant were internalized similarly, whereas neither the S520P nor the R704X mutants was. These data indicate that ClC-5 is important for Cl(-) and proton pump-mediated endocytosis. However, not all receptor-mediated endocytosis in the proximal tubule is dependent on ClC-5. There is a significant fraction that can be inhibited by an NHE3 blocker. Our data from the mutants suggest that defective targeting and trafficking of mutant ClC-5 to the endosomes are a major determinant in the lack of normal endocytosis in Dent's disease.","container-title":"American Journal of Physiology. Renal Physiology","DOI":"10.1152/ajprenal.00011.2005","ISSN":"1931-857X","issue":"4","journalAbbreviation":"Am. J. Physiol. Renal Physiol.","language":"eng","note":"PMID: 15942052","page":"F850-862","source":"PubMed","title":"ClC-5: role in endocytosis in the proximal tubule","title-short":"ClC-5","volume":"289","author":[{"family":"Wang","given":"Yinghong"},{"family":"Cai","given":"Hui"},{"family":"Cebotaru","given":"Liudmila"},{"family":"Hryciw","given":"Deanne H."},{"family":"Weinman","given":"Edward J."},{"family":"Donowitz","given":"Mark"},{"family":"Guggino","given":"Sandra E."},{"family":"Guggino","given":"William B."}],"issued":{"date-parts":[["2005",10]]}}}],"schema":"https://github.com/citation-style-language/schema/raw/master/csl-citation.json"}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rPr>
              <w:t>(Lloyd et al. 1996; Wang et al. 2005)</w:t>
            </w:r>
            <w:r w:rsidRPr="00BC0897">
              <w:rPr>
                <w:rFonts w:ascii="Times New Roman" w:hAnsi="Times New Roman" w:cs="Times New Roman"/>
                <w:bCs/>
                <w:sz w:val="20"/>
                <w:szCs w:val="20"/>
                <w:lang w:val="en-US"/>
              </w:rPr>
              <w:fldChar w:fldCharType="end"/>
            </w:r>
          </w:p>
        </w:tc>
      </w:tr>
      <w:tr w:rsidR="00E26333" w:rsidRPr="00BC0897" w:rsidTr="00925F4B">
        <w:trPr>
          <w:trHeight w:val="300"/>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F86D2D"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p.Ser</w:t>
            </w:r>
            <w:r w:rsidR="00E26333" w:rsidRPr="00BC0897">
              <w:rPr>
                <w:rFonts w:ascii="Times New Roman" w:hAnsi="Times New Roman" w:cs="Times New Roman"/>
                <w:bCs/>
                <w:sz w:val="20"/>
                <w:szCs w:val="20"/>
                <w:lang w:val="en-US"/>
              </w:rPr>
              <w:t>520A</w:t>
            </w:r>
            <w:r w:rsidRPr="00BC0897">
              <w:rPr>
                <w:rFonts w:ascii="Times New Roman" w:hAnsi="Times New Roman" w:cs="Times New Roman"/>
                <w:bCs/>
                <w:sz w:val="20"/>
                <w:szCs w:val="20"/>
                <w:lang w:val="en-US"/>
              </w:rPr>
              <w:t>la</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none</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{"citationID":"qqUQIlwZ","properties":{"formattedCitation":"(Lloyd et al. 1996)","plainCitation":"(Lloyd et al. 1996)","noteIndex":0},"citationItems":[{"id":99,"uris":["http://zotero.org/users/local/jkkvYBSC/items/F43E5GWG"],"uri":["http://zotero.org/users/local/jkkvYBSC/items/F43E5GWG"],"itemData":{"id":99,"type":"article-journal","abstract":"KIDNEY stones (nephrolithiasis), which affect 12% of males and 5% of females in the western world, are familial in 45% of patients1,2 and are most commonly associated with hypercalciuria1. Three disorders of hypercalciuric nephrolithiasis (Dent's disease3, X-linked recessive nephrolithiasis (XRN)4, and X-linked recessive hypophosphataemic rickets (XLRH)5) have been mapped to Xpll.22 (refs 5–7). A microdeletion6 in one Dent's disease kindred allowed the identification of a candidate gene,CLCN5 (refs 8,9) which encodes a putative renal chloride channel. Here we report the investigation of 11 kindreds with these renal tubular disorders for CLCN5 abnormalities; this identified three nonsense, four missense and two donor splice site mutations, together with one intragenic deletion and one micro-deletion encompassing the entire gene. Heterologous expression of wild-type CLCN5 in Xenopus oocytes yielded outwardly rectifying chloride currents, which were either abolished or markedly reduced by the mutations. The common aetiology for Dent's disease, XRN and XLRH indicates that CLCN5 may be involved in other renal tubular disorders associated with kidney stones.","container-title":"Nature","DOI":"10.1038/379445a0","ISSN":"1476-4687","issue":"6564","journalAbbreviation":"Nature","language":"en","page":"445-449","source":"www.nature.com","title":"A common molecular basis for three inherited kidney stone diseases","volume":"379","author":[{"family":"Lloyd","given":"Sarah E."},{"family":"Pearce","given":"Simon H. S."},{"family":"Fisher","given":"Simon E."},{"family":"Steinmeyer","given":"Klaus"},{"family":"Schwappach","given":"Blanche"},{"family":"Scheinman","given":"Steven J."},{"family":"Harding","given":"Brian"},{"family":"Bolino","given":"Alessandra"},{"family":"Devoto","given":"Marcella"},{"family":"Goodyer","given":"Paul"},{"family":"Rigden","given":"Susan P. A."},{"family":"Wrong","given":"Oliver"},{"family":"Jentsch","given":"Thomas J."},{"family":"Craig","given":"Ian W."},{"family":"Thakker","given":"Rajesh V."}],"issued":{"date-parts":[["1996",2]]}}}],"schema":"https://github.com/citation-style-language/schema/raw/master/csl-citation.json"}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rPr>
              <w:t>(Lloyd et al. 1996)</w:t>
            </w:r>
            <w:r w:rsidRPr="00BC0897">
              <w:rPr>
                <w:rFonts w:ascii="Times New Roman" w:hAnsi="Times New Roman" w:cs="Times New Roman"/>
                <w:bCs/>
                <w:sz w:val="20"/>
                <w:szCs w:val="20"/>
                <w:lang w:val="en-US"/>
              </w:rPr>
              <w:fldChar w:fldCharType="end"/>
            </w:r>
          </w:p>
        </w:tc>
      </w:tr>
      <w:tr w:rsidR="00E26333" w:rsidRPr="00BC0897" w:rsidTr="00925F4B">
        <w:trPr>
          <w:trHeight w:val="300"/>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F86D2D"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p.Ser</w:t>
            </w:r>
            <w:r w:rsidR="00E26333" w:rsidRPr="00BC0897">
              <w:rPr>
                <w:rFonts w:ascii="Times New Roman" w:hAnsi="Times New Roman" w:cs="Times New Roman"/>
                <w:bCs/>
                <w:sz w:val="20"/>
                <w:szCs w:val="20"/>
                <w:lang w:val="en-US"/>
              </w:rPr>
              <w:t>520T</w:t>
            </w:r>
            <w:r w:rsidRPr="00BC0897">
              <w:rPr>
                <w:rFonts w:ascii="Times New Roman" w:hAnsi="Times New Roman" w:cs="Times New Roman"/>
                <w:bCs/>
                <w:sz w:val="20"/>
                <w:szCs w:val="20"/>
                <w:lang w:val="en-US"/>
              </w:rPr>
              <w:t>hr</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none</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{"citationID":"bfl8NvEU","properties":{"formattedCitation":"(Lloyd et al. 1996)","plainCitation":"(Lloyd et al. 1996)","noteIndex":0},"citationItems":[{"id":99,"uris":["http://zotero.org/users/local/jkkvYBSC/items/F43E5GWG"],"uri":["http://zotero.org/users/local/jkkvYBSC/items/F43E5GWG"],"itemData":{"id":99,"type":"article-journal","abstract":"KIDNEY stones (nephrolithiasis), which affect 12% of males and 5% of females in the western world, are familial in 45% of patients1,2 and are most commonly associated with hypercalciuria1. Three disorders of hypercalciuric nephrolithiasis (Dent's disease3, X-linked recessive nephrolithiasis (XRN)4, and X-linked recessive hypophosphataemic rickets (XLRH)5) have been mapped to Xpll.22 (refs 5–7). A microdeletion6 in one Dent's disease kindred allowed the identification of a candidate gene,CLCN5 (refs 8,9) which encodes a putative renal chloride channel. Here we report the investigation of 11 kindreds with these renal tubular disorders for CLCN5 abnormalities; this identified three nonsense, four missense and two donor splice site mutations, together with one intragenic deletion and one micro-deletion encompassing the entire gene. Heterologous expression of wild-type CLCN5 in Xenopus oocytes yielded outwardly rectifying chloride currents, which were either abolished or markedly reduced by the mutations. The common aetiology for Dent's disease, XRN and XLRH indicates that CLCN5 may be involved in other renal tubular disorders associated with kidney stones.","container-title":"Nature","DOI":"10.1038/379445a0","ISSN":"1476-4687","issue":"6564","journalAbbreviation":"Nature","language":"en","page":"445-449","source":"www.nature.com","title":"A common molecular basis for three inherited kidney stone diseases","volume":"379","author":[{"family":"Lloyd","given":"Sarah E."},{"family":"Pearce","given":"Simon H. S."},{"family":"Fisher","given":"Simon E."},{"family":"Steinmeyer","given":"Klaus"},{"family":"Schwappach","given":"Blanche"},{"family":"Scheinman","given":"Steven J."},{"family":"Harding","given":"Brian"},{"family":"Bolino","given":"Alessandra"},{"family":"Devoto","given":"Marcella"},{"family":"Goodyer","given":"Paul"},{"family":"Rigden","given":"Susan P. A."},{"family":"Wrong","given":"Oliver"},{"family":"Jentsch","given":"Thomas J."},{"family":"Craig","given":"Ian W."},{"family":"Thakker","given":"Rajesh V."}],"issued":{"date-parts":[["1996",2]]}}}],"schema":"https://github.com/citation-style-language/schema/raw/master/csl-citation.json"}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rPr>
              <w:t>(Lloyd et al. 1996)</w:t>
            </w:r>
            <w:r w:rsidRPr="00BC0897">
              <w:rPr>
                <w:rFonts w:ascii="Times New Roman" w:hAnsi="Times New Roman" w:cs="Times New Roman"/>
                <w:bCs/>
                <w:sz w:val="20"/>
                <w:szCs w:val="20"/>
                <w:lang w:val="en-US"/>
              </w:rPr>
              <w:fldChar w:fldCharType="end"/>
            </w:r>
          </w:p>
        </w:tc>
      </w:tr>
      <w:tr w:rsidR="00E26333" w:rsidRPr="002212C2" w:rsidTr="00925F4B">
        <w:trPr>
          <w:trHeight w:val="300"/>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F86D2D"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p.Leu521Arg</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{"citationID":"yx49buHH","properties":{"formattedCitation":"(Ludwig et al. 2005)","plainCitation":"(Ludwig et al. 2005)","noteIndex":0},"citationItems":[{"id":468,"uris":["http://zotero.org/users/local/jkkvYBSC/items/A6DET4KW"],"uri":["http://zotero.org/users/local/jkkvYBSC/items/A6DET4KW"],"itemData":{"id":468,"type":"article-journal","abstract":"ClC-5 is a member of the ClC family of voltage-gated chloride channels. Loss-of-function mutations of its corresponding gene (CLCN5) cause Dent's disease, an X-linked kidney disorder, characterized by low-molecular weight proteinuria, hypercalciuria, nephrocalcinosis/nephrolithiasis, and progressive renal failure. Here, we examined the effect of different mutations on function and cellular trafficking of the recombinant protein. Mutant CLCN5 cDNAs were generated by site directed mutagenesis for two premature stop codon variants (R347X and M517IfsX528), and several missense mutations (C221R, L324R, G462 V, and R516 W). We also tested L521R (instead of L521RfsX526 observed) and mutants G506E and R648X (previously reported by others). After heterologous expression in Xenopus oocytes, ClC-5 channel activity and surface expression were determined by two-electrode voltage-clamp analysis and ClC-5 surface ELISA, respectively. Except for the R516 W and R648X variants, none of the mutated proteins induced functional chloride currents or reached the plasma membrane. This is readily understandable for the truncation mutations. Yet, the tested missense mutations are distributed over different transmembrane regions, implying that correct channel structure and orientation in the membrane is not only a prerequisite for proper ClC-5 function but also for Golgi exit. Interestingly, the R648X mutant although functionally compromised, displayed a significant increase in surface expression. This finding might be explained by the deletion of a ClC-5 carboxy-terminal PY-like internalization signal, which in turn impairs channel removal from the membrane. Our observations further imply that recruitment of ClC-5 to alternative routes (plasma membrane or early endosomes) in the trans-Golgi network is mediated via different signal sequences.","container-title":"Human Genetics","DOI":"10.1007/s00439-005-1303-2","ISSN":"0340-6717","issue":"2-3","journalAbbreviation":"Hum. Genet.","language":"eng","note":"PMID: 15895257","page":"228-237","source":"PubMed","title":"Functional evaluation of Dent's disease-causing mutations: implications for ClC-5 channel trafficking and internalization","title-short":"Functional evaluation of Dent's disease-causing mutations","volume":"117","author":[{"family":"Ludwig","given":"Michael"},{"family":"Doroszewicz","given":"Jolanta"},{"family":"Seyberth","given":"Hannsjörg W."},{"family":"Bökenkamp","given":"Arend"},{"family":"Balluch","given":"Bernd"},{"family":"Nuutinen","given":"Matti"},{"family":"Utsch","given":"Boris"},{"family":"Waldegger","given":"Siegfried"}],"issued":{"date-parts":[["2005",7]]}}}],"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lang w:val="en-US"/>
              </w:rPr>
              <w:t>(Ludwig et al. 2005)</w:t>
            </w:r>
            <w:r w:rsidRPr="00BC0897">
              <w:rPr>
                <w:rFonts w:ascii="Times New Roman" w:hAnsi="Times New Roman" w:cs="Times New Roman"/>
                <w:bCs/>
                <w:sz w:val="20"/>
                <w:szCs w:val="20"/>
                <w:lang w:val="en-US"/>
              </w:rPr>
              <w:fldChar w:fldCharType="end"/>
            </w:r>
          </w:p>
        </w:tc>
      </w:tr>
      <w:tr w:rsidR="00925F4B" w:rsidRPr="002212C2" w:rsidTr="00B86952">
        <w:trPr>
          <w:trHeight w:val="841"/>
        </w:trPr>
        <w:tc>
          <w:tcPr>
            <w:tcW w:w="1144" w:type="dxa"/>
            <w:hideMark/>
          </w:tcPr>
          <w:p w:rsidR="00925F4B" w:rsidRPr="00BC0897" w:rsidRDefault="00925F4B" w:rsidP="00B86952">
            <w:pPr>
              <w:spacing w:after="0"/>
              <w:jc w:val="both"/>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lastRenderedPageBreak/>
              <w:t>Type</w:t>
            </w:r>
          </w:p>
        </w:tc>
        <w:tc>
          <w:tcPr>
            <w:tcW w:w="1941" w:type="dxa"/>
            <w:hideMark/>
          </w:tcPr>
          <w:p w:rsidR="00925F4B" w:rsidRPr="00BC0897" w:rsidRDefault="00925F4B" w:rsidP="00B86952">
            <w:pPr>
              <w:spacing w:after="0"/>
              <w:jc w:val="both"/>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Mutation</w:t>
            </w:r>
          </w:p>
        </w:tc>
        <w:tc>
          <w:tcPr>
            <w:tcW w:w="1276" w:type="dxa"/>
            <w:hideMark/>
          </w:tcPr>
          <w:p w:rsidR="00925F4B" w:rsidRPr="00BC0897" w:rsidRDefault="00925F4B" w:rsidP="00B86952">
            <w:pPr>
              <w:spacing w:after="0"/>
              <w:jc w:val="both"/>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Chloride current</w:t>
            </w:r>
          </w:p>
        </w:tc>
        <w:tc>
          <w:tcPr>
            <w:tcW w:w="1276" w:type="dxa"/>
            <w:hideMark/>
          </w:tcPr>
          <w:p w:rsidR="00925F4B" w:rsidRPr="00BC0897" w:rsidRDefault="00925F4B" w:rsidP="00B86952">
            <w:pPr>
              <w:spacing w:after="0"/>
              <w:jc w:val="both"/>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Plasma membrane expression</w:t>
            </w:r>
          </w:p>
        </w:tc>
        <w:tc>
          <w:tcPr>
            <w:tcW w:w="4252" w:type="dxa"/>
            <w:hideMark/>
          </w:tcPr>
          <w:p w:rsidR="00925F4B" w:rsidRPr="00BC0897" w:rsidRDefault="00925F4B" w:rsidP="00B86952">
            <w:pPr>
              <w:spacing w:after="0"/>
              <w:jc w:val="both"/>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Other observations</w:t>
            </w:r>
          </w:p>
        </w:tc>
        <w:tc>
          <w:tcPr>
            <w:tcW w:w="2410" w:type="dxa"/>
            <w:hideMark/>
          </w:tcPr>
          <w:p w:rsidR="00925F4B" w:rsidRPr="00BC0897" w:rsidRDefault="00925F4B" w:rsidP="00B86952">
            <w:pPr>
              <w:spacing w:after="0"/>
              <w:jc w:val="both"/>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Biological system</w:t>
            </w:r>
          </w:p>
        </w:tc>
        <w:tc>
          <w:tcPr>
            <w:tcW w:w="2268" w:type="dxa"/>
            <w:hideMark/>
          </w:tcPr>
          <w:p w:rsidR="00925F4B" w:rsidRPr="00BC0897" w:rsidRDefault="00925F4B" w:rsidP="00B86952">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Ref</w:t>
            </w:r>
          </w:p>
        </w:tc>
      </w:tr>
      <w:tr w:rsidR="00E26333" w:rsidRPr="00BC0897" w:rsidTr="00925F4B">
        <w:trPr>
          <w:trHeight w:val="300"/>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F86D2D"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p.Ile524Lys</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reduced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ER localization</w:t>
            </w: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HEK-MSR</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{"citationID":"9tNmS8Qc","properties":{"formattedCitation":"(Smith et al. 2009)","plainCitation":"(Smith et al. 2009)","noteIndex":0},"citationItems":[{"id":463,"uris":["http://zotero.org/users/local/jkkvYBSC/items/6TTMGNDQ"],"uri":["http://zotero.org/users/local/jkkvYBSC/items/6TTMGNDQ"],"itemData":{"id":463,"type":"article-journal","abstract":"Mutations of the human CLCN5 gene, which encodes the CLC-5 Cl(-)/H(+) exchanger, lead to Dent's disease. Mutations result in functional defects that range from moderate reductions to complete loss of whole cell currents, although the severity of the functional defect rarely correlates with the severity of the disease. To further elucidate the basis of CLC-5 mutations causing Dent's disease, we examined the functional and cell biological consequences of seven previously reported missense mutants, utilizing electrophysiological and cell biological techniques. This revealed three classes of Dent's disease-causing CLC-5 mutations. Class 1 mutations lead to endoplasmic reticulum retention and degradation of CLC-5. Class 2 mutations appear to have little effect on subcellular distribution of CLC-5 but cause defective function resulting in severe defects in endosomal acidification. Class 3 mutations lead to alterations in the endosomal distribution of CLC-5 but are otherwise able to support endosomal acidification. Molecular modeling demonstrates a structural basis that may underlie the nature of the defect resulting from each mutation with each class occupying discrete regions of the protein quaternary structure. Thus these results demonstrate that the cell biological consequences of CLC-5 mutations are heterogeneous and can be classified into three major groups and that a correlation between the nature of the defect and the location of the mutation in the structure may be drawn. This model may prove to be useful as a tool to aid in the diagnosis and future therapeutic intervention of the disease.","container-title":"American Journal of Physiology. Renal Physiology","DOI":"10.1152/ajprenal.90526.2008","ISSN":"1931-857X","issue":"2","journalAbbreviation":"Am. J. Physiol. Renal Physiol.","language":"eng","note":"PMID: 19019917\nPMCID: PMC2643861","page":"F390-397","source":"PubMed","title":"Characterization of Dent's disease mutations of CLC-5 reveals a correlation between functional and cell biological consequences and protein structure","volume":"296","author":[{"family":"Smith","given":"Andrew J."},{"family":"Reed","given":"Anita A. C."},{"family":"Loh","given":"Nellie Y."},{"family":"Thakker","given":"Rajesh V."},{"family":"Lippiat","given":"Jonathan D."}],"issued":{"date-parts":[["2009",2]]}}}],"schema":"https://github.com/citation-style-language/schema/raw/master/csl-citation.json"}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rPr>
              <w:t>(Smith et al. 2009)</w:t>
            </w:r>
            <w:r w:rsidRPr="00BC0897">
              <w:rPr>
                <w:rFonts w:ascii="Times New Roman" w:hAnsi="Times New Roman" w:cs="Times New Roman"/>
                <w:bCs/>
                <w:sz w:val="20"/>
                <w:szCs w:val="20"/>
                <w:lang w:val="en-US"/>
              </w:rPr>
              <w:fldChar w:fldCharType="end"/>
            </w:r>
          </w:p>
        </w:tc>
      </w:tr>
      <w:tr w:rsidR="00E26333" w:rsidRPr="002212C2" w:rsidTr="00925F4B">
        <w:trPr>
          <w:trHeight w:val="569"/>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F86D2D"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p.Glu527Asp</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 reduced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reduced</w:t>
            </w: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localized in both early and late endosomes</w:t>
            </w: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 and HEK-MSR</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{"citationID":"gEd6tOow","properties":{"formattedCitation":"(Lloyd et al. 1997a; Smith et al. 2009)","plainCitation":"(Lloyd et al. 1997a; Smith et al. 2009)","noteIndex":0},"citationItems":[{"id":463,"uris":["http://zotero.org/users/local/jkkvYBSC/items/6TTMGNDQ"],"uri":["http://zotero.org/users/local/jkkvYBSC/items/6TTMGNDQ"],"itemData":{"id":463,"type":"article-journal","abstract":"Mutations of the human CLCN5 gene, which encodes the CLC-5 Cl(-)/H(+) exchanger, lead to Dent's disease. Mutations result in functional defects that range from moderate reductions to complete loss of whole cell currents, although the severity of the functional defect rarely correlates with the severity of the disease. To further elucidate the basis of CLC-5 mutations causing Dent's disease, we examined the functional and cell biological consequences of seven previously reported missense mutants, utilizing electrophysiological and cell biological techniques. This revealed three classes of Dent's disease-causing CLC-5 mutations. Class 1 mutations lead to endoplasmic reticulum retention and degradation of CLC-5. Class 2 mutations appear to have little effect on subcellular distribution of CLC-5 but cause defective function resulting in severe defects in endosomal acidification. Class 3 mutations lead to alterations in the endosomal distribution of CLC-5 but are otherwise able to support endosomal acidification. Molecular modeling demonstrates a structural basis that may underlie the nature of the defect resulting from each mutation with each class occupying discrete regions of the protein quaternary structure. Thus these results demonstrate that the cell biological consequences of CLC-5 mutations are heterogeneous and can be classified into three major groups and that a correlation between the nature of the defect and the location of the mutation in the structure may be drawn. This model may prove to be useful as a tool to aid in the diagnosis and future therapeutic intervention of the disease.","container-title":"American Journal of Physiology. Renal Physiology","DOI":"10.1152/ajprenal.90526.2008","ISSN":"1931-857X","issue":"2","journalAbbreviation":"Am. J. Physiol. Renal Physiol.","language":"eng","note":"PMID: 19019917\nPMCID: PMC2643861","page":"F390-397","source":"PubMed","title":"Characterization of Dent's disease mutations of CLC-5 reveals a correlation between functional and cell biological consequences and protein structure","volume":"296","author":[{"family":"Smith","given":"Andrew J."},{"family":"Reed","given":"Anita A. C."},{"family":"Loh","given":"Nellie Y."},{"family":"Thakker","given":"Rajesh V."},{"family":"Lippiat","given":"Jonathan D."}],"issued":{"date-parts":[["2009",2]]}}},{"id":454,"uris":["http://zotero.org/users/local/jkkvYBSC/items/J6EHPHDA"],"uri":["http://zotero.org/users/local/jkkvYBSC/items/J6EHPHDA"],"itemData":{"id":454,"type":"article-journal","abstract":"Mutations of the renal-specific chloride channel (CLCN5) gene, which is located on chromosome Xp11.22, are associated with hypercalciuric nephrolithiasis (kidney stones) in the Northern European and Japanese populations. CLCN5 encodes a 746 amino acid channel (CLC-5) that has approximately 12 transmembrane domains, and heterologous expression of wild-type CLC-5 in Xenopus oocytes has yielded outwardly rectifying chloride currents that were markedly reduced or abolished by these mutations. In order to assess further the structural and functional relationships of this recently cloned chloride channel, additional CLCN5 mutations have been identified in five unrelated families with this disorder. Three of these mutations were missense (G57V, G512R and E527D), one was a nonsense (R648Stop) and one was an insertion (30:H insertion). In addition, two of the mutations (30:H insertion and E527D) were demonstrated to be de novo, and the G57V and E527D mutations were identified in families of Afro-American and Indian origin, respectively. The G57V and 30:H insertion mutations represent the first CLCN5 mutations to be identified in the N-terminus region, and the R648Stop mutation, which has been observed previously in an unrelated family, suggests that this codon may be particularly prone to mutations. Heterologous expression of the mutations resulted in a marked reduction or abolition of the chloride currents, thereby establishing their functional importance. These results help to elucidate further the structure-function relationships of this renal chloride channel.","container-title":"Human Molecular Genetics","DOI":"10.1093/hmg/6.8.1233","ISSN":"0964-6906","issue":"8","journalAbbreviation":"Hum. Mol. Genet.","language":"eng","note":"PMID: 9259268","page":"1233-1239","source":"PubMed","title":"Characterisation of renal chloride channel, CLCN5, mutations in hypercalciuric nephrolithiasis (kidney stones) disorders","volume":"6","author":[{"family":"Lloyd","given":"S. E."},{"family":"Gunther","given":"W."},{"family":"Pearce","given":"S. H."},{"family":"Thomson","given":"A."},{"family":"Bianchi","given":"M. L."},{"family":"Bosio","given":"M."},{"family":"Craig","given":"I. W."},{"family":"Fisher","given":"S. E."},{"family":"Scheinman","given":"S. J."},{"family":"Wrong","given":"O."},{"family":"Jentsch","given":"T. J."},{"family":"Thakker","given":"R. V."}],"issued":{"date-parts":[["1997",8]]}}}],"schema":"https://github.com/citation-style-language/schema/raw/master/csl-citation.json"}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lang w:val="en-US"/>
              </w:rPr>
              <w:t>(Lloyd et al. 1997a; Smith et al. 2009)</w:t>
            </w:r>
            <w:r w:rsidRPr="00BC0897">
              <w:rPr>
                <w:rFonts w:ascii="Times New Roman" w:hAnsi="Times New Roman" w:cs="Times New Roman"/>
                <w:bCs/>
                <w:sz w:val="20"/>
                <w:szCs w:val="20"/>
                <w:lang w:val="en-US"/>
              </w:rPr>
              <w:fldChar w:fldCharType="end"/>
            </w:r>
          </w:p>
        </w:tc>
      </w:tr>
      <w:tr w:rsidR="00E26333" w:rsidRPr="00BC0897" w:rsidTr="00925F4B">
        <w:trPr>
          <w:trHeight w:val="543"/>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F86D2D"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p.Ser</w:t>
            </w:r>
            <w:r w:rsidR="00E26333" w:rsidRPr="00BC0897">
              <w:rPr>
                <w:rFonts w:ascii="Times New Roman" w:hAnsi="Times New Roman" w:cs="Times New Roman"/>
                <w:bCs/>
                <w:sz w:val="20"/>
                <w:szCs w:val="20"/>
                <w:lang w:val="en-US"/>
              </w:rPr>
              <w:t>540A</w:t>
            </w:r>
            <w:r w:rsidRPr="00BC0897">
              <w:rPr>
                <w:rFonts w:ascii="Times New Roman" w:hAnsi="Times New Roman" w:cs="Times New Roman"/>
                <w:bCs/>
                <w:sz w:val="20"/>
                <w:szCs w:val="20"/>
                <w:lang w:val="en-US"/>
              </w:rPr>
              <w:t>la</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reduced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no changes in ion selectivity or in steady-state rectification</w:t>
            </w: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 xml:space="preserve">HEK293 and </w:t>
            </w: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{"citationID":"o1ZMKoyf","properties":{"formattedCitation":"(Friedrich et al. 1999)","plainCitation":"(Friedrich et al. 1999)","noteIndex":0},"citationItems":[{"id":207,"uris":["http://zotero.org/users/local/jkkvYBSC/items/W93G7GFU"],"uri":["http://zotero.org/users/local/jkkvYBSC/items/W93G7GFU"],"itemData":{"id":207,"type":"article-journal","abstract":"ClC-4 and ClC-5, together with ClC-3, form a distinct branch of the CLC chloride channel family. Although ClC-5 was shown to be mainly expressed in endocytotic vesicles, expression of ClC-5 in Xenopus oocytes elicited chloride currents. We now show that ClC-4 also gives rise to strongly outwardly rectifying anion currents when expressed in oocytes. They closely resemble ClC-5 currents with which they share a NO3- &gt; Cl- &gt; Br- &gt; I- conductance sequence that differs from that reported for the highly homologous ClC-3. Both ClC-4 and ClC-5 currents are reduced by lowering extracellular pH. We could measure similar currents after expressing either channel in HEK293 cells. To demonstrate that these currents are directly mediated by the channel proteins, we introduced several point mutations that change channel characteristics. In ClC-5, several point mutations alter the kinetics of activation but leave macroscopic rectification and ion selectivity unchanged. A mutation (N565K) equivalent to a mutation reported to have profound effects on ClC-3 does not have similar effects on ClC-5. Moreover, a mutation at the end of D2 (S168T in ClC-5) changes ion selectivity, and a mutation at the end of D3 (E211A in ClC-5 and E224A in ClC-4) changes voltage dependence and ion selectivity. This shows that ClC-4 and ClC-5 can directly mediate plasma membrane currents.","container-title":"The Journal of Biological Chemistry","DOI":"10.1074/jbc.274.2.896","ISSN":"0021-9258","issue":"2","journalAbbreviation":"J. Biol. Chem.","language":"eng","note":"PMID: 9873029","page":"896-902","source":"PubMed","title":"Mutational analysis demonstrates that ClC-4 and ClC-5 directly mediate plasma membrane currents","volume":"274","author":[{"family":"Friedrich","given":"T."},{"family":"Breiderhoff","given":"T."},{"family":"Jentsch","given":"T. J."}],"issued":{"date-parts":[["1999",1,8]]}}}],"schema":"https://github.com/citation-style-language/schema/raw/master/csl-citation.json"}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rPr>
              <w:t>(Friedrich et al. 1999)</w:t>
            </w:r>
            <w:r w:rsidRPr="00BC0897">
              <w:rPr>
                <w:rFonts w:ascii="Times New Roman" w:hAnsi="Times New Roman" w:cs="Times New Roman"/>
                <w:bCs/>
                <w:sz w:val="20"/>
                <w:szCs w:val="20"/>
                <w:lang w:val="en-US"/>
              </w:rPr>
              <w:fldChar w:fldCharType="end"/>
            </w:r>
          </w:p>
        </w:tc>
      </w:tr>
      <w:tr w:rsidR="00E26333" w:rsidRPr="00BC0897" w:rsidTr="00925F4B">
        <w:trPr>
          <w:trHeight w:val="495"/>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F86D2D"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w:t>
            </w:r>
            <w:r w:rsidR="00E26333" w:rsidRPr="00BC0897">
              <w:rPr>
                <w:rFonts w:ascii="Times New Roman" w:hAnsi="Times New Roman" w:cs="Times New Roman"/>
                <w:bCs/>
                <w:sz w:val="20"/>
                <w:szCs w:val="20"/>
                <w:lang w:val="en-US"/>
              </w:rPr>
              <w:t>S</w:t>
            </w:r>
            <w:r w:rsidRPr="00BC0897">
              <w:rPr>
                <w:rFonts w:ascii="Times New Roman" w:hAnsi="Times New Roman" w:cs="Times New Roman"/>
                <w:bCs/>
                <w:sz w:val="20"/>
                <w:szCs w:val="20"/>
                <w:lang w:val="en-US"/>
              </w:rPr>
              <w:t>er</w:t>
            </w:r>
            <w:r w:rsidR="00E26333" w:rsidRPr="00BC0897">
              <w:rPr>
                <w:rFonts w:ascii="Times New Roman" w:hAnsi="Times New Roman" w:cs="Times New Roman"/>
                <w:bCs/>
                <w:sz w:val="20"/>
                <w:szCs w:val="20"/>
                <w:lang w:val="en-US"/>
              </w:rPr>
              <w:t>540T</w:t>
            </w:r>
            <w:r w:rsidRPr="00BC0897">
              <w:rPr>
                <w:rFonts w:ascii="Times New Roman" w:hAnsi="Times New Roman" w:cs="Times New Roman"/>
                <w:bCs/>
                <w:sz w:val="20"/>
                <w:szCs w:val="20"/>
                <w:lang w:val="en-US"/>
              </w:rPr>
              <w:t>hr</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reduced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no changes in ion selectivity or in steady-state rectification</w:t>
            </w: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 xml:space="preserve">HEK293 and </w:t>
            </w: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{"citationID":"tHDjR6BN","properties":{"formattedCitation":"(Friedrich et al. 1999)","plainCitation":"(Friedrich et al. 1999)","noteIndex":0},"citationItems":[{"id":207,"uris":["http://zotero.org/users/local/jkkvYBSC/items/W93G7GFU"],"uri":["http://zotero.org/users/local/jkkvYBSC/items/W93G7GFU"],"itemData":{"id":207,"type":"article-journal","abstract":"ClC-4 and ClC-5, together with ClC-3, form a distinct branch of the CLC chloride channel family. Although ClC-5 was shown to be mainly expressed in endocytotic vesicles, expression of ClC-5 in Xenopus oocytes elicited chloride currents. We now show that ClC-4 also gives rise to strongly outwardly rectifying anion currents when expressed in oocytes. They closely resemble ClC-5 currents with which they share a NO3- &gt; Cl- &gt; Br- &gt; I- conductance sequence that differs from that reported for the highly homologous ClC-3. Both ClC-4 and ClC-5 currents are reduced by lowering extracellular pH. We could measure similar currents after expressing either channel in HEK293 cells. To demonstrate that these currents are directly mediated by the channel proteins, we introduced several point mutations that change channel characteristics. In ClC-5, several point mutations alter the kinetics of activation but leave macroscopic rectification and ion selectivity unchanged. A mutation (N565K) equivalent to a mutation reported to have profound effects on ClC-3 does not have similar effects on ClC-5. Moreover, a mutation at the end of D2 (S168T in ClC-5) changes ion selectivity, and a mutation at the end of D3 (E211A in ClC-5 and E224A in ClC-4) changes voltage dependence and ion selectivity. This shows that ClC-4 and ClC-5 can directly mediate plasma membrane currents.","container-title":"The Journal of Biological Chemistry","DOI":"10.1074/jbc.274.2.896","ISSN":"0021-9258","issue":"2","journalAbbreviation":"J. Biol. Chem.","language":"eng","note":"PMID: 9873029","page":"896-902","source":"PubMed","title":"Mutational analysis demonstrates that ClC-4 and ClC-5 directly mediate plasma membrane currents","volume":"274","author":[{"family":"Friedrich","given":"T."},{"family":"Breiderhoff","given":"T."},{"family":"Jentsch","given":"T. J."}],"issued":{"date-parts":[["1999",1,8]]}}}],"schema":"https://github.com/citation-style-language/schema/raw/master/csl-citation.json"}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rPr>
              <w:t>(Friedrich et al. 1999)</w:t>
            </w:r>
            <w:r w:rsidRPr="00BC0897">
              <w:rPr>
                <w:rFonts w:ascii="Times New Roman" w:hAnsi="Times New Roman" w:cs="Times New Roman"/>
                <w:bCs/>
                <w:sz w:val="20"/>
                <w:szCs w:val="20"/>
                <w:lang w:val="en-US"/>
              </w:rPr>
              <w:fldChar w:fldCharType="end"/>
            </w:r>
          </w:p>
        </w:tc>
      </w:tr>
      <w:tr w:rsidR="00E26333" w:rsidRPr="00BC0897" w:rsidTr="00925F4B">
        <w:trPr>
          <w:trHeight w:val="300"/>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F86D2D"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p.Lys</w:t>
            </w:r>
            <w:r w:rsidR="00E26333" w:rsidRPr="00BC0897">
              <w:rPr>
                <w:rFonts w:ascii="Times New Roman" w:hAnsi="Times New Roman" w:cs="Times New Roman"/>
                <w:bCs/>
                <w:sz w:val="20"/>
                <w:szCs w:val="20"/>
                <w:lang w:val="en-US"/>
              </w:rPr>
              <w:t>546</w:t>
            </w:r>
            <w:r w:rsidRPr="00BC0897">
              <w:rPr>
                <w:rFonts w:ascii="Times New Roman" w:hAnsi="Times New Roman" w:cs="Times New Roman"/>
                <w:bCs/>
                <w:sz w:val="20"/>
                <w:szCs w:val="20"/>
                <w:lang w:val="en-US"/>
              </w:rPr>
              <w:t>Glu</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reduced</w:t>
            </w: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 and HEK293</w:t>
            </w:r>
          </w:p>
          <w:p w:rsidR="000F21AB" w:rsidRPr="00BC0897" w:rsidRDefault="000F21AB" w:rsidP="00C228AD">
            <w:pPr>
              <w:spacing w:after="0"/>
              <w:jc w:val="both"/>
              <w:rPr>
                <w:rFonts w:ascii="Times New Roman" w:hAnsi="Times New Roman" w:cs="Times New Roman"/>
                <w:bCs/>
                <w:sz w:val="20"/>
                <w:szCs w:val="20"/>
                <w:lang w:val="en-US"/>
              </w:rPr>
            </w:pP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{"citationID":"U5p3gyaq","properties":{"formattedCitation":"(Grand et al. 2011)","plainCitation":"(Grand et al. 2011)","noteIndex":0},"citationItems":[{"id":349,"uris":["http://zotero.org/users/local/jkkvYBSC/items/UAGIQI52"],"uri":["http://zotero.org/users/local/jkkvYBSC/items/UAGIQI52"],"itemData":{"id":349,"type":"article-journal","abstract":"Mutations in the electrogenic Cl(-)/H(+) exchanger ClC-5 gene CLCN5 are frequently associated with Dent disease, an X-linked recessive disorder affecting the proximal tubules. Here, we investigate the consequences in Xenopus laevis oocytes and in HEK293 cells of nine previously reported, pathogenic, missense mutations of ClC-5, most of them which are located in regions forming the subunit interface. Two mutants trafficked normally to the cell surface and to early endosomes, and displayed complex glycosylation at the cell surface like wild-type ClC-5, but exhibited reduced currents. Three mutants displayed improper N-glycosylation, and were nonfunctional due to being retained and degraded at the endoplasmic reticulum. Functional characterization of four mutants allowed us to identify a novel mechanism leading to ClC-5 dysfunction in Dent disease. We report that these mutant proteins were delayed in their processing, and that the stability of their complex glycosylated form was reduced, causing lower cell surface expression. The early endosome distribution of these mutants was normal. Half of these mutants displayed reduced currents, whereas the other half showed abolished currents. Our study revealed distinct cellular mechanisms accounting for ClC-5 loss of function in Dent disease.","container-title":"Human Mutation","DOI":"10.1002/humu.21467","ISSN":"1098-1004","issue":"4","journalAbbreviation":"Hum. Mutat.","language":"eng","note":"PMID: 21305656","page":"476-483","source":"PubMed","title":"Heterogeneity in the processing of CLCN5 mutants related to Dent disease","volume":"32","author":[{"family":"Grand","given":"Teddy"},{"family":"L'Hoste","given":"Sébastien"},{"family":"Mordasini","given":"David"},{"family":"Defontaine","given":"Nadia"},{"family":"Keck","given":"Mathilde"},{"family":"Pennaforte","given":"Thomas"},{"family":"Genete","given":"Mathieu"},{"family":"Laghmani","given":"Kamel"},{"family":"Teulon","given":"Jacques"},{"family":"Lourdel","given":"Stéphane"}],"issued":{"date-parts":[["2011",4]]}}}],"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rPr>
              <w:t>(Grand et al. 2011)</w:t>
            </w:r>
            <w:r w:rsidRPr="00BC0897">
              <w:rPr>
                <w:rFonts w:ascii="Times New Roman" w:hAnsi="Times New Roman" w:cs="Times New Roman"/>
                <w:bCs/>
                <w:sz w:val="20"/>
                <w:szCs w:val="20"/>
                <w:lang w:val="en-US"/>
              </w:rPr>
              <w:fldChar w:fldCharType="end"/>
            </w:r>
          </w:p>
        </w:tc>
      </w:tr>
      <w:tr w:rsidR="00E26333" w:rsidRPr="00BC0897" w:rsidTr="00925F4B">
        <w:trPr>
          <w:trHeight w:val="300"/>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F86D2D"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p.Trp</w:t>
            </w:r>
            <w:r w:rsidR="00E26333" w:rsidRPr="00BC0897">
              <w:rPr>
                <w:rFonts w:ascii="Times New Roman" w:hAnsi="Times New Roman" w:cs="Times New Roman"/>
                <w:bCs/>
                <w:sz w:val="20"/>
                <w:szCs w:val="20"/>
                <w:lang w:val="en-US"/>
              </w:rPr>
              <w:t>547G</w:t>
            </w:r>
            <w:r w:rsidRPr="00BC0897">
              <w:rPr>
                <w:rFonts w:ascii="Times New Roman" w:hAnsi="Times New Roman" w:cs="Times New Roman"/>
                <w:bCs/>
                <w:sz w:val="20"/>
                <w:szCs w:val="20"/>
                <w:lang w:val="en-US"/>
              </w:rPr>
              <w:t>ly</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reduced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reduced</w:t>
            </w: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 and HEK293</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{"citationID":"98csvY7N","properties":{"formattedCitation":"(Grand et al. 2011)","plainCitation":"(Grand et al. 2011)","noteIndex":0},"citationItems":[{"id":349,"uris":["http://zotero.org/users/local/jkkvYBSC/items/UAGIQI52"],"uri":["http://zotero.org/users/local/jkkvYBSC/items/UAGIQI52"],"itemData":{"id":349,"type":"article-journal","abstract":"Mutations in the electrogenic Cl(-)/H(+) exchanger ClC-5 gene CLCN5 are frequently associated with Dent disease, an X-linked recessive disorder affecting the proximal tubules. Here, we investigate the consequences in Xenopus laevis oocytes and in HEK293 cells of nine previously reported, pathogenic, missense mutations of ClC-5, most of them which are located in regions forming the subunit interface. Two mutants trafficked normally to the cell surface and to early endosomes, and displayed complex glycosylation at the cell surface like wild-type ClC-5, but exhibited reduced currents. Three mutants displayed improper N-glycosylation, and were nonfunctional due to being retained and degraded at the endoplasmic reticulum. Functional characterization of four mutants allowed us to identify a novel mechanism leading to ClC-5 dysfunction in Dent disease. We report that these mutant proteins were delayed in their processing, and that the stability of their complex glycosylated form was reduced, causing lower cell surface expression. The early endosome distribution of these mutants was normal. Half of these mutants displayed reduced currents, whereas the other half showed abolished currents. Our study revealed distinct cellular mechanisms accounting for ClC-5 loss of function in Dent disease.","container-title":"Human Mutation","DOI":"10.1002/humu.21467","ISSN":"1098-1004","issue":"4","journalAbbreviation":"Hum. Mutat.","language":"eng","note":"PMID: 21305656","page":"476-483","source":"PubMed","title":"Heterogeneity in the processing of CLCN5 mutants related to Dent disease","volume":"32","author":[{"family":"Grand","given":"Teddy"},{"family":"L'Hoste","given":"Sébastien"},{"family":"Mordasini","given":"David"},{"family":"Defontaine","given":"Nadia"},{"family":"Keck","given":"Mathilde"},{"family":"Pennaforte","given":"Thomas"},{"family":"Genete","given":"Mathieu"},{"family":"Laghmani","given":"Kamel"},{"family":"Teulon","given":"Jacques"},{"family":"Lourdel","given":"Stéphane"}],"issued":{"date-parts":[["2011",4]]}}}],"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rPr>
              <w:t>(Grand et al. 2011)</w:t>
            </w:r>
            <w:r w:rsidRPr="00BC0897">
              <w:rPr>
                <w:rFonts w:ascii="Times New Roman" w:hAnsi="Times New Roman" w:cs="Times New Roman"/>
                <w:bCs/>
                <w:sz w:val="20"/>
                <w:szCs w:val="20"/>
                <w:lang w:val="en-US"/>
              </w:rPr>
              <w:fldChar w:fldCharType="end"/>
            </w:r>
          </w:p>
        </w:tc>
      </w:tr>
      <w:tr w:rsidR="00E26333" w:rsidRPr="00BC0897" w:rsidTr="00925F4B">
        <w:trPr>
          <w:trHeight w:val="542"/>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F86D2D"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p.Asn565Lys</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reduced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no changes in rectification but influence pore properties</w:t>
            </w: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 xml:space="preserve">HEK293 and </w:t>
            </w: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{"citationID":"himL2Vus","properties":{"formattedCitation":"(Friedrich et al. 1999)","plainCitation":"(Friedrich et al. 1999)","noteIndex":0},"citationItems":[{"id":207,"uris":["http://zotero.org/users/local/jkkvYBSC/items/W93G7GFU"],"uri":["http://zotero.org/users/local/jkkvYBSC/items/W93G7GFU"],"itemData":{"id":207,"type":"article-journal","abstract":"ClC-4 and ClC-5, together with ClC-3, form a distinct branch of the CLC chloride channel family. Although ClC-5 was shown to be mainly expressed in endocytotic vesicles, expression of ClC-5 in Xenopus oocytes elicited chloride currents. We now show that ClC-4 also gives rise to strongly outwardly rectifying anion currents when expressed in oocytes. They closely resemble ClC-5 currents with which they share a NO3- &gt; Cl- &gt; Br- &gt; I- conductance sequence that differs from that reported for the highly homologous ClC-3. Both ClC-4 and ClC-5 currents are reduced by lowering extracellular pH. We could measure similar currents after expressing either channel in HEK293 cells. To demonstrate that these currents are directly mediated by the channel proteins, we introduced several point mutations that change channel characteristics. In ClC-5, several point mutations alter the kinetics of activation but leave macroscopic rectification and ion selectivity unchanged. A mutation (N565K) equivalent to a mutation reported to have profound effects on ClC-3 does not have similar effects on ClC-5. Moreover, a mutation at the end of D2 (S168T in ClC-5) changes ion selectivity, and a mutation at the end of D3 (E211A in ClC-5 and E224A in ClC-4) changes voltage dependence and ion selectivity. This shows that ClC-4 and ClC-5 can directly mediate plasma membrane currents.","container-title":"The Journal of Biological Chemistry","DOI":"10.1074/jbc.274.2.896","ISSN":"0021-9258","issue":"2","journalAbbreviation":"J. Biol. Chem.","language":"eng","note":"PMID: 9873029","page":"896-902","source":"PubMed","title":"Mutational analysis demonstrates that ClC-4 and ClC-5 directly mediate plasma membrane currents","volume":"274","author":[{"family":"Friedrich","given":"T."},{"family":"Breiderhoff","given":"T."},{"family":"Jentsch","given":"T. J."}],"issued":{"date-parts":[["1999",1,8]]}}}],"schema":"https://github.com/citation-style-language/schema/raw/master/csl-citation.json"}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rPr>
              <w:t>(Friedrich et al. 1999)</w:t>
            </w:r>
            <w:r w:rsidRPr="00BC0897">
              <w:rPr>
                <w:rFonts w:ascii="Times New Roman" w:hAnsi="Times New Roman" w:cs="Times New Roman"/>
                <w:bCs/>
                <w:sz w:val="20"/>
                <w:szCs w:val="20"/>
                <w:lang w:val="en-US"/>
              </w:rPr>
              <w:fldChar w:fldCharType="end"/>
            </w:r>
          </w:p>
        </w:tc>
      </w:tr>
      <w:tr w:rsidR="005D6AE1" w:rsidRPr="00BC0897" w:rsidTr="00925F4B">
        <w:trPr>
          <w:trHeight w:val="569"/>
        </w:trPr>
        <w:tc>
          <w:tcPr>
            <w:tcW w:w="1144" w:type="dxa"/>
            <w:noWrap/>
            <w:hideMark/>
          </w:tcPr>
          <w:p w:rsidR="005D6AE1" w:rsidRPr="00BC0897" w:rsidRDefault="005D6AE1"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5D6AE1" w:rsidRPr="00BC0897" w:rsidRDefault="00F86D2D"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p.Gly</w:t>
            </w:r>
            <w:r w:rsidR="005D6AE1" w:rsidRPr="00BC0897">
              <w:rPr>
                <w:rFonts w:ascii="Times New Roman" w:hAnsi="Times New Roman" w:cs="Times New Roman"/>
                <w:bCs/>
                <w:sz w:val="20"/>
                <w:szCs w:val="20"/>
                <w:lang w:val="en-US"/>
              </w:rPr>
              <w:t>600V</w:t>
            </w:r>
            <w:r w:rsidRPr="00BC0897">
              <w:rPr>
                <w:rFonts w:ascii="Times New Roman" w:hAnsi="Times New Roman" w:cs="Times New Roman"/>
                <w:bCs/>
                <w:sz w:val="20"/>
                <w:szCs w:val="20"/>
                <w:lang w:val="en-US"/>
              </w:rPr>
              <w:t>al</w:t>
            </w:r>
          </w:p>
        </w:tc>
        <w:tc>
          <w:tcPr>
            <w:tcW w:w="1276" w:type="dxa"/>
            <w:noWrap/>
            <w:hideMark/>
          </w:tcPr>
          <w:p w:rsidR="005D6AE1" w:rsidRPr="00BC0897" w:rsidRDefault="005D6AE1" w:rsidP="00C228AD">
            <w:pPr>
              <w:spacing w:after="0"/>
              <w:jc w:val="both"/>
              <w:rPr>
                <w:rFonts w:ascii="Times New Roman" w:hAnsi="Times New Roman" w:cs="Times New Roman"/>
                <w:bCs/>
                <w:sz w:val="20"/>
                <w:szCs w:val="20"/>
                <w:lang w:val="en-US"/>
              </w:rPr>
            </w:pPr>
          </w:p>
        </w:tc>
        <w:tc>
          <w:tcPr>
            <w:tcW w:w="1276" w:type="dxa"/>
            <w:noWrap/>
            <w:hideMark/>
          </w:tcPr>
          <w:p w:rsidR="005D6AE1" w:rsidRPr="00BC0897" w:rsidRDefault="005D6AE1"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reduced</w:t>
            </w:r>
          </w:p>
        </w:tc>
        <w:tc>
          <w:tcPr>
            <w:tcW w:w="4252" w:type="dxa"/>
            <w:hideMark/>
          </w:tcPr>
          <w:p w:rsidR="005D6AE1" w:rsidRPr="00BC0897" w:rsidRDefault="005D6AE1"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reduced core glycosylation, localized in early endosomes</w:t>
            </w:r>
          </w:p>
        </w:tc>
        <w:tc>
          <w:tcPr>
            <w:tcW w:w="2410" w:type="dxa"/>
            <w:hideMark/>
          </w:tcPr>
          <w:p w:rsidR="005D6AE1" w:rsidRPr="00BC0897" w:rsidRDefault="005D6AE1"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HEK293</w:t>
            </w:r>
          </w:p>
        </w:tc>
        <w:tc>
          <w:tcPr>
            <w:tcW w:w="2268" w:type="dxa"/>
            <w:hideMark/>
          </w:tcPr>
          <w:p w:rsidR="005D6AE1"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{"citationID":"5bQLWhU5","properties":{"formattedCitation":"(Zhang et al. 2017)","plainCitation":"(Zhang et al. 2017)","noteIndex":0},"citationItems":[{"id":27,"uris":["http://zotero.org/users/local/jkkvYBSC/items/WAC5SMPK"],"uri":["http://zotero.org/users/local/jkkvYBSC/items/WAC5SMPK"],"itemData":{"id":27,"type":"article-journal","abstract":"Dent's disease is an X-linked inherited renal disease. Patients with Dent's disease often carry mutations in genes encoding the Cl-/H+ exchanger ClC-5 and/or inositol polyphosphate 5-phosphatase (OCRL1). However, the mutations involved and the biochemical effects of these mutations are not fully understood. To characterize genetic changes in Dent's disease patients, in this study, samples from nine Chinese patients were subjected to genetic analysis. Among the nine patients, six were classified as having Dent-1 disease, one had Dent-2 disease, and two could not be classified. Expression of ClC-5 carrying Dent's disease-associated mutations in HEK293 cells had varying effects: (1) no detectable expression of mutant protein; (2) retention of a truncated protein in the endoplasmic reticulum; or (3) diminished protein expression with normal distribution in early endosomes. Dent's disease patients showed genetic heterogeneity and over 20% of patients did not have CLCN5 or OCRL1 mutations, suggesting the existence of other genetic factors. Using next-generation sequencing, we identified possible modifier genes that have not been previously reported in Dent's disease patients. Heterozygous variants in CFTR, SCNN1A, and SCNN1B genes associated with cystic fibrosis (CF) or CF-like disease were detected in four of our nine patients. These results may form the basis for future characterization of Dent's disease and genetic counseling approaches.","container-title":"DNA and cell biology","DOI":"10.1089/dna.2017.3731","ISSN":"1557-7430","issue":"12","journalAbbreviation":"DNA Cell Biol.","language":"eng","note":"PMID: 29058463","page":"1151-1158","source":"PubMed","title":"Genetic Analysis of Dent's Disease and Functional Research of CLCN5 Mutations","volume":"36","author":[{"family":"Zhang","given":"Ya"},{"family":"Fang","given":"Xiaoyan"},{"family":"Xu","given":"Hong"},{"family":"Shen","given":"Qian"}],"issued":{"date-parts":[["2017",12]]}}}],"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rPr>
              <w:t>(Zhang et al. 2017)</w:t>
            </w:r>
            <w:r w:rsidRPr="00BC0897">
              <w:rPr>
                <w:rFonts w:ascii="Times New Roman" w:hAnsi="Times New Roman" w:cs="Times New Roman"/>
                <w:bCs/>
                <w:sz w:val="20"/>
                <w:szCs w:val="20"/>
                <w:lang w:val="en-US"/>
              </w:rPr>
              <w:fldChar w:fldCharType="end"/>
            </w:r>
          </w:p>
        </w:tc>
      </w:tr>
      <w:tr w:rsidR="00E26333" w:rsidRPr="00BC0897" w:rsidTr="00925F4B">
        <w:trPr>
          <w:trHeight w:val="266"/>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F86D2D"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p.Asp</w:t>
            </w:r>
            <w:r w:rsidR="00E26333" w:rsidRPr="00BC0897">
              <w:rPr>
                <w:rFonts w:ascii="Times New Roman" w:hAnsi="Times New Roman" w:cs="Times New Roman"/>
                <w:bCs/>
                <w:sz w:val="20"/>
                <w:szCs w:val="20"/>
                <w:lang w:val="en-US"/>
              </w:rPr>
              <w:t>601V</w:t>
            </w:r>
            <w:r w:rsidRPr="00BC0897">
              <w:rPr>
                <w:rFonts w:ascii="Times New Roman" w:hAnsi="Times New Roman" w:cs="Times New Roman"/>
                <w:bCs/>
                <w:sz w:val="20"/>
                <w:szCs w:val="20"/>
                <w:lang w:val="en-US"/>
              </w:rPr>
              <w:t>al</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unaffected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40F98" w:rsidRPr="00BC0897">
              <w:rPr>
                <w:rFonts w:ascii="Times New Roman" w:hAnsi="Times New Roman" w:cs="Times New Roman"/>
                <w:bCs/>
                <w:sz w:val="20"/>
                <w:szCs w:val="20"/>
                <w:lang w:val="en-US"/>
              </w:rPr>
              <w:instrText xml:space="preserve"> ADDIN ZOTERO_ITEM CSL_CITATION {"citationID":"vIcFGvaB","properties":{"formattedCitation":"(Yamamoto et al. 2000)","plainCitation":"(Yamamoto et al. 2000)","noteIndex":0},"citationItems":[{"id":"p7ATYret/t3Q1ynDY","uris":["http://zotero.org/users/local/jkkvYBSC/items/AWXR366C"],"uri":["http://zotero.org/users/local/jkkvYBSC/items/AWXR366C"],"itemData":{"id":781,"type":"article-journal","abstract":"Dent's disease is an X-linked renal tubular disorder characterized by low molecular weight proteinuria, hypercalciuria, nephrocalcinosis, nephrolithiasis, and renal failure. The disease is caused by mutations in a renal chloride channel gene, CLCN5, which encodes a 746 amino acid protein (CLC-5), with 12 to 13 transmembrane domains. In this study, an additional six unrelated patients with Dent's disease were identified and investigated for CLCN5 mutations by DNA sequence analysis of the 11 coding exons of CLCN5. This revealed six mutations: four frameshift deletions involving codons 392, 394, 658, and 728, one nonsense mutation (Tyr617Stop), and an A to T transversion at codon 601 that would result in either a missense mutation (Asp601Val) or creation of a novel donor splice site. These mutations were confirmed by restriction endonuclease or sequence-specific oligonucleotide hybridization analysis and were not common polymorphisms. The frameshift deletions and nonsense mutation predict truncated and inactivated CLC-5. The effects of the putative missense Asp601Val mutant CLC-5 were assessed by heterologous expression in Xenopus oocytes, and this revealed a chloride conductance that was similar to that observed for wild-type CLC-5. However, an analysis of the mutant CLCN5 transcripts revealed utilization of the novel donor splice site, resulting in a truncated CLC-5. Thus, all of the six mutations are likely to result in truncated CLC-5 and a loss of function, and these findings expand the spectrum of CLCN5 mutations associated with Dent's disease.","container-title":"Journal of the American Society of Nephrology: JASN","ISSN":"1046-6673","issue":"8","journalAbbreviation":"J. Am. Soc. Nephrol.","language":"eng","note":"PMID: 10906159","page":"1460-1468","source":"PubMed","title":"Characterization of renal chloride channel (CLCN5) mutations in Dent's disease","volume":"11","author":[{"family":"Yamamoto","given":"K."},{"family":"Cox","given":"J. P."},{"family":"Friedrich","given":"T."},{"family":"Christie","given":"P. T."},{"family":"Bald","given":"M."},{"family":"Houtman","given":"P. N."},{"family":"Lapsley","given":"M. J."},{"family":"Patzer","given":"L."},{"family":"Tsimaratos","given":"M."},{"family":"Van'T Hoff","given":"W. G."},{"family":"Yamaoka","given":"K."},{"family":"Jentsch","given":"T. J."},{"family":"Thakker","given":"R. V."}],"issued":{"date-parts":[["2000",8]]}}}],"schema":"https://github.com/citation-style-language/schema/raw/master/csl-citation.json"} </w:instrText>
            </w:r>
            <w:r w:rsidRPr="00BC0897">
              <w:rPr>
                <w:rFonts w:ascii="Times New Roman" w:hAnsi="Times New Roman" w:cs="Times New Roman"/>
                <w:bCs/>
                <w:sz w:val="20"/>
                <w:szCs w:val="20"/>
                <w:lang w:val="en-US"/>
              </w:rPr>
              <w:fldChar w:fldCharType="separate"/>
            </w:r>
            <w:r w:rsidR="00040F98" w:rsidRPr="00BC0897">
              <w:rPr>
                <w:rFonts w:ascii="Times New Roman" w:hAnsi="Times New Roman" w:cs="Times New Roman"/>
                <w:sz w:val="20"/>
              </w:rPr>
              <w:t>(Yamamoto et al. 2000)</w:t>
            </w:r>
            <w:r w:rsidRPr="00BC0897">
              <w:rPr>
                <w:rFonts w:ascii="Times New Roman" w:hAnsi="Times New Roman" w:cs="Times New Roman"/>
                <w:bCs/>
                <w:sz w:val="20"/>
                <w:szCs w:val="20"/>
                <w:lang w:val="en-US"/>
              </w:rPr>
              <w:fldChar w:fldCharType="end"/>
            </w:r>
          </w:p>
        </w:tc>
      </w:tr>
      <w:tr w:rsidR="00E26333" w:rsidRPr="002212C2" w:rsidTr="00925F4B">
        <w:trPr>
          <w:trHeight w:val="537"/>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missense</w:t>
            </w:r>
          </w:p>
        </w:tc>
        <w:tc>
          <w:tcPr>
            <w:tcW w:w="1941" w:type="dxa"/>
            <w:noWrap/>
            <w:hideMark/>
          </w:tcPr>
          <w:p w:rsidR="00E26333" w:rsidRPr="00BC0897" w:rsidRDefault="00F86D2D"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p.Thr</w:t>
            </w:r>
            <w:r w:rsidR="00E26333" w:rsidRPr="00BC0897">
              <w:rPr>
                <w:rFonts w:ascii="Times New Roman" w:hAnsi="Times New Roman" w:cs="Times New Roman"/>
                <w:bCs/>
                <w:sz w:val="20"/>
                <w:szCs w:val="20"/>
                <w:lang w:val="en-US"/>
              </w:rPr>
              <w:t>657S</w:t>
            </w:r>
            <w:r w:rsidRPr="00BC0897">
              <w:rPr>
                <w:rFonts w:ascii="Times New Roman" w:hAnsi="Times New Roman" w:cs="Times New Roman"/>
                <w:bCs/>
                <w:sz w:val="20"/>
                <w:szCs w:val="20"/>
                <w:lang w:val="en-US"/>
              </w:rPr>
              <w:t>er</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unaffected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unaffected</w:t>
            </w: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unaffected Cl-/H+ stoichiometry</w:t>
            </w: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 HEK293, and renal cortical tubular epithelial cells</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5C2768" w:rsidRPr="00BC0897">
              <w:rPr>
                <w:rFonts w:ascii="Times New Roman" w:hAnsi="Times New Roman" w:cs="Times New Roman"/>
                <w:bCs/>
                <w:sz w:val="20"/>
                <w:szCs w:val="20"/>
                <w:lang w:val="en-US"/>
              </w:rPr>
              <w:instrText xml:space="preserve"> ADDIN ZOTERO_ITEM CSL_CITATION {"citationID":"BYyi6gFe","properties":{"formattedCitation":"(Tang et al. 2016; Chang et al. 2020)","plainCitation":"(Tang et al. 2016; Chang et al. 2020)","noteIndex":0},"citationItems":[{"id":64,"uris":["http://zotero.org/users/local/jkkvYBSC/items/P4DHEA6J"],"uri":["http://zotero.org/users/local/jkkvYBSC/items/P4DHEA6J"],"itemData":{"id":64,"type":"article-journal","abstract":"Dent disease type 1, an X-linked inherited kidney disease is caused by mutations in electrogenic Cl(-)/H(+) exchanger, ClC-5. We functionally studied the most frequent mutation (S244L) and two mutations recently identified in RKSC patients, Q629X and R345W. We also studied T657S, which has a high minor-allele frequency (0.23%) in the African-American population, was published previously as pathogenic to cause Dent disease. The transport properties of CLC-5 were electrophysiologically characterized. WT and ClC-5 mutant currents were inhibited by pH 5.5, but not affected by an alkaline extracellular solution (pH 8.5). The T657S and R345W mutations showed the same anion selectivity sequence as WT ClC-5 (SCN(-)&gt;NO3(-)≈Cl(-)&gt;Br(-)&gt;I(-)). However, the S244L and Q629X mutations abolished this anion conductance sequence. Cell surface CLC-5 expression was quantified using extracellular HA-tagged CLC-5 and a chemiluminescent immunoassay. Cellular localization of eGFP-tagged CLC-5 proteins was also examined in HEK293 cells with organelle-specific fluorescent probes. Functional defects of R345W and Q629X mutations were caused by the trafficking of the protein to the plasma membrane since proteins were mostly retained in the endoplasmic reticulum, and mutations showed positive correlations between surface expression and transport function. In contrast, although the S244L transport function was significantly lower than WT, cell surface, early endosome, and endoplasmic reticulum expression was equal to that of WT CLC-5. Function and trafficking of T657S was equivalent to the WT CLC-5 suggesting this is a benign variant rather than pathogenic. These studies demonstrate the useful information that can be gained by detailed functional studies of mutations predicted to be pathogenic.","container-title":"Physiological Reports","DOI":"10.14814/phy2.12776","ISSN":"2051-817X","issue":"8","journalAbbreviation":"Physiol Rep","language":"eng","note":"PMID: 27117801\nPMCID: PMC4848727","page":"e12776","source":"PubMed","title":"Functional and transport analyses of CLCN5 genetic changes identified in Dent disease patients","volume":"4","author":[{"family":"Tang","given":"Xiaojing"},{"family":"Brown","given":"Matthew R."},{"family":"Cogal","given":"Andrea G."},{"family":"Gauvin","given":"Daniel"},{"family":"Harris","given":"Peter C."},{"family":"Lieske","given":"John C."},{"family":"Romero","given":"Michael F."},{"family":"Chang","given":"Min-Hwang"}],"issued":{"date-parts":[["2016",4]]}}},{"id":651,"uris":["http://zotero.org/users/local/jkkvYBSC/items/N2549KG2"],"uri":["http://zotero.org/users/local/jkkvYBSC/items/N2549KG2"],"itemData":{"id":651,"type":"article-journal","abstract":"Dent disease 1 (DD1) is caused by mutations in the CLCN5 gene encoding a voltage-gated electrogenic nCl-/H+ exchanger ClC-5. Using ion-selective microelectrodes and Xenopus oocytes, here we studied Cl-/H+ coupling properties of WT ClC-5 and four DD1-associated variants (S244L, R345W, Q629*, and T657S), along with trafficking and localization of ClC-5. WT ClC-5 had a 2Cl-/H+ exchange ratio at a Vh of +40 mV with a [Cl-]out of 104 mm, but the transport direction did not reverse with a [Cl-]out of 5 mm, indicating that ClC-5-mediated exchange of two Cl- out for one H+ in is not permissible. We hypothesized that ClC-5 and H+-ATPase are functionally coupled during H+-ATPase-mediated endosomal acidification, crucial for ClC-5 activation by depolarizing endosomes. ClC-5 transport that provides three net negative charges appeared self-inhibitory because of ClC-5's voltage-gated properties, but shunt conductance facilitated further H+-ATPase-mediated endosomal acidification. Thus, an on-and-off \"burst\" of ClC-5 activity was crucial for preventing Cl- exit from endosomes. The subcellular distribution of the ClC-5:S244L variant was comparable with that of WT ClC-5, but the variant had a much slower Cl- and H+ transport and displayed an altered stoichiometry of 1.6:1. The ClC-5:R345W variant exhibited slightly higher Cl-/H+ transport than ClC-5:S244L, but co-localized with early endosomes, suggesting decreased ClC-5:R345W membrane trafficking is perhaps in a fully functional form. The truncated ClC-5:Q629* variant displayed the lowest Cl-/H+ exchange and was retained in the endoplasmic reticulum and cis-Golgi, but not in early endosomes, suggesting the nonsense mutation affects ClC-5 maturation and trafficking.","container-title":"The Journal of Biological Chemistry","DOI":"10.1074/jbc.RA119.011366","ISSN":"1083-351X","issue":"6","journalAbbreviation":"J. Biol. Chem.","language":"eng","note":"PMID: 31852738\nPMCID: PMC7008381","page":"1464-1473","source":"PubMed","title":"Cl- and H+ coupling properties and subcellular localizations of wildtype and disease-associated variants of the voltage-gated Cl-/H+ exchanger ClC-5","volume":"295","author":[{"family":"Chang","given":"Min-Hwang"},{"family":"Brown","given":"Matthew R."},{"family":"Liu","given":"Yiran"},{"family":"Gainullin","given":"Vladimir G."},{"family":"Harris","given":"Peter C."},{"family":"Romero","given":"Michael F."},{"family":"Lieske","given":"John C."}],"issued":{"date-parts":[["2020",2,7]]}}}],"schema":"https://github.com/citation-style-language/schema/raw/master/csl-citation.json"}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lang w:val="en-US"/>
              </w:rPr>
              <w:t>(Tang et al. 2016; Chang et al. 2020)</w:t>
            </w:r>
            <w:r w:rsidRPr="00BC0897">
              <w:rPr>
                <w:rFonts w:ascii="Times New Roman" w:hAnsi="Times New Roman" w:cs="Times New Roman"/>
                <w:bCs/>
                <w:sz w:val="20"/>
                <w:szCs w:val="20"/>
                <w:lang w:val="en-US"/>
              </w:rPr>
              <w:fldChar w:fldCharType="end"/>
            </w:r>
          </w:p>
        </w:tc>
      </w:tr>
      <w:tr w:rsidR="00E26333" w:rsidRPr="00BC0897" w:rsidTr="00925F4B">
        <w:trPr>
          <w:trHeight w:val="300"/>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nonsense</w:t>
            </w:r>
          </w:p>
        </w:tc>
        <w:tc>
          <w:tcPr>
            <w:tcW w:w="1941" w:type="dxa"/>
            <w:noWrap/>
            <w:hideMark/>
          </w:tcPr>
          <w:p w:rsidR="00E26333" w:rsidRPr="00BC0897" w:rsidRDefault="00615085"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p.Trp</w:t>
            </w:r>
            <w:r w:rsidR="00E26333" w:rsidRPr="00BC0897">
              <w:rPr>
                <w:rFonts w:ascii="Times New Roman" w:hAnsi="Times New Roman" w:cs="Times New Roman"/>
                <w:bCs/>
                <w:sz w:val="20"/>
                <w:szCs w:val="20"/>
                <w:lang w:val="en-US"/>
              </w:rPr>
              <w:t>279*</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{"citationID":"RSOhzeBI","properties":{"formattedCitation":"(Lloyd et al. 1996)","plainCitation":"(Lloyd et al. 1996)","noteIndex":0},"citationItems":[{"id":99,"uris":["http://zotero.org/users/local/jkkvYBSC/items/F43E5GWG"],"uri":["http://zotero.org/users/local/jkkvYBSC/items/F43E5GWG"],"itemData":{"id":99,"type":"article-journal","abstract":"KIDNEY stones (nephrolithiasis), which affect 12% of males and 5% of females in the western world, are familial in 45% of patients1,2 and are most commonly associated with hypercalciuria1. Three disorders of hypercalciuric nephrolithiasis (Dent's disease3, X-linked recessive nephrolithiasis (XRN)4, and X-linked recessive hypophosphataemic rickets (XLRH)5) have been mapped to Xpll.22 (refs 5–7). A microdeletion6 in one Dent's disease kindred allowed the identification of a candidate gene,CLCN5 (refs 8,9) which encodes a putative renal chloride channel. Here we report the investigation of 11 kindreds with these renal tubular disorders for CLCN5 abnormalities; this identified three nonsense, four missense and two donor splice site mutations, together with one intragenic deletion and one micro-deletion encompassing the entire gene. Heterologous expression of wild-type CLCN5 in Xenopus oocytes yielded outwardly rectifying chloride currents, which were either abolished or markedly reduced by the mutations. The common aetiology for Dent's disease, XRN and XLRH indicates that CLCN5 may be involved in other renal tubular disorders associated with kidney stones.","container-title":"Nature","DOI":"10.1038/379445a0","ISSN":"1476-4687","issue":"6564","journalAbbreviation":"Nature","language":"en","page":"445-449","source":"www.nature.com","title":"A common molecular basis for three inherited kidney stone diseases","volume":"379","author":[{"family":"Lloyd","given":"Sarah E."},{"family":"Pearce","given":"Simon H. S."},{"family":"Fisher","given":"Simon E."},{"family":"Steinmeyer","given":"Klaus"},{"family":"Schwappach","given":"Blanche"},{"family":"Scheinman","given":"Steven J."},{"family":"Harding","given":"Brian"},{"family":"Bolino","given":"Alessandra"},{"family":"Devoto","given":"Marcella"},{"family":"Goodyer","given":"Paul"},{"family":"Rigden","given":"Susan P. A."},{"family":"Wrong","given":"Oliver"},{"family":"Jentsch","given":"Thomas J."},{"family":"Craig","given":"Ian W."},{"family":"Thakker","given":"Rajesh V."}],"issued":{"date-parts":[["1996",2]]}}}],"schema":"https://github.com/citation-style-language/schema/raw/master/csl-citation.json"}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rPr>
              <w:t>(Lloyd et al. 1996)</w:t>
            </w:r>
            <w:r w:rsidRPr="00BC0897">
              <w:rPr>
                <w:rFonts w:ascii="Times New Roman" w:hAnsi="Times New Roman" w:cs="Times New Roman"/>
                <w:bCs/>
                <w:sz w:val="20"/>
                <w:szCs w:val="20"/>
                <w:lang w:val="en-US"/>
              </w:rPr>
              <w:fldChar w:fldCharType="end"/>
            </w:r>
          </w:p>
        </w:tc>
      </w:tr>
      <w:tr w:rsidR="00E26333" w:rsidRPr="00BC0897" w:rsidTr="00925F4B">
        <w:trPr>
          <w:trHeight w:val="532"/>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nonsense</w:t>
            </w:r>
          </w:p>
        </w:tc>
        <w:tc>
          <w:tcPr>
            <w:tcW w:w="1941" w:type="dxa"/>
            <w:noWrap/>
            <w:hideMark/>
          </w:tcPr>
          <w:p w:rsidR="00E26333" w:rsidRPr="00BC0897" w:rsidRDefault="00615085"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p.Arg</w:t>
            </w:r>
            <w:r w:rsidR="00E26333" w:rsidRPr="00BC0897">
              <w:rPr>
                <w:rFonts w:ascii="Times New Roman" w:hAnsi="Times New Roman" w:cs="Times New Roman"/>
                <w:bCs/>
                <w:sz w:val="20"/>
                <w:szCs w:val="20"/>
                <w:lang w:val="en-US"/>
              </w:rPr>
              <w:t>347*</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reduced/ abolished</w:t>
            </w: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 and COS-7</w:t>
            </w:r>
          </w:p>
        </w:tc>
        <w:tc>
          <w:tcPr>
            <w:tcW w:w="2268" w:type="dxa"/>
            <w:hideMark/>
          </w:tcPr>
          <w:p w:rsidR="00E26333" w:rsidRPr="00BC0897" w:rsidRDefault="00527EAD" w:rsidP="00A44008">
            <w:pPr>
              <w:spacing w:after="0"/>
              <w:jc w:val="center"/>
              <w:rPr>
                <w:rFonts w:ascii="Times New Roman" w:hAnsi="Times New Roman" w:cs="Times New Roman"/>
                <w:bCs/>
                <w:sz w:val="20"/>
                <w:szCs w:val="20"/>
              </w:rPr>
            </w:pPr>
            <w:r w:rsidRPr="00BC0897">
              <w:rPr>
                <w:rFonts w:ascii="Times New Roman" w:hAnsi="Times New Roman" w:cs="Times New Roman"/>
                <w:bCs/>
                <w:sz w:val="20"/>
                <w:szCs w:val="20"/>
                <w:lang w:val="en-US"/>
              </w:rPr>
              <w:fldChar w:fldCharType="begin"/>
            </w:r>
            <w:r w:rsidR="00040F98" w:rsidRPr="00BC0897">
              <w:rPr>
                <w:rFonts w:ascii="Times New Roman" w:hAnsi="Times New Roman" w:cs="Times New Roman"/>
                <w:bCs/>
                <w:sz w:val="20"/>
                <w:szCs w:val="20"/>
                <w:lang w:val="en-US"/>
              </w:rPr>
              <w:instrText xml:space="preserve"> ADDIN ZOTERO_ITEM CSL_CITATION {"citationID":"0aJ5BBA1","properties":{"formattedCitation":"(Morimoto et al. 1998; Mo et al. 2004; Ludwig et al. 2005)","plainCitation":"(Morimoto et al. 1998; Mo et al. 2004; Ludwig et al. 2005)","noteIndex":0},"citationItems":[{"id":468,"uris":["http://zotero.org/users/local/jkkvYBSC/items/A6DET4KW"],"uri":["http://zotero.org/users/local/jkkvYBSC/items/A6DET4KW"],"itemData":{"id":468,"type":"article-journal","abstract":"ClC-5 is a member of the ClC family of voltage-gated chloride channels. Loss-of-function mutations of its corresponding gene (CLCN5) cause Dent's disease, an X-linked kidney disorder, characterized by low-molecular weight proteinuria, hypercalciuria, nephrocalcinosis/nephrolithiasis, and progressive renal failure. Here, we examined the effect of different mutations on function and cellular trafficking of the recombinant protein. Mutant CLCN5 cDNAs were generated by site directed mutagenesis for two premature stop codon variants (R347X and M517IfsX528), and several missense mutations (C221R, L324R, G462 V, and R516 W). We also tested L521R (instead of L521RfsX526 observed) and mutants G506E and R648X (previously reported by others). After heterologous expression in Xenopus oocytes, ClC-5 channel activity and surface expression were determined by two-electrode voltage-clamp analysis and ClC-5 surface ELISA, respectively. Except for the R516 W and R648X variants, none of the mutated proteins induced functional chloride currents or reached the plasma membrane. This is readily understandable for the truncation mutations. Yet, the tested missense mutations are distributed over different transmembrane regions, implying that correct channel structure and orientation in the membrane is not only a prerequisite for proper ClC-5 function but also for Golgi exit. Interestingly, the R648X mutant although functionally compromised, displayed a significant increase in surface expression. This finding might be explained by the deletion of a ClC-5 carboxy-terminal PY-like internalization signal, which in turn impairs channel removal from the membrane. Our observations further imply that recruitment of ClC-5 to alternative routes (plasma membrane or early endosomes) in the trans-Golgi network is mediated via different signal sequences.","container-title":"Human Genetics","DOI":"10.1007/s00439-005-1303-2","ISSN":"0340-6717","issue":"2-3","journalAbbreviation":"Hum. Genet.","language":"eng","note":"PMID: 15895257","page":"228-237","source":"PubMed","title":"Functional evaluation of Dent's disease-causing mutations: implications for ClC-5 channel trafficking and internalization","title-short":"Functional evaluation of Dent's disease-causing mutations","volume":"117","author":[{"family":"Ludwig","given":"Michael"},{"family":"Doroszewicz","given":"Jolanta"},{"family":"Seyberth","given":"Hannsjörg W."},{"family":"Bökenkamp","given":"Arend"},{"family":"Balluch","given":"Bernd"},{"family":"Nuutinen","given":"Matti"},{"family":"Utsch","given":"Boris"},{"family":"Waldegger","given":"Siegfried"}],"issued":{"date-parts":[["2005",7]]}}},{"id":"p7ATYret/2ktPM2g8","uris":["http://zotero.org/users/local/jkkvYBSC/items/LFT4HJLR"],"uri":["http://zotero.org/users/local/jkkvYBSC/items/LFT4HJLR"],"itemData":{"id":771,"type":"article-journal","abstract":"The human hereditary disorder Dent's disease is linked to loss-of-function mutations of the chloride channel ClC-5. Many of these mutations involve insertion of premature stop codons, resulting in truncation of the protein. We determined whether the functional activity of ClC-5 could be restored by coexpression of the truncated protein (containing the NH2-terminal region) with its complementary \"missing\" COOH-terminal region. Split channel constructs for ClC-5, consisting of complementary N and C protein regions, were created at an arbitrary site in the COOH-terminal region (V655) and at four Dent's disease mutation sites (R347, Y617, R648, and R704). Coexpression of complementary fragments for the split channel at V655 produced currents with anion and pH sensitivity similar to those of wild-type ClC-5. Channel activity was similarly restored when complementary split channel constructs made for Dent's mutation R648 were coexpressed, but no ClC-5 currents were found when split channels for mutations R347, Y617, or R704 were coexpressed. Immunoblot and immunofluorescence studies of COS-7 cells revealed that N or C protein fragments could be transiently expressed and detected in the plasma membrane, even in split channels that failed to show functional activity. The results suggest that ClC-5 channel activity can be restored for specific Dent's mutations by expression of the missing portion of the ClC-5 molecule.","container-title":"American Journal of Physiology. Cell Physiology","DOI":"10.1152/ajpcell.00009.2003","ISSN":"0363-6143","issue":"1","journalAbbreviation":"Am. J. Physiol., Cell Physiol.","language":"eng","note":"PMID: 13679301","page":"C79-89","source":"PubMed","title":"Coexpression of complementary fragments of ClC-5 and restoration of chloride channel function in a Dent's disease mutation","volume":"286","author":[{"family":"Mo","given":"L."},{"family":"Xiong","given":"W."},{"family":"Qian","given":"T."},{"family":"Sun","given":"H."},{"family":"Wills","given":"N. K."}],"issued":{"date-parts":[["2004",1]]}}},{"id":"p7ATYret/4B7PQw2N","uris":["http://zotero.org/users/local/jkkvYBSC/items/EEWXQKMZ"],"uri":["http://zotero.org/users/local/jkkvYBSC/items/EEWXQKMZ"],"itemData":{"id":766,"type":"article-journal","abstract":"Mutations in the CLCN5 gene have been demonstrated in three disorders of hypercalciuric nephrolithiasis, i.e., Dent's disease, X-linked recessive nephrolithiasis, and X-linked recessive hypophosphatemic rickets. Recently, a number of Japanese children with low molecular weight proteinuria (LMWP) showing symptoms similar to those shown by patients with Dent's disease in British families have also been reported to have mutations in the CLCN5 gene. The present study examines five unrelated Japanese families with LMWP, two of which lacked any signs other than LMWP, and three of which had several signs other than LMWP, i.e., hypercalciuria, aminoaciduria, hypophosphatemia, and rickets. One nonsense (E118X) and one missense (W22G) mutation were found in three patients in the two families having only LMWP. One genomic deletion including exons 5 to 8 in the CLCN5 gene was found in a patient with hypophosphatemic rickets, and a nonsense mutation (R347X) was found in one patient with LMWP and slight hypercalciuria. No mutations of the exons and exon-intron boundaries in the CLCN5 gene were found in one patient with LMWP, aminoaciduria, and hypokalemia. In addition to the predicted loss of chloride channel function in these nonsense and deletion mutations, the loss of function in the missense mutation W22G was confirmed in the Xenopus oocyte expression system. These results clarified four novel mutations in the CLCN5 genes, and additionally suggested that the loss-of-function mutation of the CLCN5 does not necessarily lead to hypercalciuria and nephrocalcinosis in the early stage of the disease, and that LMWP is an early and essential manifestation of disorders of the CLC-5 chloride channel.","container-title":"Journal of the American Society of Nephrology: JASN","ISSN":"1046-6673","issue":"5","journalAbbreviation":"J. Am. Soc. Nephrol.","language":"eng","note":"PMID: 9596078","page":"811-818","source":"PubMed","title":"Mutations in CLCN5 chloride channel in Japanese patients with low molecular weight proteinuria","volume":"9","author":[{"family":"Morimoto","given":"T."},{"family":"Uchida","given":"S."},{"family":"Sakamoto","given":"H."},{"family":"Kondo","given":"Y."},{"family":"Hanamizu","given":"H."},{"family":"Fukui","given":"M."},{"family":"Tomino","given":"Y."},{"family":"Nagano","given":"N."},{"family":"Sasaki","given":"S."},{"family":"Marumo","given":"F."}],"issued":{"date-parts":[["1998",5]]}}}],"schema":"https://github.com/citation-style-language/schema/raw/master/csl-citation.json"} </w:instrText>
            </w:r>
            <w:r w:rsidRPr="00BC0897">
              <w:rPr>
                <w:rFonts w:ascii="Times New Roman" w:hAnsi="Times New Roman" w:cs="Times New Roman"/>
                <w:bCs/>
                <w:sz w:val="20"/>
                <w:szCs w:val="20"/>
                <w:lang w:val="en-US"/>
              </w:rPr>
              <w:fldChar w:fldCharType="separate"/>
            </w:r>
            <w:r w:rsidR="00040F98" w:rsidRPr="00BC0897">
              <w:rPr>
                <w:rFonts w:ascii="Times New Roman" w:hAnsi="Times New Roman" w:cs="Times New Roman"/>
                <w:sz w:val="20"/>
              </w:rPr>
              <w:t>(Morimoto et al. 1998; Mo et al. 2004; Ludwig et al. 2005)</w:t>
            </w:r>
            <w:r w:rsidRPr="00BC0897">
              <w:rPr>
                <w:rFonts w:ascii="Times New Roman" w:hAnsi="Times New Roman" w:cs="Times New Roman"/>
                <w:bCs/>
                <w:sz w:val="20"/>
                <w:szCs w:val="20"/>
                <w:lang w:val="en-US"/>
              </w:rPr>
              <w:fldChar w:fldCharType="end"/>
            </w:r>
          </w:p>
        </w:tc>
      </w:tr>
      <w:tr w:rsidR="002E3446" w:rsidRPr="00BC0897" w:rsidTr="00925F4B">
        <w:trPr>
          <w:trHeight w:val="532"/>
        </w:trPr>
        <w:tc>
          <w:tcPr>
            <w:tcW w:w="1144" w:type="dxa"/>
            <w:noWrap/>
            <w:hideMark/>
          </w:tcPr>
          <w:p w:rsidR="002E3446" w:rsidRPr="00BC0897" w:rsidRDefault="002E3446"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nonsense</w:t>
            </w:r>
          </w:p>
        </w:tc>
        <w:tc>
          <w:tcPr>
            <w:tcW w:w="1941" w:type="dxa"/>
            <w:noWrap/>
            <w:hideMark/>
          </w:tcPr>
          <w:p w:rsidR="002E3446" w:rsidRPr="00BC0897" w:rsidRDefault="00615085"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p.Tyr</w:t>
            </w:r>
            <w:r w:rsidR="005D6AE1" w:rsidRPr="00BC0897">
              <w:rPr>
                <w:rFonts w:ascii="Times New Roman" w:hAnsi="Times New Roman" w:cs="Times New Roman"/>
                <w:bCs/>
                <w:sz w:val="20"/>
                <w:szCs w:val="20"/>
                <w:lang w:val="en-US"/>
              </w:rPr>
              <w:t>549</w:t>
            </w:r>
            <w:r w:rsidR="002E3446" w:rsidRPr="00BC0897">
              <w:rPr>
                <w:rFonts w:ascii="Times New Roman" w:hAnsi="Times New Roman" w:cs="Times New Roman"/>
                <w:bCs/>
                <w:sz w:val="20"/>
                <w:szCs w:val="20"/>
                <w:lang w:val="en-US"/>
              </w:rPr>
              <w:t>*</w:t>
            </w:r>
          </w:p>
        </w:tc>
        <w:tc>
          <w:tcPr>
            <w:tcW w:w="1276" w:type="dxa"/>
            <w:noWrap/>
            <w:hideMark/>
          </w:tcPr>
          <w:p w:rsidR="002E3446" w:rsidRPr="00BC0897" w:rsidRDefault="002E3446" w:rsidP="00C228AD">
            <w:pPr>
              <w:spacing w:after="0"/>
              <w:jc w:val="both"/>
              <w:rPr>
                <w:rFonts w:ascii="Times New Roman" w:hAnsi="Times New Roman" w:cs="Times New Roman"/>
                <w:bCs/>
                <w:sz w:val="20"/>
                <w:szCs w:val="20"/>
                <w:lang w:val="en-US"/>
              </w:rPr>
            </w:pPr>
          </w:p>
        </w:tc>
        <w:tc>
          <w:tcPr>
            <w:tcW w:w="1276" w:type="dxa"/>
            <w:noWrap/>
            <w:hideMark/>
          </w:tcPr>
          <w:p w:rsidR="002E3446" w:rsidRPr="00BC0897" w:rsidRDefault="002E3446"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4252" w:type="dxa"/>
            <w:hideMark/>
          </w:tcPr>
          <w:p w:rsidR="002E3446" w:rsidRPr="00BC0897" w:rsidRDefault="002E3446"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ER localization</w:t>
            </w:r>
          </w:p>
        </w:tc>
        <w:tc>
          <w:tcPr>
            <w:tcW w:w="2410" w:type="dxa"/>
            <w:hideMark/>
          </w:tcPr>
          <w:p w:rsidR="002E3446" w:rsidRPr="00BC0897" w:rsidRDefault="002E3446"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HEK293</w:t>
            </w:r>
          </w:p>
        </w:tc>
        <w:tc>
          <w:tcPr>
            <w:tcW w:w="2268" w:type="dxa"/>
            <w:hideMark/>
          </w:tcPr>
          <w:p w:rsidR="002E3446"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{"citationID":"wjy35S0U","properties":{"formattedCitation":"(Zhang et al. 2017)","plainCitation":"(Zhang et al. 2017)","noteIndex":0},"citationItems":[{"id":27,"uris":["http://zotero.org/users/local/jkkvYBSC/items/WAC5SMPK"],"uri":["http://zotero.org/users/local/jkkvYBSC/items/WAC5SMPK"],"itemData":{"id":27,"type":"article-journal","abstract":"Dent's disease is an X-linked inherited renal disease. Patients with Dent's disease often carry mutations in genes encoding the Cl-/H+ exchanger ClC-5 and/or inositol polyphosphate 5-phosphatase (OCRL1). However, the mutations involved and the biochemical effects of these mutations are not fully understood. To characterize genetic changes in Dent's disease patients, in this study, samples from nine Chinese patients were subjected to genetic analysis. Among the nine patients, six were classified as having Dent-1 disease, one had Dent-2 disease, and two could not be classified. Expression of ClC-5 carrying Dent's disease-associated mutations in HEK293 cells had varying effects: (1) no detectable expression of mutant protein; (2) retention of a truncated protein in the endoplasmic reticulum; or (3) diminished protein expression with normal distribution in early endosomes. Dent's disease patients showed genetic heterogeneity and over 20% of patients did not have CLCN5 or OCRL1 mutations, suggesting the existence of other genetic factors. Using next-generation sequencing, we identified possible modifier genes that have not been previously reported in Dent's disease patients. Heterozygous variants in CFTR, SCNN1A, and SCNN1B genes associated with cystic fibrosis (CF) or CF-like disease were detected in four of our nine patients. These results may form the basis for future characterization of Dent's disease and genetic counseling approaches.","container-title":"DNA and cell biology","DOI":"10.1089/dna.2017.3731","ISSN":"1557-7430","issue":"12","journalAbbreviation":"DNA Cell Biol.","language":"eng","note":"PMID: 29058463","page":"1151-1158","source":"PubMed","title":"Genetic Analysis of Dent's Disease and Functional Research of CLCN5 Mutations","volume":"36","author":[{"family":"Zhang","given":"Ya"},{"family":"Fang","given":"Xiaoyan"},{"family":"Xu","given":"Hong"},{"family":"Shen","given":"Qian"}],"issued":{"date-parts":[["2017",12]]}}}],"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rPr>
              <w:t>(Zhang et al. 2017)</w:t>
            </w:r>
            <w:r w:rsidRPr="00BC0897">
              <w:rPr>
                <w:rFonts w:ascii="Times New Roman" w:hAnsi="Times New Roman" w:cs="Times New Roman"/>
                <w:bCs/>
                <w:sz w:val="20"/>
                <w:szCs w:val="20"/>
                <w:lang w:val="en-US"/>
              </w:rPr>
              <w:fldChar w:fldCharType="end"/>
            </w:r>
          </w:p>
        </w:tc>
      </w:tr>
      <w:tr w:rsidR="00E26333" w:rsidRPr="00BC0897" w:rsidTr="00925F4B">
        <w:trPr>
          <w:trHeight w:val="300"/>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nonsense</w:t>
            </w:r>
          </w:p>
        </w:tc>
        <w:tc>
          <w:tcPr>
            <w:tcW w:w="1941" w:type="dxa"/>
            <w:noWrap/>
            <w:hideMark/>
          </w:tcPr>
          <w:p w:rsidR="00E26333" w:rsidRPr="00BC0897" w:rsidRDefault="00615085"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p.Tyr</w:t>
            </w:r>
            <w:r w:rsidR="00E26333" w:rsidRPr="00BC0897">
              <w:rPr>
                <w:rFonts w:ascii="Times New Roman" w:hAnsi="Times New Roman" w:cs="Times New Roman"/>
                <w:bCs/>
                <w:sz w:val="20"/>
                <w:szCs w:val="20"/>
                <w:lang w:val="en-US"/>
              </w:rPr>
              <w:t>617*</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reduced</w:t>
            </w: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 and COS-7</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E41E4B" w:rsidRPr="00BC0897">
              <w:rPr>
                <w:rFonts w:ascii="Times New Roman" w:hAnsi="Times New Roman" w:cs="Times New Roman"/>
                <w:bCs/>
                <w:sz w:val="20"/>
                <w:szCs w:val="20"/>
                <w:lang w:val="en-US"/>
              </w:rPr>
              <w:instrText xml:space="preserve"> ADDIN ZOTERO_ITEM CSL_CITATION {"citationID":"hT4P8swd","properties":{"formattedCitation":"(Mo et al. 2004)","plainCitation":"(Mo et al. 2004)","noteIndex":0},"citationItems":[{"id":"p7ATYret/2ktPM2g8","uris":["http://zotero.org/users/local/jkkvYBSC/items/LFT4HJLR"],"uri":["http://zotero.org/users/local/jkkvYBSC/items/LFT4HJLR"],"itemData":{"id":771,"type":"article-journal","abstract":"The human hereditary disorder Dent's disease is linked to loss-of-function mutations of the chloride channel ClC-5. Many of these mutations involve insertion of premature stop codons, resulting in truncation of the protein. We determined whether the functional activity of ClC-5 could be restored by coexpression of the truncated protein (containing the NH2-terminal region) with its complementary \"missing\" COOH-terminal region. Split channel constructs for ClC-5, consisting of complementary N and C protein regions, were created at an arbitrary site in the COOH-terminal region (V655) and at four Dent's disease mutation sites (R347, Y617, R648, and R704). Coexpression of complementary fragments for the split channel at V655 produced currents with anion and pH sensitivity similar to those of wild-type ClC-5. Channel activity was similarly restored when complementary split channel constructs made for Dent's mutation R648 were coexpressed, but no ClC-5 currents were found when split channels for mutations R347, Y617, or R704 were coexpressed. Immunoblot and immunofluorescence studies of COS-7 cells revealed that N or C protein fragments could be transiently expressed and detected in the plasma membrane, even in split channels that failed to show functional activity. The results suggest that ClC-5 channel activity can be restored for specific Dent's mutations by expression of the missing portion of the ClC-5 molecule.","container-title":"American Journal of Physiology. Cell Physiology","DOI":"10.1152/ajpcell.00009.2003","ISSN":"0363-6143","issue":"1","journalAbbreviation":"Am. J. Physiol., Cell Physiol.","language":"eng","note":"PMID: 13679301","page":"C79-89","source":"PubMed","title":"Coexpression of complementary fragments of ClC-5 and restoration of chloride channel function in a Dent's disease mutation","volume":"286","author":[{"family":"Mo","given":"L."},{"family":"Xiong","given":"W."},{"family":"Qian","given":"T."},{"family":"Sun","given":"H."},{"family":"Wills","given":"N. K."}],"issued":{"date-parts":[["2004",1]]}}}],"schema":"https://github.com/citation-style-language/schema/raw/master/csl-citation.json"}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rPr>
              <w:t>(Mo et al. 2004)</w:t>
            </w:r>
            <w:r w:rsidRPr="00BC0897">
              <w:rPr>
                <w:rFonts w:ascii="Times New Roman" w:hAnsi="Times New Roman" w:cs="Times New Roman"/>
                <w:bCs/>
                <w:sz w:val="20"/>
                <w:szCs w:val="20"/>
                <w:lang w:val="en-US"/>
              </w:rPr>
              <w:fldChar w:fldCharType="end"/>
            </w:r>
          </w:p>
        </w:tc>
      </w:tr>
      <w:tr w:rsidR="00E26333" w:rsidRPr="002212C2" w:rsidTr="00925F4B">
        <w:trPr>
          <w:trHeight w:val="516"/>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nonsense</w:t>
            </w:r>
          </w:p>
        </w:tc>
        <w:tc>
          <w:tcPr>
            <w:tcW w:w="1941" w:type="dxa"/>
            <w:noWrap/>
            <w:hideMark/>
          </w:tcPr>
          <w:p w:rsidR="00E26333" w:rsidRPr="00BC0897" w:rsidRDefault="00615085"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p.Gln</w:t>
            </w:r>
            <w:r w:rsidR="00E26333" w:rsidRPr="00BC0897">
              <w:rPr>
                <w:rFonts w:ascii="Times New Roman" w:hAnsi="Times New Roman" w:cs="Times New Roman"/>
                <w:bCs/>
                <w:sz w:val="20"/>
                <w:szCs w:val="20"/>
                <w:lang w:val="en-US"/>
              </w:rPr>
              <w:t>629*</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altered Cl-/H+ stoichiometry, ER and Golgi localization, no expression in early endosomes</w:t>
            </w: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 HEK293 and renal cortical tubular epithelial cells</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5C2768" w:rsidRPr="00BC0897">
              <w:rPr>
                <w:rFonts w:ascii="Times New Roman" w:hAnsi="Times New Roman" w:cs="Times New Roman"/>
                <w:bCs/>
                <w:sz w:val="20"/>
                <w:szCs w:val="20"/>
                <w:lang w:val="en-US"/>
              </w:rPr>
              <w:instrText xml:space="preserve"> ADDIN ZOTERO_ITEM CSL_CITATION {"citationID":"mE31wm1F","properties":{"formattedCitation":"(Tang et al. 2016; Chang et al. 2020)","plainCitation":"(Tang et al. 2016; Chang et al. 2020)","noteIndex":0},"citationItems":[{"id":64,"uris":["http://zotero.org/users/local/jkkvYBSC/items/P4DHEA6J"],"uri":["http://zotero.org/users/local/jkkvYBSC/items/P4DHEA6J"],"itemData":{"id":64,"type":"article-journal","abstract":"Dent disease type 1, an X-linked inherited kidney disease is caused by mutations in electrogenic Cl(-)/H(+) exchanger, ClC-5. We functionally studied the most frequent mutation (S244L) and two mutations recently identified in RKSC patients, Q629X and R345W. We also studied T657S, which has a high minor-allele frequency (0.23%) in the African-American population, was published previously as pathogenic to cause Dent disease. The transport properties of CLC-5 were electrophysiologically characterized. WT and ClC-5 mutant currents were inhibited by pH 5.5, but not affected by an alkaline extracellular solution (pH 8.5). The T657S and R345W mutations showed the same anion selectivity sequence as WT ClC-5 (SCN(-)&gt;NO3(-)≈Cl(-)&gt;Br(-)&gt;I(-)). However, the S244L and Q629X mutations abolished this anion conductance sequence. Cell surface CLC-5 expression was quantified using extracellular HA-tagged CLC-5 and a chemiluminescent immunoassay. Cellular localization of eGFP-tagged CLC-5 proteins was also examined in HEK293 cells with organelle-specific fluorescent probes. Functional defects of R345W and Q629X mutations were caused by the trafficking of the protein to the plasma membrane since proteins were mostly retained in the endoplasmic reticulum, and mutations showed positive correlations between surface expression and transport function. In contrast, although the S244L transport function was significantly lower than WT, cell surface, early endosome, and endoplasmic reticulum expression was equal to that of WT CLC-5. Function and trafficking of T657S was equivalent to the WT CLC-5 suggesting this is a benign variant rather than pathogenic. These studies demonstrate the useful information that can be gained by detailed functional studies of mutations predicted to be pathogenic.","container-title":"Physiological Reports","DOI":"10.14814/phy2.12776","ISSN":"2051-817X","issue":"8","journalAbbreviation":"Physiol Rep","language":"eng","note":"PMID: 27117801\nPMCID: PMC4848727","page":"e12776","source":"PubMed","title":"Functional and transport analyses of CLCN5 genetic changes identified in Dent disease patients","volume":"4","author":[{"family":"Tang","given":"Xiaojing"},{"family":"Brown","given":"Matthew R."},{"family":"Cogal","given":"Andrea G."},{"family":"Gauvin","given":"Daniel"},{"family":"Harris","given":"Peter C."},{"family":"Lieske","given":"John C."},{"family":"Romero","given":"Michael F."},{"family":"Chang","given":"Min-Hwang"}],"issued":{"date-parts":[["2016",4]]}}},{"id":651,"uris":["http://zotero.org/users/local/jkkvYBSC/items/N2549KG2"],"uri":["http://zotero.org/users/local/jkkvYBSC/items/N2549KG2"],"itemData":{"id":651,"type":"article-journal","abstract":"Dent disease 1 (DD1) is caused by mutations in the CLCN5 gene encoding a voltage-gated electrogenic nCl-/H+ exchanger ClC-5. Using ion-selective microelectrodes and Xenopus oocytes, here we studied Cl-/H+ coupling properties of WT ClC-5 and four DD1-associated variants (S244L, R345W, Q629*, and T657S), along with trafficking and localization of ClC-5. WT ClC-5 had a 2Cl-/H+ exchange ratio at a Vh of +40 mV with a [Cl-]out of 104 mm, but the transport direction did not reverse with a [Cl-]out of 5 mm, indicating that ClC-5-mediated exchange of two Cl- out for one H+ in is not permissible. We hypothesized that ClC-5 and H+-ATPase are functionally coupled during H+-ATPase-mediated endosomal acidification, crucial for ClC-5 activation by depolarizing endosomes. ClC-5 transport that provides three net negative charges appeared self-inhibitory because of ClC-5's voltage-gated properties, but shunt conductance facilitated further H+-ATPase-mediated endosomal acidification. Thus, an on-and-off \"burst\" of ClC-5 activity was crucial for preventing Cl- exit from endosomes. The subcellular distribution of the ClC-5:S244L variant was comparable with that of WT ClC-5, but the variant had a much slower Cl- and H+ transport and displayed an altered stoichiometry of 1.6:1. The ClC-5:R345W variant exhibited slightly higher Cl-/H+ transport than ClC-5:S244L, but co-localized with early endosomes, suggesting decreased ClC-5:R345W membrane trafficking is perhaps in a fully functional form. The truncated ClC-5:Q629* variant displayed the lowest Cl-/H+ exchange and was retained in the endoplasmic reticulum and cis-Golgi, but not in early endosomes, suggesting the nonsense mutation affects ClC-5 maturation and trafficking.","container-title":"The Journal of Biological Chemistry","DOI":"10.1074/jbc.RA119.011366","ISSN":"1083-351X","issue":"6","journalAbbreviation":"J. Biol. Chem.","language":"eng","note":"PMID: 31852738\nPMCID: PMC7008381","page":"1464-1473","source":"PubMed","title":"Cl- and H+ coupling properties and subcellular localizations of wildtype and disease-associated variants of the voltage-gated Cl-/H+ exchanger ClC-5","volume":"295","author":[{"family":"Chang","given":"Min-Hwang"},{"family":"Brown","given":"Matthew R."},{"family":"Liu","given":"Yiran"},{"family":"Gainullin","given":"Vladimir G."},{"family":"Harris","given":"Peter C."},{"family":"Romero","given":"Michael F."},{"family":"Lieske","given":"John C."}],"issued":{"date-parts":[["2020",2,7]]}}}],"schema":"https://github.com/citation-style-language/schema/raw/master/csl-citation.json"}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lang w:val="en-US"/>
              </w:rPr>
              <w:t>(Tang et al. 2016; Chang et al. 2020)</w:t>
            </w:r>
            <w:r w:rsidRPr="00BC0897">
              <w:rPr>
                <w:rFonts w:ascii="Times New Roman" w:hAnsi="Times New Roman" w:cs="Times New Roman"/>
                <w:bCs/>
                <w:sz w:val="20"/>
                <w:szCs w:val="20"/>
                <w:lang w:val="en-US"/>
              </w:rPr>
              <w:fldChar w:fldCharType="end"/>
            </w:r>
          </w:p>
        </w:tc>
      </w:tr>
      <w:tr w:rsidR="00925F4B" w:rsidRPr="002212C2" w:rsidTr="00B86952">
        <w:trPr>
          <w:trHeight w:val="600"/>
        </w:trPr>
        <w:tc>
          <w:tcPr>
            <w:tcW w:w="1144" w:type="dxa"/>
            <w:hideMark/>
          </w:tcPr>
          <w:p w:rsidR="00925F4B" w:rsidRPr="00BC0897" w:rsidRDefault="00925F4B" w:rsidP="00B86952">
            <w:pPr>
              <w:spacing w:after="0"/>
              <w:jc w:val="both"/>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lastRenderedPageBreak/>
              <w:t>Type</w:t>
            </w:r>
          </w:p>
        </w:tc>
        <w:tc>
          <w:tcPr>
            <w:tcW w:w="1941" w:type="dxa"/>
            <w:hideMark/>
          </w:tcPr>
          <w:p w:rsidR="00925F4B" w:rsidRPr="00BC0897" w:rsidRDefault="00925F4B" w:rsidP="00B86952">
            <w:pPr>
              <w:spacing w:after="0"/>
              <w:jc w:val="both"/>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Mutation</w:t>
            </w:r>
          </w:p>
        </w:tc>
        <w:tc>
          <w:tcPr>
            <w:tcW w:w="1276" w:type="dxa"/>
            <w:hideMark/>
          </w:tcPr>
          <w:p w:rsidR="00925F4B" w:rsidRPr="00BC0897" w:rsidRDefault="00925F4B" w:rsidP="00B86952">
            <w:pPr>
              <w:spacing w:after="0"/>
              <w:jc w:val="both"/>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Chloride current</w:t>
            </w:r>
          </w:p>
        </w:tc>
        <w:tc>
          <w:tcPr>
            <w:tcW w:w="1276" w:type="dxa"/>
            <w:hideMark/>
          </w:tcPr>
          <w:p w:rsidR="00925F4B" w:rsidRPr="00BC0897" w:rsidRDefault="00925F4B" w:rsidP="00B86952">
            <w:pPr>
              <w:spacing w:after="0"/>
              <w:jc w:val="both"/>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Plasma membrane expression</w:t>
            </w:r>
          </w:p>
        </w:tc>
        <w:tc>
          <w:tcPr>
            <w:tcW w:w="4252" w:type="dxa"/>
            <w:hideMark/>
          </w:tcPr>
          <w:p w:rsidR="00925F4B" w:rsidRPr="00BC0897" w:rsidRDefault="00925F4B" w:rsidP="00B86952">
            <w:pPr>
              <w:spacing w:after="0"/>
              <w:jc w:val="both"/>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Other observations</w:t>
            </w:r>
          </w:p>
        </w:tc>
        <w:tc>
          <w:tcPr>
            <w:tcW w:w="2410" w:type="dxa"/>
            <w:hideMark/>
          </w:tcPr>
          <w:p w:rsidR="00925F4B" w:rsidRPr="00BC0897" w:rsidRDefault="00925F4B" w:rsidP="00B86952">
            <w:pPr>
              <w:spacing w:after="0"/>
              <w:jc w:val="both"/>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Biological system</w:t>
            </w:r>
          </w:p>
        </w:tc>
        <w:tc>
          <w:tcPr>
            <w:tcW w:w="2268" w:type="dxa"/>
            <w:hideMark/>
          </w:tcPr>
          <w:p w:rsidR="00925F4B" w:rsidRPr="00BC0897" w:rsidRDefault="00925F4B" w:rsidP="00B86952">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Ref</w:t>
            </w:r>
          </w:p>
        </w:tc>
      </w:tr>
      <w:tr w:rsidR="00E26333" w:rsidRPr="002212C2" w:rsidTr="00925F4B">
        <w:trPr>
          <w:trHeight w:val="779"/>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nonsense</w:t>
            </w:r>
          </w:p>
        </w:tc>
        <w:tc>
          <w:tcPr>
            <w:tcW w:w="1941" w:type="dxa"/>
            <w:noWrap/>
            <w:hideMark/>
          </w:tcPr>
          <w:p w:rsidR="00E26333" w:rsidRPr="00BC0897" w:rsidRDefault="00615085"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p.Arg</w:t>
            </w:r>
            <w:r w:rsidR="00E26333" w:rsidRPr="00BC0897">
              <w:rPr>
                <w:rFonts w:ascii="Times New Roman" w:hAnsi="Times New Roman" w:cs="Times New Roman"/>
                <w:bCs/>
                <w:sz w:val="20"/>
                <w:szCs w:val="20"/>
                <w:lang w:val="en-US"/>
              </w:rPr>
              <w:t>637*</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reduction in albumin and transferrin uptake, blocking of megalin recycling, defective endosomal acidification</w:t>
            </w: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Proximal epithelial tubular cells from urine of DD1 patients</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{"citationID":"tYbhDNBF","properties":{"formattedCitation":"(Gorvin et al. 2013)","plainCitation":"(Gorvin et al. 2013)","noteIndex":0},"citationItems":[{"id":460,"uris":["http://zotero.org/users/local/jkkvYBSC/items/B3YFKVY2"],"uri":["http://zotero.org/users/local/jkkvYBSC/items/B3YFKVY2"],"itemData":{"id":460,"type":"article-journal","abstract":"Receptor-mediated endocytosis, involving megalin and cubilin, mediates renal proximal-tubular reabsorption and is decreased in Dent disease because of mutations of the chloride/proton antiporter, chloride channel-5 (CLC-5), resulting in low-molecular-weight proteinuria, hypercalciuria, nephrolithiasis, and renal failure. To facilitate studies of receptor-mediated endocytosis and the role of CLC-5, we established conditionally immortalized proximal-tubular epithelial cell lines (ciPTECs) from three patients with CLC-5 mutations (30:insH, R637X, and del132-241) and a normal male. Confocal microscopy using the tight junction marker zona occludens-1 (ZO-1) and end-binding protein-1 (EB-1), which is specific for the plus end of microtubules demonstrated that the ciPTECs polarized. Receptor-mediated endocytic uptake of fluorescent albumin and transferrin in 30:insH and R637X ciPTECs was significantly decreased, compared with normal ciPTECs, and could be further reduced by competition with 10-fold excess of unlabeled albumin and transferrin, whereas in the del132-241 ciPTEC, receptor-mediated endocytic uptake was abolished. Investigation of endosomal acidification by live-cell imaging of pHluorin-VAMP2 (vesicle-associated membrane protein-2), a pH-sensitive-GFP construct, revealed that the endosomal pH in normal and 30:insH ciPTECs was similar, whereas in del132-241 and R637X ciPTECs, it was significantly more alkaline, indicating defective acidification in these ciPTECs. The addition of bafilomycin-A1, a V-ATPase inhibitor, raised the pH significantly in all ciPTECs, demonstrating that the differences in acidification were not due to alterations in the V-ATPase, but instead to abnormalities of CLC-5. Thus, our studies, which have established human Dent disease ciPTECs that will facilitate studies of mechanisms in renal reabsorption, demonstrate that Dent disease-causing CLC-5 mutations have differing effects on endosomal acidification and receptor-mediated endocytosis that may not be coupled.","container-title":"Proceedings of the National Academy of Sciences of the United States of America","DOI":"10.1073/pnas.1302063110","ISSN":"1091-6490","issue":"17","journalAbbreviation":"Proc. Natl. Acad. Sci. U.S.A.","language":"eng","note":"PMID: 23572577\nPMCID: PMC3637698","page":"7014-7019","source":"PubMed","title":"Receptor-mediated endocytosis and endosomal acidification is impaired in proximal tubule epithelial cells of Dent disease patients","volume":"110","author":[{"family":"Gorvin","given":"Caroline M."},{"family":"Wilmer","given":"Martijn J."},{"family":"Piret","given":"Sian E."},{"family":"Harding","given":"Brian"},{"family":"Heuvel","given":"Lambertus P.","non-dropping-particle":"van den"},{"family":"Wrong","given":"Oliver"},{"family":"Jat","given":"Parmjit S."},{"family":"Lippiat","given":"Jonathan D."},{"family":"Levtchenko","given":"Elena N."},{"family":"Thakker","given":"Rajesh V."}],"issued":{"date-parts":[["2013",4,23]]}}}],"schema":"https://github.com/citation-style-language/schema/raw/master/csl-citation.json"}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lang w:val="en-US"/>
              </w:rPr>
              <w:t>(Gorvin et al. 2013)</w:t>
            </w:r>
            <w:r w:rsidRPr="00BC0897">
              <w:rPr>
                <w:rFonts w:ascii="Times New Roman" w:hAnsi="Times New Roman" w:cs="Times New Roman"/>
                <w:bCs/>
                <w:sz w:val="20"/>
                <w:szCs w:val="20"/>
                <w:lang w:val="en-US"/>
              </w:rPr>
              <w:fldChar w:fldCharType="end"/>
            </w:r>
          </w:p>
        </w:tc>
      </w:tr>
      <w:tr w:rsidR="00E26333" w:rsidRPr="002212C2" w:rsidTr="00925F4B">
        <w:trPr>
          <w:trHeight w:val="641"/>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nonsense</w:t>
            </w:r>
          </w:p>
        </w:tc>
        <w:tc>
          <w:tcPr>
            <w:tcW w:w="1941" w:type="dxa"/>
            <w:noWrap/>
            <w:hideMark/>
          </w:tcPr>
          <w:p w:rsidR="00E26333" w:rsidRPr="00BC0897" w:rsidRDefault="00615085"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p.Arg</w:t>
            </w:r>
            <w:r w:rsidR="00E26333" w:rsidRPr="00BC0897">
              <w:rPr>
                <w:rFonts w:ascii="Times New Roman" w:hAnsi="Times New Roman" w:cs="Times New Roman"/>
                <w:bCs/>
                <w:sz w:val="20"/>
                <w:szCs w:val="20"/>
                <w:lang w:val="en-US"/>
              </w:rPr>
              <w:t>648*</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reduced/ abolished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reduced/ abolished</w:t>
            </w: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Golgi retention</w:t>
            </w: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 COS-7, CHO-K1 and mIMCD-3</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E41E4B" w:rsidRPr="00BC0897">
              <w:rPr>
                <w:rFonts w:ascii="Times New Roman" w:hAnsi="Times New Roman" w:cs="Times New Roman"/>
                <w:bCs/>
                <w:sz w:val="20"/>
                <w:szCs w:val="20"/>
                <w:lang w:val="en-US"/>
              </w:rPr>
              <w:instrText xml:space="preserve"> ADDIN ZOTERO_ITEM CSL_CITATION {"citationID":"zUqdzRkG","properties":{"formattedCitation":"(Lloyd et al. 1996, 1997a; Igarashi et al. 1998; Carr et al. 2003; Mo et al. 2004; Ludwig et al. 2005)","plainCitation":"(Lloyd et al. 1996, 1997a; Igarashi et al. 1998; Carr et al. 2003; Mo et al. 2004; Ludwig et al. 2005)","noteIndex":0},"citationItems":[{"id":99,"uris":["http://zotero.org/users/local/jkkvYBSC/items/F43E5GWG"],"uri":["http://zotero.org/users/local/jkkvYBSC/items/F43E5GWG"],"itemData":{"id":99,"type":"article-journal","abstract":"KIDNEY stones (nephrolithiasis), which affect 12% of males and 5% of females in the western world, are familial in 45% of patients1,2 and are most commonly associated with hypercalciuria1. Three disorders of hypercalciuric nephrolithiasis (Dent's disease3, X-linked recessive nephrolithiasis (XRN)4, and X-linked recessive hypophosphataemic rickets (XLRH)5) have been mapped to Xpll.22 (refs 5–7). A microdeletion6 in one Dent's disease kindred allowed the identification of a candidate gene,CLCN5 (refs 8,9) which encodes a putative renal chloride channel. Here we report the investigation of 11 kindreds with these renal tubular disorders for CLCN5 abnormalities; this identified three nonsense, four missense and two donor splice site mutations, together with one intragenic deletion and one micro-deletion encompassing the entire gene. Heterologous expression of wild-type CLCN5 in Xenopus oocytes yielded outwardly rectifying chloride currents, which were either abolished or markedly reduced by the mutations. The common aetiology for Dent's disease, XRN and XLRH indicates that CLCN5 may be involved in other renal tubular disorders associated with kidney stones.","container-title":"Nature","DOI":"10.1038/379445a0","ISSN":"1476-4687","issue":"6564","journalAbbreviation":"Nature","language":"en","page":"445-449","source":"www.nature.com","title":"A common molecular basis for three inherited kidney stone diseases","volume":"379","author":[{"family":"Lloyd","given":"Sarah E."},{"family":"Pearce","given":"Simon H. S."},{"family":"Fisher","given":"Simon E."},{"family":"Steinmeyer","given":"Klaus"},{"family":"Schwappach","given":"Blanche"},{"family":"Scheinman","given":"Steven J."},{"family":"Harding","given":"Brian"},{"family":"Bolino","given":"Alessandra"},{"family":"Devoto","given":"Marcella"},{"family":"Goodyer","given":"Paul"},{"family":"Rigden","given":"Susan P. A."},{"family":"Wrong","given":"Oliver"},{"family":"Jentsch","given":"Thomas J."},{"family":"Craig","given":"Ian W."},{"family":"Thakker","given":"Rajesh V."}],"issued":{"date-parts":[["1996",2]]}}},{"id":468,"uris":["http://zotero.org/users/local/jkkvYBSC/items/A6DET4KW"],"uri":["http://zotero.org/users/local/jkkvYBSC/items/A6DET4KW"],"itemData":{"id":468,"type":"article-journal","abstract":"ClC-5 is a member of the ClC family of voltage-gated chloride channels. Loss-of-function mutations of its corresponding gene (CLCN5) cause Dent's disease, an X-linked kidney disorder, characterized by low-molecular weight proteinuria, hypercalciuria, nephrocalcinosis/nephrolithiasis, and progressive renal failure. Here, we examined the effect of different mutations on function and cellular trafficking of the recombinant protein. Mutant CLCN5 cDNAs were generated by site directed mutagenesis for two premature stop codon variants (R347X and M517IfsX528), and several missense mutations (C221R, L324R, G462 V, and R516 W). We also tested L521R (instead of L521RfsX526 observed) and mutants G506E and R648X (previously reported by others). After heterologous expression in Xenopus oocytes, ClC-5 channel activity and surface expression were determined by two-electrode voltage-clamp analysis and ClC-5 surface ELISA, respectively. Except for the R516 W and R648X variants, none of the mutated proteins induced functional chloride currents or reached the plasma membrane. This is readily understandable for the truncation mutations. Yet, the tested missense mutations are distributed over different transmembrane regions, implying that correct channel structure and orientation in the membrane is not only a prerequisite for proper ClC-5 function but also for Golgi exit. Interestingly, the R648X mutant although functionally compromised, displayed a significant increase in surface expression. This finding might be explained by the deletion of a ClC-5 carboxy-terminal PY-like internalization signal, which in turn impairs channel removal from the membrane. Our observations further imply that recruitment of ClC-5 to alternative routes (plasma membrane or early endosomes) in the trans-Golgi network is mediated via different signal sequences.","container-title":"Human Genetics","DOI":"10.1007/s00439-005-1303-2","ISSN":"0340-6717","issue":"2-3","journalAbbreviation":"Hum. Genet.","language":"eng","note":"PMID: 15895257","page":"228-237","source":"PubMed","title":"Functional evaluation of Dent's disease-causing mutations: implications for ClC-5 channel trafficking and internalization","title-short":"Functional evaluation of Dent's disease-causing mutations","volume":"117","author":[{"family":"Ludwig","given":"Michael"},{"family":"Doroszewicz","given":"Jolanta"},{"family":"Seyberth","given":"Hannsjörg W."},{"family":"Bökenkamp","given":"Arend"},{"family":"Balluch","given":"Bernd"},{"family":"Nuutinen","given":"Matti"},{"family":"Utsch","given":"Boris"},{"family":"Waldegger","given":"Siegfried"}],"issued":{"date-parts":[["2005",7]]}}},{"id":"p7ATYret/Xwfn3a8v","uris":["http://zotero.org/users/local/jkkvYBSC/items/NXN977TR"],"uri":["http://zotero.org/users/local/jkkvYBSC/items/NXN977TR"],"itemData":{"id":764,"type":"article-journal","abstract":"CLC-5 is a member of the CLC family of voltage-gated chloride channels. Mutations disrupting CLC-5 lead to Dent's disease, an X-linked renal tubular disorder, characterised by low molecular weight proteinuria, hypercalciuria, nephrocalcinosis, and renal stones. Sequence analysis of CLC-5 reveals a 746 amino acid protein with an intracellular amino-terminus, transmembrane spanning domains, and two CBS domains within its intracellular carboxy-terminus. CBS domains have been implicated in intracellular targetting and trafficking as well as protein-protein interactions. We investigate subcellular localisation of three naturally occurring CLC-5 mutants which all lead to a truncated protein, disrupting the second CBS domain. These mutants are unable to traffic normally to acidic endosomes but are retained in perinuclear compartments, colocalising with the Golgi complex. This is the first identification of the cellular pathogenesis of CBS domain mutations of CLC-5.","container-title":"Biochemical and Biophysical Research Communications","DOI":"10.1016/j.bbrc.2003.09.057","ISSN":"0006-291X","issue":"2","journalAbbreviation":"Biochem. Biophys. Res. Commun.","language":"eng","note":"PMID: 14521953","page":"600-605","source":"PubMed","title":"A role for CBS domain 2 in trafficking of chloride channel CLC-5","volume":"310","author":[{"family":"Carr","given":"Georgina"},{"family":"Simmons","given":"Nicholas"},{"family":"Sayer","given":"John"}],"issued":{"date-parts":[["2003",10,17]]}}},{"id":"p7ATYret/2ktPM2g8","uris":["http://zotero.org/users/local/jkkvYBSC/items/LFT4HJLR"],"uri":["http://zotero.org/users/local/jkkvYBSC/items/LFT4HJLR"],"itemData":{"id":771,"type":"article-journal","abstract":"The human hereditary disorder Dent's disease is linked to loss-of-function mutations of the chloride channel ClC-5. Many of these mutations involve insertion of premature stop codons, resulting in truncation of the protein. We determined whether the functional activity of ClC-5 could be restored by coexpression of the truncated protein (containing the NH2-terminal region) with its complementary \"missing\" COOH-terminal region. Split channel constructs for ClC-5, consisting of complementary N and C protein regions, were created at an arbitrary site in the COOH-terminal region (V655) and at four Dent's disease mutation sites (R347, Y617, R648, and R704). Coexpression of complementary fragments for the split channel at V655 produced currents with anion and pH sensitivity similar to those of wild-type ClC-5. Channel activity was similarly restored when complementary split channel constructs made for Dent's mutation R648 were coexpressed, but no ClC-5 currents were found when split channels for mutations R347, Y617, or R704 were coexpressed. Immunoblot and immunofluorescence studies of COS-7 cells revealed that N or C protein fragments could be transiently expressed and detected in the plasma membrane, even in split channels that failed to show functional activity. The results suggest that ClC-5 channel activity can be restored for specific Dent's mutations by expression of the missing portion of the ClC-5 molecule.","container-title":"American Journal of Physiology. Cell Physiology","DOI":"10.1152/ajpcell.00009.2003","ISSN":"0363-6143","issue":"1","journalAbbreviation":"Am. J. Physiol., Cell Physiol.","language":"eng","note":"PMID: 13679301","page":"C79-89","source":"PubMed","title":"Coexpression of complementary fragments of ClC-5 and restoration of chloride channel function in a Dent's disease mutation","volume":"286","author":[{"family":"Mo","given":"L."},{"family":"Xiong","given":"W."},{"family":"Qian","given":"T."},{"family":"Sun","given":"H."},{"family":"Wills","given":"N. K."}],"issued":{"date-parts":[["2004",1]]}}},{"id":454,"uris":["http://zotero.org/users/local/jkkvYBSC/items/J6EHPHDA"],"uri":["http://zotero.org/users/local/jkkvYBSC/items/J6EHPHDA"],"itemData":{"id":454,"type":"article-journal","abstract":"Mutations of the renal-specific chloride channel (CLCN5) gene, which is located on chromosome Xp11.22, are associated with hypercalciuric nephrolithiasis (kidney stones) in the Northern European and Japanese populations. CLCN5 encodes a 746 amino acid channel (CLC-5) that has approximately 12 transmembrane domains, and heterologous expression of wild-type CLC-5 in Xenopus oocytes has yielded outwardly rectifying chloride currents that were markedly reduced or abolished by these mutations. In order to assess further the structural and functional relationships of this recently cloned chloride channel, additional CLCN5 mutations have been identified in five unrelated families with this disorder. Three of these mutations were missense (G57V, G512R and E527D), one was a nonsense (R648Stop) and one was an insertion (30:H insertion). In addition, two of the mutations (30:H insertion and E527D) were demonstrated to be de novo, and the G57V and E527D mutations were identified in families of Afro-American and Indian origin, respectively. The G57V and 30:H insertion mutations represent the first CLCN5 mutations to be identified in the N-terminus region, and the R648Stop mutation, which has been observed previously in an unrelated family, suggests that this codon may be particularly prone to mutations. Heterologous expression of the mutations resulted in a marked reduction or abolition of the chloride currents, thereby establishing their functional importance. These results help to elucidate further the structure-function relationships of this renal chloride channel.","container-title":"Human Molecular Genetics","DOI":"10.1093/hmg/6.8.1233","ISSN":"0964-6906","issue":"8","journalAbbreviation":"Hum. Mol. Genet.","language":"eng","note":"PMID: 9259268","page":"1233-1239","source":"PubMed","title":"Characterisation of renal chloride channel, CLCN5, mutations in hypercalciuric nephrolithiasis (kidney stones) disorders","volume":"6","author":[{"family":"Lloyd","given":"S. E."},{"family":"Gunther","given":"W."},{"family":"Pearce","given":"S. H."},{"family":"Thomson","given":"A."},{"family":"Bianchi","given":"M. L."},{"family":"Bosio","given":"M."},{"family":"Craig","given":"I. W."},{"family":"Fisher","given":"S. E."},{"family":"Scheinman","given":"S. J."},{"family":"Wrong","given":"O."},{"family":"Jentsch","given":"T. J."},{"family":"Thakker","given":"R. V."}],"issued":{"date-parts":[["1997",8]]}}},{"id":332,"uris":["http://zotero.org/users/local/jkkvYBSC/items/CP8UYL58"],"uri":["http://zotero.org/users/local/jkkvYBSC/items/CP8UYL58"],"itemData":{"id":332,"type":"article-journal","abstract":"BACKGROUND: The annual urinary screening of Japanese children above three years of age has identified a progressive renal tubular disorder characterized by low molecular weight proteinuria, hypercalciuria and nephrocalcinosis, and this represents a variant of Dent's disease. Hitherto, 12 mutations of the X-linked renal specific chloride channel, CLCN5, have been reported in the Dent'sJapan variant. To further identify such CLCN5 mutations and to define the structure-function relationships of this channel, we have investigated five unrelated, non-consanguinous Japanese families with this disorder.\nMETHODS: Leukocyte DNA from probands was used with CLCN5 primers for PCR amplification of the coding region, and the DNA sequences of the products determined. Functional studies were performed by expressing the mutants in Xenopus oocytes.\nRESULTS: Five CLCN5 mutations consisting of two nonsense (R648X and R704X), two missense (S270R and L278F) and one acceptor splice site mutation (ag--&gt;cg) in intron 4 were identified. The missense and splice site mutations represent novel abnormalities. Heterologous expression in Xenopus oocytes of wild-type and the missense mutants demonstrated that the mutations, which were translated, either abolished or markedly reduced chloride conductance.\nCONCLUSIONS: These results expand the spectrum of CLCN5 mutations associated with this renal disorder and provide insight into possible structure-function relationships. For example, both the missense mutations are located within a short putative loop between two transmembrane domains, and our results suggest that this region may have an important functional role in the regulation of channel activity.","container-title":"Kidney International","DOI":"10.1046/j.1523-1755.1998.00203.x","ISSN":"0085-2538","issue":"6","journalAbbreviation":"Kidney Int.","language":"eng","note":"PMID: 9853249","page":"1850-1856","source":"PubMed","title":"Functional characterization of renal chloride channel, CLCN5, mutations associated with Dent'sJapan disease","volume":"54","author":[{"family":"Igarashi","given":"T."},{"family":"Günther","given":"W."},{"family":"Sekine","given":"T."},{"family":"Inatomi","given":"J."},{"family":"Shiraga","given":"H."},{"family":"Takahashi","given":"S."},{"family":"Suzuki","given":"J."},{"family":"Tsuru","given":"N."},{"family":"Yanagihara","given":"T."},{"family":"Shimazu","given":"M."},{"family":"Jentsch","given":"T. J."},{"family":"Thakker","given":"R. V."}],"issued":{"date-parts":[["1998",12]]}}}],"schema":"https://github.com/citation-style-language/schema/raw/master/csl-citation.json"}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lang w:val="en-US"/>
              </w:rPr>
              <w:t>(Lloyd et al. 1996, 1997a; Igarashi et al. 1998; Carr et al. 2003; Mo et al. 2004; Ludwig et al. 2005)</w:t>
            </w:r>
            <w:r w:rsidRPr="00BC0897">
              <w:rPr>
                <w:rFonts w:ascii="Times New Roman" w:hAnsi="Times New Roman" w:cs="Times New Roman"/>
                <w:bCs/>
                <w:sz w:val="20"/>
                <w:szCs w:val="20"/>
                <w:lang w:val="en-US"/>
              </w:rPr>
              <w:fldChar w:fldCharType="end"/>
            </w:r>
          </w:p>
        </w:tc>
      </w:tr>
      <w:tr w:rsidR="00E26333" w:rsidRPr="00BC0897" w:rsidTr="00925F4B">
        <w:trPr>
          <w:trHeight w:val="300"/>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nonsense</w:t>
            </w:r>
          </w:p>
        </w:tc>
        <w:tc>
          <w:tcPr>
            <w:tcW w:w="1941" w:type="dxa"/>
            <w:noWrap/>
            <w:hideMark/>
          </w:tcPr>
          <w:p w:rsidR="00E26333" w:rsidRPr="00BC0897" w:rsidRDefault="00615085"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p.Val</w:t>
            </w:r>
            <w:r w:rsidR="00E26333" w:rsidRPr="00BC0897">
              <w:rPr>
                <w:rFonts w:ascii="Times New Roman" w:hAnsi="Times New Roman" w:cs="Times New Roman"/>
                <w:bCs/>
                <w:sz w:val="20"/>
                <w:szCs w:val="20"/>
                <w:lang w:val="en-US"/>
              </w:rPr>
              <w:t>655*</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reduced</w:t>
            </w: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p>
          <w:p w:rsidR="005224B5" w:rsidRPr="00BC0897" w:rsidRDefault="005224B5" w:rsidP="00C228AD">
            <w:pPr>
              <w:spacing w:after="0"/>
              <w:jc w:val="both"/>
              <w:rPr>
                <w:rFonts w:ascii="Times New Roman" w:hAnsi="Times New Roman" w:cs="Times New Roman"/>
                <w:bCs/>
                <w:sz w:val="20"/>
                <w:szCs w:val="20"/>
                <w:lang w:val="en-US"/>
              </w:rPr>
            </w:pP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 and COS-7</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E41E4B" w:rsidRPr="00BC0897">
              <w:rPr>
                <w:rFonts w:ascii="Times New Roman" w:hAnsi="Times New Roman" w:cs="Times New Roman"/>
                <w:bCs/>
                <w:sz w:val="20"/>
                <w:szCs w:val="20"/>
                <w:lang w:val="en-US"/>
              </w:rPr>
              <w:instrText xml:space="preserve"> ADDIN ZOTERO_ITEM CSL_CITATION {"citationID":"I6tdw97S","properties":{"formattedCitation":"(Mo et al. 2004)","plainCitation":"(Mo et al. 2004)","noteIndex":0},"citationItems":[{"id":"p7ATYret/2ktPM2g8","uris":["http://zotero.org/users/local/jkkvYBSC/items/LFT4HJLR"],"uri":["http://zotero.org/users/local/jkkvYBSC/items/LFT4HJLR"],"itemData":{"id":771,"type":"article-journal","abstract":"The human hereditary disorder Dent's disease is linked to loss-of-function mutations of the chloride channel ClC-5. Many of these mutations involve insertion of premature stop codons, resulting in truncation of the protein. We determined whether the functional activity of ClC-5 could be restored by coexpression of the truncated protein (containing the NH2-terminal region) with its complementary \"missing\" COOH-terminal region. Split channel constructs for ClC-5, consisting of complementary N and C protein regions, were created at an arbitrary site in the COOH-terminal region (V655) and at four Dent's disease mutation sites (R347, Y617, R648, and R704). Coexpression of complementary fragments for the split channel at V655 produced currents with anion and pH sensitivity similar to those of wild-type ClC-5. Channel activity was similarly restored when complementary split channel constructs made for Dent's mutation R648 were coexpressed, but no ClC-5 currents were found when split channels for mutations R347, Y617, or R704 were coexpressed. Immunoblot and immunofluorescence studies of COS-7 cells revealed that N or C protein fragments could be transiently expressed and detected in the plasma membrane, even in split channels that failed to show functional activity. The results suggest that ClC-5 channel activity can be restored for specific Dent's mutations by expression of the missing portion of the ClC-5 molecule.","container-title":"American Journal of Physiology. Cell Physiology","DOI":"10.1152/ajpcell.00009.2003","ISSN":"0363-6143","issue":"1","journalAbbreviation":"Am. J. Physiol., Cell Physiol.","language":"eng","note":"PMID: 13679301","page":"C79-89","source":"PubMed","title":"Coexpression of complementary fragments of ClC-5 and restoration of chloride channel function in a Dent's disease mutation","volume":"286","author":[{"family":"Mo","given":"L."},{"family":"Xiong","given":"W."},{"family":"Qian","given":"T."},{"family":"Sun","given":"H."},{"family":"Wills","given":"N. K."}],"issued":{"date-parts":[["2004",1]]}}}],"schema":"https://github.com/citation-style-language/schema/raw/master/csl-citation.json"}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rPr>
              <w:t>(Mo et al. 2004)</w:t>
            </w:r>
            <w:r w:rsidRPr="00BC0897">
              <w:rPr>
                <w:rFonts w:ascii="Times New Roman" w:hAnsi="Times New Roman" w:cs="Times New Roman"/>
                <w:bCs/>
                <w:sz w:val="20"/>
                <w:szCs w:val="20"/>
                <w:lang w:val="en-US"/>
              </w:rPr>
              <w:fldChar w:fldCharType="end"/>
            </w:r>
          </w:p>
        </w:tc>
      </w:tr>
      <w:tr w:rsidR="00E26333" w:rsidRPr="002212C2" w:rsidTr="00925F4B">
        <w:trPr>
          <w:trHeight w:val="825"/>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nonsense</w:t>
            </w:r>
          </w:p>
        </w:tc>
        <w:tc>
          <w:tcPr>
            <w:tcW w:w="1941" w:type="dxa"/>
            <w:noWrap/>
            <w:hideMark/>
          </w:tcPr>
          <w:p w:rsidR="00E26333" w:rsidRPr="00BC0897" w:rsidRDefault="00615085"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p.Arg</w:t>
            </w:r>
            <w:r w:rsidR="00E26333" w:rsidRPr="00BC0897">
              <w:rPr>
                <w:rFonts w:ascii="Times New Roman" w:hAnsi="Times New Roman" w:cs="Times New Roman"/>
                <w:bCs/>
                <w:sz w:val="20"/>
                <w:szCs w:val="20"/>
                <w:lang w:val="en-US"/>
              </w:rPr>
              <w:t>704*</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1276"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unaffected/ reduced/ abolished</w:t>
            </w: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Golgi retention, disorders in endocytosis, not efficiently targeted to endosomes</w:t>
            </w: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 COS-7, CHO-K1, mIMCD-3, LLC-PK1 and primary murine proximal tubular cells (</w:t>
            </w:r>
            <w:proofErr w:type="spellStart"/>
            <w:r w:rsidRPr="00BC0897">
              <w:rPr>
                <w:rFonts w:ascii="Times New Roman" w:hAnsi="Times New Roman" w:cs="Times New Roman"/>
                <w:bCs/>
                <w:sz w:val="20"/>
                <w:szCs w:val="20"/>
                <w:lang w:val="en-US"/>
              </w:rPr>
              <w:t>wt</w:t>
            </w:r>
            <w:proofErr w:type="spellEnd"/>
            <w:r w:rsidRPr="00BC0897">
              <w:rPr>
                <w:rFonts w:ascii="Times New Roman" w:hAnsi="Times New Roman" w:cs="Times New Roman"/>
                <w:bCs/>
                <w:sz w:val="20"/>
                <w:szCs w:val="20"/>
                <w:lang w:val="en-US"/>
              </w:rPr>
              <w:t xml:space="preserve"> and KO)</w:t>
            </w:r>
          </w:p>
        </w:tc>
        <w:tc>
          <w:tcPr>
            <w:tcW w:w="2268" w:type="dxa"/>
            <w:hideMark/>
          </w:tcPr>
          <w:p w:rsidR="00E26333" w:rsidRPr="00BC0897" w:rsidRDefault="00527EAD" w:rsidP="00A44008">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E41E4B" w:rsidRPr="00BC0897">
              <w:rPr>
                <w:rFonts w:ascii="Times New Roman" w:hAnsi="Times New Roman" w:cs="Times New Roman"/>
                <w:bCs/>
                <w:sz w:val="20"/>
                <w:szCs w:val="20"/>
                <w:lang w:val="en-US"/>
              </w:rPr>
              <w:instrText xml:space="preserve"> ADDIN ZOTERO_ITEM CSL_CITATION {"citationID":"0crcK3h4","properties":{"formattedCitation":"(Lloyd et al. 1996; Igarashi et al. 1998; Carr et al. 2003; Mo et al. 2004; Wang et al. 2005)","plainCitation":"(Lloyd et al. 1996; Igarashi et al. 1998; Carr et al. 2003; Mo et al. 2004; Wang et al. 2005)","noteIndex":0},"citationItems":[{"id":99,"uris":["http://zotero.org/users/local/jkkvYBSC/items/F43E5GWG"],"uri":["http://zotero.org/users/local/jkkvYBSC/items/F43E5GWG"],"itemData":{"id":99,"type":"article-journal","abstract":"KIDNEY stones (nephrolithiasis), which affect 12% of males and 5% of females in the western world, are familial in 45% of patients1,2 and are most commonly associated with hypercalciuria1. Three disorders of hypercalciuric nephrolithiasis (Dent's disease3, X-linked recessive nephrolithiasis (XRN)4, and X-linked recessive hypophosphataemic rickets (XLRH)5) have been mapped to Xpll.22 (refs 5–7). A microdeletion6 in one Dent's disease kindred allowed the identification of a candidate gene,CLCN5 (refs 8,9) which encodes a putative renal chloride channel. Here we report the investigation of 11 kindreds with these renal tubular disorders for CLCN5 abnormalities; this identified three nonsense, four missense and two donor splice site mutations, together with one intragenic deletion and one micro-deletion encompassing the entire gene. Heterologous expression of wild-type CLCN5 in Xenopus oocytes yielded outwardly rectifying chloride currents, which were either abolished or markedly reduced by the mutations. The common aetiology for Dent's disease, XRN and XLRH indicates that CLCN5 may be involved in other renal tubular disorders associated with kidney stones.","container-title":"Nature","DOI":"10.1038/379445a0","ISSN":"1476-4687","issue":"6564","journalAbbreviation":"Nature","language":"en","page":"445-449","source":"www.nature.com","title":"A common molecular basis for three inherited kidney stone diseases","volume":"379","author":[{"family":"Lloyd","given":"Sarah E."},{"family":"Pearce","given":"Simon H. S."},{"family":"Fisher","given":"Simon E."},{"family":"Steinmeyer","given":"Klaus"},{"family":"Schwappach","given":"Blanche"},{"family":"Scheinman","given":"Steven J."},{"family":"Harding","given":"Brian"},{"family":"Bolino","given":"Alessandra"},{"family":"Devoto","given":"Marcella"},{"family":"Goodyer","given":"Paul"},{"family":"Rigden","given":"Susan P. A."},{"family":"Wrong","given":"Oliver"},{"family":"Jentsch","given":"Thomas J."},{"family":"Craig","given":"Ian W."},{"family":"Thakker","given":"Rajesh V."}],"issued":{"date-parts":[["1996",2]]}}},{"id":"p7ATYret/Xwfn3a8v","uris":["http://zotero.org/users/local/jkkvYBSC/items/NXN977TR"],"uri":["http://zotero.org/users/local/jkkvYBSC/items/NXN977TR"],"itemData":{"id":764,"type":"article-journal","abstract":"CLC-5 is a member of the CLC family of voltage-gated chloride channels. Mutations disrupting CLC-5 lead to Dent's disease, an X-linked renal tubular disorder, characterised by low molecular weight proteinuria, hypercalciuria, nephrocalcinosis, and renal stones. Sequence analysis of CLC-5 reveals a 746 amino acid protein with an intracellular amino-terminus, transmembrane spanning domains, and two CBS domains within its intracellular carboxy-terminus. CBS domains have been implicated in intracellular targetting and trafficking as well as protein-protein interactions. We investigate subcellular localisation of three naturally occurring CLC-5 mutants which all lead to a truncated protein, disrupting the second CBS domain. These mutants are unable to traffic normally to acidic endosomes but are retained in perinuclear compartments, colocalising with the Golgi complex. This is the first identification of the cellular pathogenesis of CBS domain mutations of CLC-5.","container-title":"Biochemical and Biophysical Research Communications","DOI":"10.1016/j.bbrc.2003.09.057","ISSN":"0006-291X","issue":"2","journalAbbreviation":"Biochem. Biophys. Res. Commun.","language":"eng","note":"PMID: 14521953","page":"600-605","source":"PubMed","title":"A role for CBS domain 2 in trafficking of chloride channel CLC-5","volume":"310","author":[{"family":"Carr","given":"Georgina"},{"family":"Simmons","given":"Nicholas"},{"family":"Sayer","given":"John"}],"issued":{"date-parts":[["2003",10,17]]}}},{"id":"p7ATYret/2ktPM2g8","uris":["http://zotero.org/users/local/jkkvYBSC/items/LFT4HJLR"],"uri":["http://zotero.org/users/local/jkkvYBSC/items/LFT4HJLR"],"itemData":{"id":771,"type":"article-journal","abstract":"The human hereditary disorder Dent's disease is linked to loss-of-function mutations of the chloride channel ClC-5. Many of these mutations involve insertion of premature stop codons, resulting in truncation of the protein. We determined whether the functional activity of ClC-5 could be restored by coexpression of the truncated protein (containing the NH2-terminal region) with its complementary \"missing\" COOH-terminal region. Split channel constructs for ClC-5, consisting of complementary N and C protein regions, were created at an arbitrary site in the COOH-terminal region (V655) and at four Dent's disease mutation sites (R347, Y617, R648, and R704). Coexpression of complementary fragments for the split channel at V655 produced currents with anion and pH sensitivity similar to those of wild-type ClC-5. Channel activity was similarly restored when complementary split channel constructs made for Dent's mutation R648 were coexpressed, but no ClC-5 currents were found when split channels for mutations R347, Y617, or R704 were coexpressed. Immunoblot and immunofluorescence studies of COS-7 cells revealed that N or C protein fragments could be transiently expressed and detected in the plasma membrane, even in split channels that failed to show functional activity. The results suggest that ClC-5 channel activity can be restored for specific Dent's mutations by expression of the missing portion of the ClC-5 molecule.","container-title":"American Journal of Physiology. Cell Physiology","DOI":"10.1152/ajpcell.00009.2003","ISSN":"0363-6143","issue":"1","journalAbbreviation":"Am. J. Physiol., Cell Physiol.","language":"eng","note":"PMID: 13679301","page":"C79-89","source":"PubMed","title":"Coexpression of complementary fragments of ClC-5 and restoration of chloride channel function in a Dent's disease mutation","volume":"286","author":[{"family":"Mo","given":"L."},{"family":"Xiong","given":"W."},{"family":"Qian","given":"T."},{"family":"Sun","given":"H."},{"family":"Wills","given":"N. K."}],"issued":{"date-parts":[["2004",1]]}}},{"id":"p7ATYret/OYK3xya7","uris":["http://zotero.org/users/local/jkkvYBSC/items/K3ATMGK5"],"uri":["http://zotero.org/users/local/jkkvYBSC/items/K3ATMGK5"],"itemData":{"id":774,"type":"article-journal","abstract":"The proper functioning of the Cl(-) channel, ClC-5, is essential for the uptake of low molecular mass proteins through receptor-mediated endocytosis in the proximal tubule. Dent's disease patients with mutant ClC-5 channels and ClC-5 knockout (KO) mice both have low molecular mass proteinuria. To further understand the function of ClC-5, endocytosis was studied in LLC-PK(1) cells and primary cultures of proximal tubule cells from wild-type (WT) and ClC-5 KO kidneys. Endocytosis in the proximal tubule cells from KO mice was reduced compared with that in WT animals. Endocytosis in WT but not in KO cells was inhibited by bafilomycin A-1 and Cl(-) depletion, whereas endocytosis in both WT and KO cells was inhibited by the NHE3 blocker, S3226. Infection with adenovirus containing WT ClC-5 rescued receptor-mediated endocytosis in KO cells, whereas infection with any of the three disease-causing mutants, myc-W22G-ClC-5, myc-S520P-ClC-5, or myc-R704X-ClC-5, did not. WT and the three mutants all trafficked to the apical surface, as assessed by surface biotinylation. WT-ClC-5 and the W22G mutant were internalized similarly, whereas neither the S520P nor the R704X mutants was. These data indicate that ClC-5 is important for Cl(-) and proton pump-mediated endocytosis. However, not all receptor-mediated endocytosis in the proximal tubule is dependent on ClC-5. There is a significant fraction that can be inhibited by an NHE3 blocker. Our data from the mutants suggest that defective targeting and trafficking of mutant ClC-5 to the endosomes are a major determinant in the lack of normal endocytosis in Dent's disease.","container-title":"American Journal of Physiology. Renal Physiology","DOI":"10.1152/ajprenal.00011.2005","ISSN":"1931-857X","issue":"4","journalAbbreviation":"Am. J. Physiol. Renal Physiol.","language":"eng","note":"PMID: 15942052","page":"F850-862","source":"PubMed","title":"ClC-5: role in endocytosis in the proximal tubule","title-short":"ClC-5","volume":"289","author":[{"family":"Wang","given":"Yinghong"},{"family":"Cai","given":"Hui"},{"family":"Cebotaru","given":"Liudmila"},{"family":"Hryciw","given":"Deanne H."},{"family":"Weinman","given":"Edward J."},{"family":"Donowitz","given":"Mark"},{"family":"Guggino","given":"Sandra E."},{"family":"Guggino","given":"William B."}],"issued":{"date-parts":[["2005",10]]}}},{"id":332,"uris":["http://zotero.org/users/local/jkkvYBSC/items/CP8UYL58"],"uri":["http://zotero.org/users/local/jkkvYBSC/items/CP8UYL58"],"itemData":{"id":332,"type":"article-journal","abstract":"BACKGROUND: The annual urinary screening of Japanese children above three years of age has identified a progressive renal tubular disorder characterized by low molecular weight proteinuria, hypercalciuria and nephrocalcinosis, and this represents a variant of Dent's disease. Hitherto, 12 mutations of the X-linked renal specific chloride channel, CLCN5, have been reported in the Dent'sJapan variant. To further identify such CLCN5 mutations and to define the structure-function relationships of this channel, we have investigated five unrelated, non-consanguinous Japanese families with this disorder.\nMETHODS: Leukocyte DNA from probands was used with CLCN5 primers for PCR amplification of the coding region, and the DNA sequences of the products determined. Functional studies were performed by expressing the mutants in Xenopus oocytes.\nRESULTS: Five CLCN5 mutations consisting of two nonsense (R648X and R704X), two missense (S270R and L278F) and one acceptor splice site mutation (ag--&gt;cg) in intron 4 were identified. The missense and splice site mutations represent novel abnormalities. Heterologous expression in Xenopus oocytes of wild-type and the missense mutants demonstrated that the mutations, which were translated, either abolished or markedly reduced chloride conductance.\nCONCLUSIONS: These results expand the spectrum of CLCN5 mutations associated with this renal disorder and provide insight into possible structure-function relationships. For example, both the missense mutations are located within a short putative loop between two transmembrane domains, and our results suggest that this region may have an important functional role in the regulation of channel activity.","container-title":"Kidney International","DOI":"10.1046/j.1523-1755.1998.00203.x","ISSN":"0085-2538","issue":"6","journalAbbreviation":"Kidney Int.","language":"eng","note":"PMID: 9853249","page":"1850-1856","source":"PubMed","title":"Functional characterization of renal chloride channel, CLCN5, mutations associated with Dent'sJapan disease","volume":"54","author":[{"family":"Igarashi","given":"T."},{"family":"Günther","given":"W."},{"family":"Sekine","given":"T."},{"family":"Inatomi","given":"J."},{"family":"Shiraga","given":"H."},{"family":"Takahashi","given":"S."},{"family":"Suzuki","given":"J."},{"family":"Tsuru","given":"N."},{"family":"Yanagihara","given":"T."},{"family":"Shimazu","given":"M."},{"family":"Jentsch","given":"T. J."},{"family":"Thakker","given":"R. V."}],"issued":{"date-parts":[["1998",12]]}}}],"schema":"https://github.com/citation-style-language/schema/raw/master/csl-citation.json"}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lang w:val="en-US"/>
              </w:rPr>
              <w:t>(Lloyd et al. 1996; Igarashi et al. 1998; Carr et al. 2003; Mo et al. 2004; Wang et al. 2005)</w:t>
            </w:r>
            <w:r w:rsidRPr="00BC0897">
              <w:rPr>
                <w:rFonts w:ascii="Times New Roman" w:hAnsi="Times New Roman" w:cs="Times New Roman"/>
                <w:bCs/>
                <w:sz w:val="20"/>
                <w:szCs w:val="20"/>
                <w:lang w:val="en-US"/>
              </w:rPr>
              <w:fldChar w:fldCharType="end"/>
            </w:r>
          </w:p>
        </w:tc>
      </w:tr>
      <w:tr w:rsidR="00E26333" w:rsidRPr="002212C2" w:rsidTr="00925F4B">
        <w:trPr>
          <w:trHeight w:val="853"/>
        </w:trPr>
        <w:tc>
          <w:tcPr>
            <w:tcW w:w="1144"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nonsense</w:t>
            </w:r>
          </w:p>
        </w:tc>
        <w:tc>
          <w:tcPr>
            <w:tcW w:w="1941" w:type="dxa"/>
            <w:noWrap/>
            <w:hideMark/>
          </w:tcPr>
          <w:p w:rsidR="00E26333" w:rsidRPr="00BC0897" w:rsidRDefault="00615085"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p.Arg</w:t>
            </w:r>
            <w:r w:rsidR="00E26333" w:rsidRPr="00BC0897">
              <w:rPr>
                <w:rFonts w:ascii="Times New Roman" w:hAnsi="Times New Roman" w:cs="Times New Roman"/>
                <w:bCs/>
                <w:sz w:val="20"/>
                <w:szCs w:val="20"/>
                <w:lang w:val="en-US"/>
              </w:rPr>
              <w:t>718*</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1276" w:type="dxa"/>
            <w:noWrap/>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abolished</w:t>
            </w:r>
          </w:p>
        </w:tc>
        <w:tc>
          <w:tcPr>
            <w:tcW w:w="4252" w:type="dxa"/>
            <w:hideMark/>
          </w:tcPr>
          <w:p w:rsidR="00E26333" w:rsidRPr="00BC0897" w:rsidRDefault="00E26333" w:rsidP="00C228AD">
            <w:pPr>
              <w:spacing w:after="0"/>
              <w:jc w:val="both"/>
              <w:rPr>
                <w:rFonts w:ascii="Times New Roman" w:hAnsi="Times New Roman" w:cs="Times New Roman"/>
                <w:bCs/>
                <w:sz w:val="20"/>
                <w:szCs w:val="20"/>
                <w:lang w:val="en-US"/>
              </w:rPr>
            </w:pPr>
            <w:r w:rsidRPr="00BC0897">
              <w:rPr>
                <w:rFonts w:ascii="Times New Roman" w:hAnsi="Times New Roman" w:cs="Times New Roman"/>
                <w:bCs/>
                <w:sz w:val="20"/>
                <w:szCs w:val="20"/>
                <w:lang w:val="en-US"/>
              </w:rPr>
              <w:t xml:space="preserve">Reduced protein expression, impaired </w:t>
            </w:r>
            <w:r w:rsidRPr="00BC0897">
              <w:rPr>
                <w:rFonts w:ascii="Times New Roman" w:hAnsi="Times New Roman" w:cs="Times New Roman"/>
                <w:bCs/>
                <w:i/>
                <w:sz w:val="20"/>
                <w:szCs w:val="20"/>
                <w:lang w:val="en-US"/>
              </w:rPr>
              <w:t>N</w:t>
            </w:r>
            <w:r w:rsidRPr="00BC0897">
              <w:rPr>
                <w:rFonts w:ascii="Times New Roman" w:hAnsi="Times New Roman" w:cs="Times New Roman"/>
                <w:bCs/>
                <w:sz w:val="20"/>
                <w:szCs w:val="20"/>
                <w:lang w:val="en-US"/>
              </w:rPr>
              <w:t xml:space="preserve">-glycosylation, ER retention, misfolded in the ER, </w:t>
            </w:r>
            <w:proofErr w:type="spellStart"/>
            <w:r w:rsidRPr="00BC0897">
              <w:rPr>
                <w:rFonts w:ascii="Times New Roman" w:hAnsi="Times New Roman" w:cs="Times New Roman"/>
                <w:bCs/>
                <w:sz w:val="20"/>
                <w:szCs w:val="20"/>
                <w:lang w:val="en-US"/>
              </w:rPr>
              <w:t>polyubiquinated</w:t>
            </w:r>
            <w:proofErr w:type="spellEnd"/>
            <w:r w:rsidRPr="00BC0897">
              <w:rPr>
                <w:rFonts w:ascii="Times New Roman" w:hAnsi="Times New Roman" w:cs="Times New Roman"/>
                <w:bCs/>
                <w:sz w:val="20"/>
                <w:szCs w:val="20"/>
                <w:lang w:val="en-US"/>
              </w:rPr>
              <w:t xml:space="preserve"> and degraded by proteasome</w:t>
            </w:r>
          </w:p>
        </w:tc>
        <w:tc>
          <w:tcPr>
            <w:tcW w:w="2410" w:type="dxa"/>
            <w:hideMark/>
          </w:tcPr>
          <w:p w:rsidR="00E26333" w:rsidRPr="00BC0897" w:rsidRDefault="00E26333" w:rsidP="00C228AD">
            <w:pPr>
              <w:spacing w:after="0"/>
              <w:jc w:val="both"/>
              <w:rPr>
                <w:rFonts w:ascii="Times New Roman" w:hAnsi="Times New Roman" w:cs="Times New Roman"/>
                <w:bCs/>
                <w:sz w:val="20"/>
                <w:szCs w:val="20"/>
                <w:lang w:val="en-US"/>
              </w:rPr>
            </w:pPr>
            <w:proofErr w:type="spellStart"/>
            <w:r w:rsidRPr="00BC0897">
              <w:rPr>
                <w:rFonts w:ascii="Times New Roman" w:hAnsi="Times New Roman" w:cs="Times New Roman"/>
                <w:bCs/>
                <w:sz w:val="20"/>
                <w:szCs w:val="20"/>
                <w:lang w:val="en-US"/>
              </w:rPr>
              <w:t>Xenopus</w:t>
            </w:r>
            <w:proofErr w:type="spellEnd"/>
            <w:r w:rsidRPr="00BC0897">
              <w:rPr>
                <w:rFonts w:ascii="Times New Roman" w:hAnsi="Times New Roman" w:cs="Times New Roman"/>
                <w:bCs/>
                <w:sz w:val="20"/>
                <w:szCs w:val="20"/>
                <w:lang w:val="en-US"/>
              </w:rPr>
              <w:t xml:space="preserve"> oocytes, HEK293 and OK cells</w:t>
            </w:r>
          </w:p>
        </w:tc>
        <w:tc>
          <w:tcPr>
            <w:tcW w:w="2268" w:type="dxa"/>
            <w:hideMark/>
          </w:tcPr>
          <w:p w:rsidR="00E26333" w:rsidRPr="00BC0897" w:rsidRDefault="00527EAD" w:rsidP="000F21AB">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fldChar w:fldCharType="begin"/>
            </w:r>
            <w:r w:rsidR="000F21AB" w:rsidRPr="00BC0897">
              <w:rPr>
                <w:rFonts w:ascii="Times New Roman" w:hAnsi="Times New Roman" w:cs="Times New Roman"/>
                <w:bCs/>
                <w:sz w:val="20"/>
                <w:szCs w:val="20"/>
                <w:lang w:val="en-US"/>
              </w:rPr>
              <w:instrText xml:space="preserve"> ADDIN ZOTERO_ITEM CSL_CITATION {"citationID":"zxGoxGT6","properties":{"formattedCitation":"(Grand et al. 2009; D\\uc0\\u8217{}Antonio et al. 2013)","plainCitation":"(Grand et al. 2009; D’Antonio et al. 2013)","noteIndex":0},"citationItems":[{"id":321,"uris":["http://zotero.org/users/local/jkkvYBSC/items/KT75S5NW"],"uri":["http://zotero.org/users/local/jkkvYBSC/items/KT75S5NW"],"itemData":{"id":321,"type":"article-journal","abstract":"Dent's disease is an X-linked recessive disorder affecting the proximal tubules and is frequently associated with mutations in CLCN5, which encodes the electrogenic chloride-proton exchanger ClC-5. To better understand the functional consequences of CLCN5 mutations in this disease, we screened four newly identified missense mutations (G179D, S203L, G212A, L469P), one new nonsense mutation (R718X), and three known mutations (L200R, C219R, and C221R), in Xenopus laevis oocytes and HEK293 cells expressing either wild-type or mutant exchanger. A type-I mutant (G212A) trafficked normally to the cell surface and to early endosomes, underwent complex glycosylation at the cell surface like wild-type ClC-5, but exhibited significant reductions in outwardly rectifying ion currents. The type-II mutants (G179D, L200R, S203L, C219R, C221R, L469P, and R718X) were improperly N-glycosylated and were non-functional due to retention in the endoplasmic reticulum. Thus these mutations have distinct mechanisms by which they could impair ClC-5 function in Dent's disease.","container-title":"Kidney International","DOI":"10.1038/ki.2009.305","ISSN":"1523-1755","issue":"9","journalAbbreviation":"Kidney Int.","language":"eng","note":"PMID: 19657328","page":"999-1005","source":"PubMed","title":"Novel CLCN5 mutations in patients with Dent's disease result in altered ion currents or impaired exchanger processing","volume":"76","author":[{"family":"Grand","given":"Teddy"},{"family":"Mordasini","given":"David"},{"family":"L'Hoste","given":"Sébastien"},{"family":"Pennaforte","given":"Thomas"},{"family":"Genete","given":"Mathieu"},{"family":"Biyeyeme","given":"Marie-Jeanne"},{"family":"Vargas-Poussou","given":"Rosa"},{"family":"Blanchard","given":"Anne"},{"family":"Teulon","given":"Jacques"},{"family":"Lourdel","given":"Stéphane"}],"issued":{"date-parts":[["2009",11]]}}},{"id":466,"uris":["http://zotero.org/users/local/jkkvYBSC/items/BQARCYU5"],"uri":["http://zotero.org/users/local/jkkvYBSC/items/BQARCYU5"],"itemData":{"id":466,"type":"article-journal","abstract":"Mutations in the CLCN5 (chloride channel, voltage-sensitive 5) gene cause Dent's disease because they reduce the functional expression of the ClC-5 chloride/proton transporter in the recycling endosomes of proximal tubule epithelial cells. The majority (60%) of these disease-causing mutations in ClC-5 are misprocessed and retained in the ER (endoplasmic reticulum). Importantly, the structural basis for misprocessing and the cellular destiny of such ClC-5 mutants have yet to be defined. A ClC-5 monomer comprises a short N-terminal region, an extensive membrane domain and a large C-terminal domain. The recent crystal structure of a eukaryotic ClC (chloride channel) transporter revealed the intimate interaction between the membrane domain and the C-terminal region. Therefore we hypothesized that intramolecular interactions may be perturbed in certain mutants. In the present study we examined two misprocessed mutants: C221R located in the membrane domain and R718X, which truncates the C-terminal domain. Both mutants exhibited enhanced protease susceptibility relative to the normal protein in limited proteolysis studies, providing direct evidence that they are misfolded. Interestingly, the membrane-localized mutation C221R led to enhanced protease susceptibility of the cytosolic N-terminal region, and the C-terminal truncation mutation R718X led to enhanced protease susceptibility of both the cytosolic C-terminal and the membrane domain. Together, these studies support the idea that certain misprocessing mutations alter intramolecular interactions within the full-length ClC-5 protein. Further, we found that these misfolded mutants are polyubiquitinated and targeted for proteasomal degradation in the OK (opossum kidney) renal epithelial cells, thereby ensuring that they do not elicit the unfolded protein response.","container-title":"The Biochemical Journal","DOI":"10.1042/BJ20121848","ISSN":"1470-8728","issue":"3","journalAbbreviation":"Biochem. J.","language":"eng","note":"PMID: 23566014","page":"391-400","source":"PubMed","title":"Conformational defects underlie proteasomal degradation of Dent's disease-causing mutants of ClC-5","volume":"452","author":[{"family":"D'Antonio","given":"Christina"},{"family":"Molinski","given":"Steven"},{"family":"Ahmadi","given":"Saumel"},{"family":"Huan","given":"Ling-Jun"},{"family":"Wellhauser","given":"Leigh"},{"family":"Bear","given":"Christine E."}],"issued":{"date-parts":[["2013",6,15]]}}}],"schema":"https://github.com/citation-style-language/schema/raw/master/csl-citation.json"} </w:instrText>
            </w:r>
            <w:r w:rsidRPr="00BC0897">
              <w:rPr>
                <w:rFonts w:ascii="Times New Roman" w:hAnsi="Times New Roman" w:cs="Times New Roman"/>
                <w:bCs/>
                <w:sz w:val="20"/>
                <w:szCs w:val="20"/>
                <w:lang w:val="en-US"/>
              </w:rPr>
              <w:fldChar w:fldCharType="separate"/>
            </w:r>
            <w:r w:rsidR="000F21AB" w:rsidRPr="00BC0897">
              <w:rPr>
                <w:rFonts w:ascii="Times New Roman" w:hAnsi="Times New Roman" w:cs="Times New Roman"/>
                <w:sz w:val="20"/>
                <w:szCs w:val="20"/>
                <w:lang w:val="en-US"/>
              </w:rPr>
              <w:t>(Grand et al. 2009; D’Antonio et al. 2013)</w:t>
            </w:r>
            <w:r w:rsidRPr="00BC0897">
              <w:rPr>
                <w:rFonts w:ascii="Times New Roman" w:hAnsi="Times New Roman" w:cs="Times New Roman"/>
                <w:bCs/>
                <w:sz w:val="20"/>
                <w:szCs w:val="20"/>
                <w:lang w:val="en-US"/>
              </w:rPr>
              <w:fldChar w:fldCharType="end"/>
            </w:r>
          </w:p>
        </w:tc>
      </w:tr>
      <w:tr w:rsidR="00E26333" w:rsidRPr="00BC0897" w:rsidTr="00925F4B">
        <w:trPr>
          <w:trHeight w:val="979"/>
        </w:trPr>
        <w:tc>
          <w:tcPr>
            <w:tcW w:w="1144" w:type="dxa"/>
            <w:noWrap/>
            <w:vAlign w:val="center"/>
            <w:hideMark/>
          </w:tcPr>
          <w:p w:rsidR="00E26333" w:rsidRPr="00BC0897" w:rsidRDefault="00E26333" w:rsidP="00C228AD">
            <w:pPr>
              <w:spacing w:after="0"/>
              <w:jc w:val="center"/>
              <w:rPr>
                <w:rFonts w:ascii="Times New Roman" w:hAnsi="Times New Roman" w:cs="Times New Roman"/>
                <w:color w:val="000000"/>
                <w:sz w:val="20"/>
                <w:szCs w:val="20"/>
                <w:lang w:val="en-US"/>
              </w:rPr>
            </w:pPr>
            <w:r w:rsidRPr="00BC0897">
              <w:rPr>
                <w:rFonts w:ascii="Times New Roman" w:hAnsi="Times New Roman" w:cs="Times New Roman"/>
                <w:color w:val="000000"/>
                <w:sz w:val="20"/>
                <w:szCs w:val="20"/>
                <w:lang w:val="en-US"/>
              </w:rPr>
              <w:t>splicing</w:t>
            </w:r>
          </w:p>
        </w:tc>
        <w:tc>
          <w:tcPr>
            <w:tcW w:w="1941" w:type="dxa"/>
            <w:noWrap/>
            <w:vAlign w:val="center"/>
            <w:hideMark/>
          </w:tcPr>
          <w:p w:rsidR="00E26333" w:rsidRPr="00BC0897" w:rsidRDefault="00E26333" w:rsidP="00C228AD">
            <w:pPr>
              <w:spacing w:after="0"/>
              <w:rPr>
                <w:rFonts w:ascii="Times New Roman" w:hAnsi="Times New Roman" w:cs="Times New Roman"/>
                <w:color w:val="000000"/>
                <w:sz w:val="20"/>
                <w:szCs w:val="20"/>
                <w:lang w:val="en-US"/>
              </w:rPr>
            </w:pPr>
            <w:r w:rsidRPr="00BC0897">
              <w:rPr>
                <w:rFonts w:ascii="Times New Roman" w:hAnsi="Times New Roman" w:cs="Times New Roman"/>
                <w:color w:val="000000"/>
                <w:sz w:val="20"/>
                <w:szCs w:val="20"/>
                <w:lang w:val="en-US"/>
              </w:rPr>
              <w:t>c.1348-1G&gt;A</w:t>
            </w:r>
          </w:p>
        </w:tc>
        <w:tc>
          <w:tcPr>
            <w:tcW w:w="1276" w:type="dxa"/>
            <w:noWrap/>
            <w:vAlign w:val="center"/>
            <w:hideMark/>
          </w:tcPr>
          <w:p w:rsidR="00E26333" w:rsidRPr="00BC0897" w:rsidRDefault="00E26333" w:rsidP="00C228AD">
            <w:pPr>
              <w:spacing w:after="0"/>
              <w:jc w:val="center"/>
              <w:rPr>
                <w:rFonts w:ascii="Times New Roman" w:hAnsi="Times New Roman" w:cs="Times New Roman"/>
                <w:color w:val="000000"/>
                <w:sz w:val="20"/>
                <w:szCs w:val="20"/>
                <w:lang w:val="en-US"/>
              </w:rPr>
            </w:pPr>
          </w:p>
        </w:tc>
        <w:tc>
          <w:tcPr>
            <w:tcW w:w="1276" w:type="dxa"/>
            <w:noWrap/>
            <w:vAlign w:val="center"/>
            <w:hideMark/>
          </w:tcPr>
          <w:p w:rsidR="00E26333" w:rsidRPr="00BC0897" w:rsidRDefault="00E26333" w:rsidP="00C228AD">
            <w:pPr>
              <w:spacing w:after="0"/>
              <w:jc w:val="center"/>
              <w:rPr>
                <w:rFonts w:ascii="Times New Roman" w:hAnsi="Times New Roman" w:cs="Times New Roman"/>
                <w:color w:val="000000"/>
                <w:sz w:val="20"/>
                <w:szCs w:val="20"/>
                <w:lang w:val="en-US"/>
              </w:rPr>
            </w:pPr>
          </w:p>
        </w:tc>
        <w:tc>
          <w:tcPr>
            <w:tcW w:w="4252" w:type="dxa"/>
            <w:vAlign w:val="center"/>
            <w:hideMark/>
          </w:tcPr>
          <w:p w:rsidR="00E26333" w:rsidRPr="00BC0897" w:rsidRDefault="00E26333" w:rsidP="00C228AD">
            <w:pPr>
              <w:spacing w:after="0"/>
              <w:jc w:val="both"/>
              <w:rPr>
                <w:rFonts w:ascii="Times New Roman" w:hAnsi="Times New Roman" w:cs="Times New Roman"/>
                <w:color w:val="000000"/>
                <w:sz w:val="20"/>
                <w:szCs w:val="20"/>
                <w:lang w:val="en-US"/>
              </w:rPr>
            </w:pPr>
            <w:r w:rsidRPr="00BC0897">
              <w:rPr>
                <w:rFonts w:ascii="Times New Roman" w:hAnsi="Times New Roman" w:cs="Times New Roman"/>
                <w:color w:val="000000"/>
                <w:sz w:val="20"/>
                <w:szCs w:val="20"/>
                <w:lang w:val="en-US"/>
              </w:rPr>
              <w:t>First 26 bases of exon 9 were spliced out resulting in the loss of the CBS domain, impaired endosomal acidification, downregulation of megalin</w:t>
            </w:r>
          </w:p>
        </w:tc>
        <w:tc>
          <w:tcPr>
            <w:tcW w:w="2410" w:type="dxa"/>
            <w:hideMark/>
          </w:tcPr>
          <w:p w:rsidR="00E26333" w:rsidRPr="00BC0897" w:rsidRDefault="00E26333" w:rsidP="00C228AD">
            <w:pPr>
              <w:spacing w:after="0"/>
              <w:jc w:val="both"/>
              <w:rPr>
                <w:rFonts w:ascii="Times New Roman" w:hAnsi="Times New Roman" w:cs="Times New Roman"/>
                <w:color w:val="000000"/>
                <w:sz w:val="20"/>
                <w:szCs w:val="20"/>
                <w:lang w:val="en-US"/>
              </w:rPr>
            </w:pPr>
            <w:r w:rsidRPr="00BC0897">
              <w:rPr>
                <w:rFonts w:ascii="Times New Roman" w:hAnsi="Times New Roman" w:cs="Times New Roman"/>
                <w:color w:val="000000"/>
                <w:sz w:val="20"/>
                <w:szCs w:val="20"/>
                <w:lang w:val="en-US"/>
              </w:rPr>
              <w:t>Proximal tubule cells from the patient's urine</w:t>
            </w:r>
          </w:p>
        </w:tc>
        <w:tc>
          <w:tcPr>
            <w:tcW w:w="2268" w:type="dxa"/>
            <w:vAlign w:val="center"/>
            <w:hideMark/>
          </w:tcPr>
          <w:p w:rsidR="00E26333" w:rsidRPr="00BC0897" w:rsidRDefault="00527EAD" w:rsidP="00A44008">
            <w:pPr>
              <w:spacing w:after="0"/>
              <w:jc w:val="center"/>
              <w:rPr>
                <w:rFonts w:ascii="Times New Roman" w:hAnsi="Times New Roman" w:cs="Times New Roman"/>
                <w:color w:val="000000"/>
                <w:sz w:val="20"/>
                <w:szCs w:val="20"/>
              </w:rPr>
            </w:pPr>
            <w:r w:rsidRPr="00BC0897">
              <w:rPr>
                <w:rFonts w:ascii="Times New Roman" w:hAnsi="Times New Roman" w:cs="Times New Roman"/>
                <w:color w:val="000000"/>
                <w:sz w:val="20"/>
                <w:szCs w:val="20"/>
              </w:rPr>
              <w:fldChar w:fldCharType="begin"/>
            </w:r>
            <w:r w:rsidR="000F21AB" w:rsidRPr="00BC0897">
              <w:rPr>
                <w:rFonts w:ascii="Times New Roman" w:hAnsi="Times New Roman" w:cs="Times New Roman"/>
                <w:color w:val="000000"/>
                <w:sz w:val="20"/>
                <w:szCs w:val="20"/>
                <w:lang w:val="en-US"/>
              </w:rPr>
              <w:instrText xml:space="preserve"> ADDIN ZOTERO_ITEM CSL_CITATION {"citationID":"rqjtAlr0","properties":{"formattedCitation":"(Matsumoto et al. 2018)","plainCitation":"(Matsumoto et al. 2018)","noteIndex":0},"citationItems":[{"id":43,"uris":["http://zotero.org/users/local/jkkvYBSC/items/5NLRM6RK"],"uri":["http://zotero.org/users/local/jkkvYBSC/items/5NLRM6RK"],"itemData":{"id":43,"type":"article-journal","abstract":"We present a case of Dent disease caused by a novel intronic mutation, 1348-1G&gt;A, of the chloride voltage-gated channel 5 (CLCN5) gene. Cultured proximal tubule cells obtained from the patient showed impaired acidification of the endosome and/or lysosome, indicating that the 1348-1G&gt;A mutation was indeed the cause of Dent disease. Although the prevalence of osteomalacia in Dent disease is low in Japan, several factors-including poor medication adherence-caused severe osteomalacia in the current case. Oral supplementation with calcium and native/active vitamin D therapy, with careful attention to medication adherence, led to the improvement of the patient's bone status.","container-title":"Internal Medicine (Tokyo, Japan)","DOI":"10.2169/internalmedicine.1272-18","ISSN":"1349-7235","issue":"24","journalAbbreviation":"Intern. Med.","language":"eng","note":"PMID: 30101934\nPMCID: PMC6355425","page":"3603-3610","source":"PubMed","title":"Severe Osteomalacia with Dent Disease Caused by a Novel Intronic Mutation of the CLCN5 gene","volume":"57","author":[{"family":"Matsumoto","given":"Ayumi"},{"family":"Matsui","given":"Isao"},{"family":"Mori","given":"Takayasu"},{"family":"Sakaguchi","given":"Yusuke"},{"family":"Mizui","given":"Masayuki"},{"family":"Ueda","given":"Yoshiyasu"},{"family":"Takahashi","given":"Atsushi"},{"family":"Doi","given":"Yohei"},{"family":"Shimada","given":"Karin"},{"family":"Yamaguchi","given":"Satoshi"},{"family":"Kubota","given":"Keiichi"},{"family":"Hashimoto","given":"Nobuhiro"},{"family":"Oka","given":"Tatsufumi"},{"family":"Takabatake","given":"Yoshitsugu"},{"family":"Sohara","given":"Eisei"},{"family":"Hamano","given":"Takayuki"},{"family":"Uchida","given":"Shinichi"},{"family":"Isaka","given":"Yoshitaka"}],"issued":{"date-parts":[["2018",12,15]]}}}],"schema":"https://github.com/citation-style-language/schema/raw/master/csl-citation.json"} </w:instrText>
            </w:r>
            <w:r w:rsidRPr="00BC0897">
              <w:rPr>
                <w:rFonts w:ascii="Times New Roman" w:hAnsi="Times New Roman" w:cs="Times New Roman"/>
                <w:color w:val="000000"/>
                <w:sz w:val="20"/>
                <w:szCs w:val="20"/>
              </w:rPr>
              <w:fldChar w:fldCharType="separate"/>
            </w:r>
            <w:r w:rsidR="000F21AB" w:rsidRPr="00BC0897">
              <w:rPr>
                <w:rFonts w:ascii="Times New Roman" w:hAnsi="Times New Roman" w:cs="Times New Roman"/>
                <w:sz w:val="20"/>
                <w:szCs w:val="20"/>
              </w:rPr>
              <w:t>(Matsumoto et al. 2018)</w:t>
            </w:r>
            <w:r w:rsidRPr="00BC0897">
              <w:rPr>
                <w:rFonts w:ascii="Times New Roman" w:hAnsi="Times New Roman" w:cs="Times New Roman"/>
                <w:color w:val="000000"/>
                <w:sz w:val="20"/>
                <w:szCs w:val="20"/>
              </w:rPr>
              <w:fldChar w:fldCharType="end"/>
            </w:r>
          </w:p>
        </w:tc>
      </w:tr>
    </w:tbl>
    <w:p w:rsidR="00646A25" w:rsidRPr="00BC0897" w:rsidRDefault="00646A25" w:rsidP="00C228AD">
      <w:pPr>
        <w:spacing w:after="0" w:line="240" w:lineRule="auto"/>
        <w:rPr>
          <w:rFonts w:ascii="Times New Roman" w:hAnsi="Times New Roman" w:cs="Times New Roman"/>
          <w:b/>
          <w:sz w:val="20"/>
          <w:szCs w:val="20"/>
          <w:lang w:val="en-US"/>
        </w:rPr>
      </w:pPr>
    </w:p>
    <w:p w:rsidR="00646A25" w:rsidRPr="00BC0897" w:rsidRDefault="00646A25">
      <w:pPr>
        <w:spacing w:after="200" w:line="276" w:lineRule="auto"/>
        <w:rPr>
          <w:rFonts w:ascii="Times New Roman" w:hAnsi="Times New Roman" w:cs="Times New Roman"/>
          <w:b/>
          <w:sz w:val="20"/>
          <w:szCs w:val="20"/>
          <w:lang w:val="en-US"/>
        </w:rPr>
      </w:pPr>
      <w:r w:rsidRPr="00BC0897">
        <w:rPr>
          <w:rFonts w:ascii="Times New Roman" w:hAnsi="Times New Roman" w:cs="Times New Roman"/>
          <w:b/>
          <w:sz w:val="20"/>
          <w:szCs w:val="20"/>
          <w:lang w:val="en-US"/>
        </w:rPr>
        <w:br w:type="page"/>
      </w:r>
    </w:p>
    <w:p w:rsidR="00646A25" w:rsidRPr="00BC0897" w:rsidRDefault="00646A25" w:rsidP="00646A25">
      <w:pPr>
        <w:spacing w:line="240" w:lineRule="auto"/>
        <w:rPr>
          <w:rFonts w:ascii="Times New Roman" w:hAnsi="Times New Roman" w:cs="Times New Roman"/>
          <w:sz w:val="20"/>
          <w:szCs w:val="20"/>
          <w:lang w:val="en-US"/>
        </w:rPr>
      </w:pPr>
      <w:r w:rsidRPr="00BC0897">
        <w:rPr>
          <w:rFonts w:ascii="Times New Roman" w:hAnsi="Times New Roman" w:cs="Times New Roman"/>
          <w:b/>
          <w:sz w:val="20"/>
          <w:szCs w:val="20"/>
          <w:lang w:val="en-US"/>
        </w:rPr>
        <w:lastRenderedPageBreak/>
        <w:t>Supplementary Table 2</w:t>
      </w:r>
      <w:r w:rsidRPr="00BC0897">
        <w:rPr>
          <w:rFonts w:ascii="Times New Roman" w:hAnsi="Times New Roman" w:cs="Times New Roman"/>
          <w:sz w:val="20"/>
          <w:szCs w:val="20"/>
          <w:lang w:val="en-US"/>
        </w:rPr>
        <w:t>: Clinical and biochemical data collected for DD1 patients</w:t>
      </w:r>
    </w:p>
    <w:tbl>
      <w:tblPr>
        <w:tblStyle w:val="Grigliatabella"/>
        <w:tblW w:w="14568" w:type="dxa"/>
        <w:tblLayout w:type="fixed"/>
        <w:tblLook w:val="04A0" w:firstRow="1" w:lastRow="0" w:firstColumn="1" w:lastColumn="0" w:noHBand="0" w:noVBand="1"/>
      </w:tblPr>
      <w:tblGrid>
        <w:gridCol w:w="2235"/>
        <w:gridCol w:w="993"/>
        <w:gridCol w:w="1134"/>
        <w:gridCol w:w="1134"/>
        <w:gridCol w:w="1134"/>
        <w:gridCol w:w="1134"/>
        <w:gridCol w:w="1134"/>
        <w:gridCol w:w="1134"/>
        <w:gridCol w:w="1134"/>
        <w:gridCol w:w="1134"/>
        <w:gridCol w:w="1134"/>
        <w:gridCol w:w="1134"/>
      </w:tblGrid>
      <w:tr w:rsidR="00646A25" w:rsidRPr="00BC0897" w:rsidTr="00C228AD">
        <w:trPr>
          <w:trHeight w:val="900"/>
        </w:trPr>
        <w:tc>
          <w:tcPr>
            <w:tcW w:w="2235" w:type="dxa"/>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Clinical sign</w:t>
            </w:r>
          </w:p>
        </w:tc>
        <w:tc>
          <w:tcPr>
            <w:tcW w:w="993" w:type="dxa"/>
            <w:vAlign w:val="center"/>
            <w:hideMark/>
          </w:tcPr>
          <w:p w:rsidR="00646A25" w:rsidRPr="00BC0897" w:rsidRDefault="00646A25" w:rsidP="00C228AD">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t>TOT</w:t>
            </w:r>
          </w:p>
        </w:tc>
        <w:tc>
          <w:tcPr>
            <w:tcW w:w="1134" w:type="dxa"/>
            <w:vAlign w:val="center"/>
            <w:hideMark/>
          </w:tcPr>
          <w:p w:rsidR="00646A25" w:rsidRPr="00BC0897" w:rsidRDefault="00646A25" w:rsidP="00A44008">
            <w:pPr>
              <w:spacing w:after="0"/>
              <w:jc w:val="center"/>
              <w:rPr>
                <w:rFonts w:ascii="Times New Roman" w:hAnsi="Times New Roman" w:cs="Times New Roman"/>
                <w:b/>
                <w:sz w:val="20"/>
                <w:szCs w:val="20"/>
                <w:lang w:val="en-US"/>
              </w:rPr>
            </w:pPr>
            <w:r w:rsidRPr="00BC0897">
              <w:rPr>
                <w:rFonts w:ascii="Times New Roman" w:hAnsi="Times New Roman" w:cs="Times New Roman"/>
                <w:sz w:val="20"/>
                <w:szCs w:val="20"/>
                <w:lang w:val="en-US"/>
              </w:rPr>
              <w:fldChar w:fldCharType="begin"/>
            </w:r>
            <w:r w:rsidR="000F21AB" w:rsidRPr="00BC0897">
              <w:rPr>
                <w:rFonts w:ascii="Times New Roman" w:hAnsi="Times New Roman" w:cs="Times New Roman"/>
                <w:sz w:val="20"/>
                <w:szCs w:val="20"/>
                <w:lang w:val="en-US"/>
              </w:rPr>
              <w:instrText xml:space="preserve"> ADDIN ZOTERO_ITEM CSL_CITATION {"citationID":"xsvmFyzg","properties":{"formattedCitation":"(Akuta et al. 1997)","plainCitation":"(Akuta et al. 1997)","noteIndex":0},"citationItems":[{"id":1587,"uris":["http://zotero.org/users/local/jkkvYBSC/items/MH65PK2I"],"uri":["http://zotero.org/users/local/jkkvYBSC/items/MH65PK2I"],"itemData":{"id":1587,"type":"article-journal","abstract":"The annual urinary screening of Japanese children above three years of age has identified a progressive renal tubular disorder characterized by low molecular weight proteinuria, hypercalciuria and nephrocalcinosis. The disorder has been observed in over 60 patients and has a familial predisposition. Mutations of a renal chloride channel gene, CLCN5, have been reported in four such families, and we have undertaken studies in additional patients from 10 unrelated, non-consanguineous Japanese families to further characterize such CLCN5 mutations and to ascertain their prevalence. CLCN5 abnormalities we identified in 7 of the 10 unrelated patients and consisted of 5 mutations (2 nonsense, 1 frameshift and 2 missense), 1 deletion and 1 silent polymorphism. A clustering of these mutations in CLCN5 exons 8 and 10 was observed. Over 80% of the CLCN5 mutations could be readily detected by single stranded conformational polymorphism (SSCP) analysis, thereby providing a useful mutation screening method. Our results, which indicate that over 70% of Japanese patients with this renal tubulopathy have CLCN5 mutations, will help in the genetic and clinical evaluation of children at risk from this disorder.","container-title":"Kidney International","DOI":"10.1038/ki.1997.412","ISSN":"0085-2538","issue":"4","journalAbbreviation":"Kidney Int.","language":"eng","note":"PMID: 9328929","page":"911-916","source":"PubMed","title":"Mutations of CLCN5 in Japanese children with idiopathic low molecular weight proteinuria, hypercalciuria and nephrocalcinosis","volume":"52","author":[{"family":"Akuta","given":"N."},{"family":"Lloyd","given":"S. E."},{"family":"Igarashi","given":"T."},{"family":"Shiraga","given":"H."},{"family":"Matsuyama","given":"T."},{"family":"Yokoro","given":"S."},{"family":"Cox","given":"J. P."},{"family":"Thakker","given":"R. V."}],"issued":{"date-parts":[["1997",10]]}}}],"schema":"https://github.com/citation-style-language/schema/raw/master/csl-citation.json"} </w:instrText>
            </w:r>
            <w:r w:rsidRPr="00BC0897">
              <w:rPr>
                <w:rFonts w:ascii="Times New Roman" w:hAnsi="Times New Roman" w:cs="Times New Roman"/>
                <w:sz w:val="20"/>
                <w:szCs w:val="20"/>
                <w:lang w:val="en-US"/>
              </w:rPr>
              <w:fldChar w:fldCharType="separate"/>
            </w:r>
            <w:r w:rsidR="000F21AB" w:rsidRPr="00BC0897">
              <w:rPr>
                <w:rFonts w:ascii="Times New Roman" w:hAnsi="Times New Roman" w:cs="Times New Roman"/>
                <w:sz w:val="20"/>
                <w:szCs w:val="20"/>
              </w:rPr>
              <w:t>(Akuta et al. 1997)</w:t>
            </w:r>
            <w:r w:rsidRPr="00BC0897">
              <w:rPr>
                <w:rFonts w:ascii="Times New Roman" w:hAnsi="Times New Roman" w:cs="Times New Roman"/>
                <w:sz w:val="20"/>
                <w:szCs w:val="20"/>
                <w:lang w:val="en-US"/>
              </w:rPr>
              <w:fldChar w:fldCharType="end"/>
            </w:r>
          </w:p>
        </w:tc>
        <w:tc>
          <w:tcPr>
            <w:tcW w:w="1134" w:type="dxa"/>
            <w:vAlign w:val="center"/>
            <w:hideMark/>
          </w:tcPr>
          <w:p w:rsidR="00646A25" w:rsidRPr="00BC0897" w:rsidRDefault="00646A25" w:rsidP="00A44008">
            <w:pPr>
              <w:spacing w:after="0"/>
              <w:jc w:val="center"/>
              <w:rPr>
                <w:rFonts w:ascii="Times New Roman" w:hAnsi="Times New Roman" w:cs="Times New Roman"/>
                <w:b/>
                <w:sz w:val="20"/>
                <w:szCs w:val="20"/>
                <w:lang w:val="en-US"/>
              </w:rPr>
            </w:pPr>
            <w:r w:rsidRPr="00BC0897">
              <w:rPr>
                <w:rFonts w:ascii="Times New Roman" w:hAnsi="Times New Roman" w:cs="Times New Roman"/>
                <w:sz w:val="20"/>
                <w:szCs w:val="20"/>
                <w:lang w:val="en-US"/>
              </w:rPr>
              <w:fldChar w:fldCharType="begin"/>
            </w:r>
            <w:r w:rsidR="000F21AB" w:rsidRPr="00BC0897">
              <w:rPr>
                <w:rFonts w:ascii="Times New Roman" w:hAnsi="Times New Roman" w:cs="Times New Roman"/>
                <w:sz w:val="20"/>
                <w:szCs w:val="20"/>
                <w:lang w:val="en-US"/>
              </w:rPr>
              <w:instrText xml:space="preserve"> ADDIN ZOTERO_ITEM CSL_CITATION {"citationID":"zJq9d9SS","properties":{"formattedCitation":"(Nakazato et al. 1997)","plainCitation":"(Nakazato et al. 1997)","noteIndex":0},"citationItems":[{"id":746,"uris":["http://zotero.org/users/local/jkkvYBSC/items/HZDDFJUG"],"uri":["http://zotero.org/users/local/jkkvYBSC/items/HZDDFJUG"],"itemData":{"id":746,"type":"article-journal","abstract":"Familial idiopathic low-molecular-weight proteinuria (FILMWP) is a renal proximal tubulopathy that occurs predominantly in males. FILMWP is characterized by mild proteinuria consisting of low-molecular-weight proteinuria, aminoaciduria and relatively conserved renal function, but without rickets. To determine whether FILMWP is related to the CLCN5 gene, which is responsible for Dent's disease and two related disorders, we analyzed the CLCN5 gene from four Japanese families with FILMWP. We identified two novel mutations: one was a single base insertion at codon 520 serine in exon 10 and the other was a single base deletion at codon 403 tyrosine in exon 8. These mutations caused a shift in the reading frame, resulting in synthesis of truncated CLC5 proteins that lacked 220 (29%) and 314 (42%) amino acids, respectively. These mutations were demonstrated to cosegregate with the disease in two families, respectively. We conclude that the CLCN5 gene is responsible for this proximal renal tubulopathy in some Japanese families and that FILMWP is possibly a variant of Dent's disease.","container-title":"Kidney International","DOI":"10.1038/ki.1997.410","ISSN":"0085-2538","issue":"4","journalAbbreviation":"Kidney Int.","language":"eng","note":"PMID: 9328927","page":"895-900","source":"PubMed","title":"Mutations in the CLCN5 gene in Japanese patients with familial idiopathic low-molecular-weight proteinuria","volume":"52","author":[{"family":"Nakazato","given":"H."},{"family":"Hattori","given":"S."},{"family":"Furuse","given":"A."},{"family":"Kawano","given":"T."},{"family":"Karashima","given":"S."},{"family":"Tsuruta","given":"M."},{"family":"Yoshimuta","given":"J."},{"family":"Endo","given":"F."},{"family":"Matsuda","given":"I."}],"issued":{"date-parts":[["1997",10]]}}}],"schema":"https://github.com/citation-style-language/schema/raw/master/csl-citation.json"} </w:instrText>
            </w:r>
            <w:r w:rsidRPr="00BC0897">
              <w:rPr>
                <w:rFonts w:ascii="Times New Roman" w:hAnsi="Times New Roman" w:cs="Times New Roman"/>
                <w:sz w:val="20"/>
                <w:szCs w:val="20"/>
                <w:lang w:val="en-US"/>
              </w:rPr>
              <w:fldChar w:fldCharType="separate"/>
            </w:r>
            <w:r w:rsidR="000F21AB" w:rsidRPr="00BC0897">
              <w:rPr>
                <w:rFonts w:ascii="Times New Roman" w:hAnsi="Times New Roman" w:cs="Times New Roman"/>
                <w:sz w:val="20"/>
                <w:szCs w:val="20"/>
              </w:rPr>
              <w:t>(Nakazato et al. 1997)</w:t>
            </w:r>
            <w:r w:rsidRPr="00BC0897">
              <w:rPr>
                <w:rFonts w:ascii="Times New Roman" w:hAnsi="Times New Roman" w:cs="Times New Roman"/>
                <w:sz w:val="20"/>
                <w:szCs w:val="20"/>
                <w:lang w:val="en-US"/>
              </w:rPr>
              <w:fldChar w:fldCharType="end"/>
            </w:r>
          </w:p>
        </w:tc>
        <w:tc>
          <w:tcPr>
            <w:tcW w:w="1134" w:type="dxa"/>
            <w:vAlign w:val="center"/>
            <w:hideMark/>
          </w:tcPr>
          <w:p w:rsidR="00646A25" w:rsidRPr="00BC0897" w:rsidRDefault="00646A25" w:rsidP="00A44008">
            <w:pPr>
              <w:spacing w:after="0"/>
              <w:jc w:val="center"/>
              <w:rPr>
                <w:rFonts w:ascii="Times New Roman" w:hAnsi="Times New Roman" w:cs="Times New Roman"/>
                <w:b/>
                <w:sz w:val="20"/>
                <w:szCs w:val="20"/>
                <w:lang w:val="en-US"/>
              </w:rPr>
            </w:pPr>
            <w:r w:rsidRPr="00BC0897">
              <w:rPr>
                <w:rFonts w:ascii="Times New Roman" w:hAnsi="Times New Roman" w:cs="Times New Roman"/>
                <w:sz w:val="20"/>
                <w:szCs w:val="20"/>
                <w:lang w:val="en-US"/>
              </w:rPr>
              <w:fldChar w:fldCharType="begin"/>
            </w:r>
            <w:r w:rsidR="000F21AB" w:rsidRPr="00BC0897">
              <w:rPr>
                <w:rFonts w:ascii="Times New Roman" w:hAnsi="Times New Roman" w:cs="Times New Roman"/>
                <w:sz w:val="20"/>
                <w:szCs w:val="20"/>
                <w:lang w:val="en-US"/>
              </w:rPr>
              <w:instrText xml:space="preserve"> ADDIN ZOTERO_ITEM CSL_CITATION {"citationID":"YlSB5JbX","properties":{"formattedCitation":"(Akuta et al. 1997)","plainCitation":"(Akuta et al. 1997)","noteIndex":0},"citationItems":[{"id":1587,"uris":["http://zotero.org/users/local/jkkvYBSC/items/MH65PK2I"],"uri":["http://zotero.org/users/local/jkkvYBSC/items/MH65PK2I"],"itemData":{"id":1587,"type":"article-journal","abstract":"The annual urinary screening of Japanese children above three years of age has identified a progressive renal tubular disorder characterized by low molecular weight proteinuria, hypercalciuria and nephrocalcinosis. The disorder has been observed in over 60 patients and has a familial predisposition. Mutations of a renal chloride channel gene, CLCN5, have been reported in four such families, and we have undertaken studies in additional patients from 10 unrelated, non-consanguineous Japanese families to further characterize such CLCN5 mutations and to ascertain their prevalence. CLCN5 abnormalities we identified in 7 of the 10 unrelated patients and consisted of 5 mutations (2 nonsense, 1 frameshift and 2 missense), 1 deletion and 1 silent polymorphism. A clustering of these mutations in CLCN5 exons 8 and 10 was observed. Over 80% of the CLCN5 mutations could be readily detected by single stranded conformational polymorphism (SSCP) analysis, thereby providing a useful mutation screening method. Our results, which indicate that over 70% of Japanese patients with this renal tubulopathy have CLCN5 mutations, will help in the genetic and clinical evaluation of children at risk from this disorder.","container-title":"Kidney International","DOI":"10.1038/ki.1997.412","ISSN":"0085-2538","issue":"4","journalAbbreviation":"Kidney Int.","language":"eng","note":"PMID: 9328929","page":"911-916","source":"PubMed","title":"Mutations of CLCN5 in Japanese children with idiopathic low molecular weight proteinuria, hypercalciuria and nephrocalcinosis","volume":"52","author":[{"family":"Akuta","given":"N."},{"family":"Lloyd","given":"S. E."},{"family":"Igarashi","given":"T."},{"family":"Shiraga","given":"H."},{"family":"Matsuyama","given":"T."},{"family":"Yokoro","given":"S."},{"family":"Cox","given":"J. P."},{"family":"Thakker","given":"R. V."}],"issued":{"date-parts":[["1997",10]]}}}],"schema":"https://github.com/citation-style-language/schema/raw/master/csl-citation.json"} </w:instrText>
            </w:r>
            <w:r w:rsidRPr="00BC0897">
              <w:rPr>
                <w:rFonts w:ascii="Times New Roman" w:hAnsi="Times New Roman" w:cs="Times New Roman"/>
                <w:sz w:val="20"/>
                <w:szCs w:val="20"/>
                <w:lang w:val="en-US"/>
              </w:rPr>
              <w:fldChar w:fldCharType="separate"/>
            </w:r>
            <w:r w:rsidR="000F21AB" w:rsidRPr="00BC0897">
              <w:rPr>
                <w:rFonts w:ascii="Times New Roman" w:hAnsi="Times New Roman" w:cs="Times New Roman"/>
                <w:sz w:val="20"/>
                <w:szCs w:val="20"/>
              </w:rPr>
              <w:t>(Akuta et al. 1997)</w:t>
            </w:r>
            <w:r w:rsidRPr="00BC0897">
              <w:rPr>
                <w:rFonts w:ascii="Times New Roman" w:hAnsi="Times New Roman" w:cs="Times New Roman"/>
                <w:sz w:val="20"/>
                <w:szCs w:val="20"/>
                <w:lang w:val="en-US"/>
              </w:rPr>
              <w:fldChar w:fldCharType="end"/>
            </w:r>
          </w:p>
        </w:tc>
        <w:tc>
          <w:tcPr>
            <w:tcW w:w="1134" w:type="dxa"/>
            <w:vAlign w:val="center"/>
            <w:hideMark/>
          </w:tcPr>
          <w:p w:rsidR="00646A25" w:rsidRPr="00BC0897" w:rsidRDefault="00646A25"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00040F98" w:rsidRPr="00BC0897">
              <w:rPr>
                <w:rFonts w:ascii="Times New Roman" w:hAnsi="Times New Roman" w:cs="Times New Roman"/>
                <w:b/>
                <w:sz w:val="20"/>
                <w:szCs w:val="20"/>
                <w:lang w:val="en-US"/>
              </w:rPr>
              <w:instrText xml:space="preserve"> ADDIN ZOTERO_ITEM CSL_CITATION {"citationID":"xOhSl5kM","properties":{"formattedCitation":"(Hoopes et al. 1998)","plainCitation":"(Hoopes et al. 1998)","noteIndex":0},"citationItems":[{"id":1446,"uris":["http://zotero.org/users/local/jkkvYBSC/items/55XM9F4V"],"uri":["http://zotero.org/users/local/jkkvYBSC/items/55XM9F4V"],"itemData":{"id":1446,"type":"article-journal","abstract":"BACKGROUND: X-linked nephrolithiasis, or Dent's disease, encompasses several clinical syndromes of low molecular weight (LMW) proteinuria, hypercalciuria, nephrocalcinosis, nephrolithiasis, and renal failure, and is associated with mutations in the CLCN5 gene encoding a kidney-specific voltage-gated chloride channel. Some patients from Europe have rickets, and all symptomatic patients confirmed by mutation analysis have been male.\nMETHODS: We analyzed the CLCN5 DNA sequence in six new families with this disease.\nRESULTS: In three probands, a single-base substitution yielded a nonsense triplet at codons 28, 34, and 343, respectively, and in two families, one of which was Hispanic, we found single-base deletions at codons 40 and 44, leading to premature termination of translation. In the sixth family, a single-base change from C to T predicted substitution of leucine for serine at codon 244, previously reported in two European families with prominent rickets, though this patient of Ashkenazi origin did not have rickets. Each of these mutations was confirmed by restriction endonuclease analysis, or repeat sequencing and CFLP. The R34X mutation occurred in a Canadian infant with severe rickets. The family with the R28X nonsense mutation included one woman with recurrent kidney stones and another woman with glomerular sclerosis. In another family, a woman heterozygous for the W343X mutation also had nephrolithiasis.\nCONCLUSIONS: These studies expand the range of mutations identified in this disease, and broaden the phenotypic range to include clinically affected women and the first North American case with severe rickets.","container-title":"Kidney International","DOI":"10.1046/j.1523-1755.1998.00061.x","ISSN":"0085-2538","issue":"3","journalAbbreviation":"Kidney Int.","language":"eng","note":"PMID: 9734595","page":"698-705","source":"PubMed","title":"CLCN5 chloride-channel mutations in six new North American families with X-linked nephrolithiasis","volume":"54","author":[{"family":"Hoopes","given":"R. R."},{"family":"Hueber","given":"P. A."},{"family":"Reid","given":"R. J."},{"family":"Braden","given":"G. L."},{"family":"Goodyer","given":"P. R."},{"family":"Melnyk","given":"A. R."},{"family":"Midgley","given":"J. P."},{"family":"Moel","given":"D. I."},{"family":"Neu","given":"A. M."},{"family":"VanWhy","given":"S. K."},{"family":"Scheinman","given":"S. J."}],"issued":{"date-parts":[["1998",9]]}}}],"schema":"https://github.com/citation-style-language/schema/raw/master/csl-citation.json"} </w:instrText>
            </w:r>
            <w:r w:rsidRPr="00BC0897">
              <w:rPr>
                <w:rFonts w:ascii="Times New Roman" w:hAnsi="Times New Roman" w:cs="Times New Roman"/>
                <w:b/>
                <w:sz w:val="20"/>
                <w:szCs w:val="20"/>
                <w:lang w:val="en-US"/>
              </w:rPr>
              <w:fldChar w:fldCharType="separate"/>
            </w:r>
            <w:r w:rsidR="00040F98" w:rsidRPr="00BC0897">
              <w:rPr>
                <w:rFonts w:ascii="Times New Roman" w:hAnsi="Times New Roman" w:cs="Times New Roman"/>
                <w:sz w:val="20"/>
              </w:rPr>
              <w:t>(Hoopes et al. 1998)</w:t>
            </w:r>
            <w:r w:rsidRPr="00BC0897">
              <w:rPr>
                <w:rFonts w:ascii="Times New Roman" w:hAnsi="Times New Roman" w:cs="Times New Roman"/>
                <w:b/>
                <w:sz w:val="20"/>
                <w:szCs w:val="20"/>
                <w:lang w:val="en-US"/>
              </w:rPr>
              <w:fldChar w:fldCharType="end"/>
            </w:r>
          </w:p>
        </w:tc>
        <w:tc>
          <w:tcPr>
            <w:tcW w:w="1134" w:type="dxa"/>
            <w:vAlign w:val="center"/>
            <w:hideMark/>
          </w:tcPr>
          <w:p w:rsidR="00646A25" w:rsidRPr="00BC0897" w:rsidRDefault="00646A25"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000F21AB" w:rsidRPr="00BC0897">
              <w:rPr>
                <w:rFonts w:ascii="Times New Roman" w:hAnsi="Times New Roman" w:cs="Times New Roman"/>
                <w:b/>
                <w:sz w:val="20"/>
                <w:szCs w:val="20"/>
                <w:lang w:val="en-US"/>
              </w:rPr>
              <w:instrText xml:space="preserve"> ADDIN ZOTERO_ITEM CSL_CITATION {"citationID":"4eXQiRKk","properties":{"formattedCitation":"(Igarashi et al. 1998)","plainCitation":"(Igarashi et al. 1998)","noteIndex":0},"citationItems":[{"id":332,"uris":["http://zotero.org/users/local/jkkvYBSC/items/CP8UYL58"],"uri":["http://zotero.org/users/local/jkkvYBSC/items/CP8UYL58"],"itemData":{"id":332,"type":"article-journal","abstract":"BACKGROUND: The annual urinary screening of Japanese children above three years of age has identified a progressive renal tubular disorder characterized by low molecular weight proteinuria, hypercalciuria and nephrocalcinosis, and this represents a variant of Dent's disease. Hitherto, 12 mutations of the X-linked renal specific chloride channel, CLCN5, have been reported in the Dent'sJapan variant. To further identify such CLCN5 mutations and to define the structure-function relationships of this channel, we have investigated five unrelated, non-consanguinous Japanese families with this disorder.\nMETHODS: Leukocyte DNA from probands was used with CLCN5 primers for PCR amplification of the coding region, and the DNA sequences of the products determined. Functional studies were performed by expressing the mutants in Xenopus oocytes.\nRESULTS: Five CLCN5 mutations consisting of two nonsense (R648X and R704X), two missense (S270R and L278F) and one acceptor splice site mutation (ag--&gt;cg) in intron 4 were identified. The missense and splice site mutations represent novel abnormalities. Heterologous expression in Xenopus oocytes of wild-type and the missense mutants demonstrated that the mutations, which were translated, either abolished or markedly reduced chloride conductance.\nCONCLUSIONS: These results expand the spectrum of CLCN5 mutations associated with this renal disorder and provide insight into possible structure-function relationships. For example, both the missense mutations are located within a short putative loop between two transmembrane domains, and our results suggest that this region may have an important functional role in the regulation of channel activity.","container-title":"Kidney International","DOI":"10.1046/j.1523-1755.1998.00203.x","ISSN":"0085-2538","issue":"6","journalAbbreviation":"Kidney Int.","language":"eng","note":"PMID: 9853249","page":"1850-1856","source":"PubMed","title":"Functional characterization of renal chloride channel, CLCN5, mutations associated with Dent'sJapan disease","volume":"54","author":[{"family":"Igarashi","given":"T."},{"family":"Günther","given":"W."},{"family":"Sekine","given":"T."},{"family":"Inatomi","given":"J."},{"family":"Shiraga","given":"H."},{"family":"Takahashi","given":"S."},{"family":"Suzuki","given":"J."},{"family":"Tsuru","given":"N."},{"family":"Yanagihara","given":"T."},{"family":"Shimazu","given":"M."},{"family":"Jentsch","given":"T. J."},{"family":"Thakker","given":"R. V."}],"issued":{"date-parts":[["1998",12]]}}}],"schema":"https://github.com/citation-style-language/schema/raw/master/csl-citation.json"} </w:instrText>
            </w:r>
            <w:r w:rsidRPr="00BC0897">
              <w:rPr>
                <w:rFonts w:ascii="Times New Roman" w:hAnsi="Times New Roman" w:cs="Times New Roman"/>
                <w:b/>
                <w:sz w:val="20"/>
                <w:szCs w:val="20"/>
                <w:lang w:val="en-US"/>
              </w:rPr>
              <w:fldChar w:fldCharType="separate"/>
            </w:r>
            <w:r w:rsidR="000F21AB" w:rsidRPr="00BC0897">
              <w:rPr>
                <w:rFonts w:ascii="Times New Roman" w:hAnsi="Times New Roman" w:cs="Times New Roman"/>
                <w:sz w:val="20"/>
                <w:szCs w:val="20"/>
              </w:rPr>
              <w:t>(Igarashi et al. 1998)</w:t>
            </w:r>
            <w:r w:rsidRPr="00BC0897">
              <w:rPr>
                <w:rFonts w:ascii="Times New Roman" w:hAnsi="Times New Roman" w:cs="Times New Roman"/>
                <w:b/>
                <w:sz w:val="20"/>
                <w:szCs w:val="20"/>
                <w:lang w:val="en-US"/>
              </w:rPr>
              <w:fldChar w:fldCharType="end"/>
            </w:r>
          </w:p>
        </w:tc>
        <w:tc>
          <w:tcPr>
            <w:tcW w:w="1134" w:type="dxa"/>
            <w:vAlign w:val="center"/>
            <w:hideMark/>
          </w:tcPr>
          <w:p w:rsidR="00646A25" w:rsidRPr="00BC0897" w:rsidRDefault="00646A25"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000F21AB" w:rsidRPr="00BC0897">
              <w:rPr>
                <w:rFonts w:ascii="Times New Roman" w:hAnsi="Times New Roman" w:cs="Times New Roman"/>
                <w:b/>
                <w:sz w:val="20"/>
                <w:szCs w:val="20"/>
                <w:lang w:val="en-US"/>
              </w:rPr>
              <w:instrText xml:space="preserve"> ADDIN ZOTERO_ITEM CSL_CITATION {"citationID":"303hsbgE","properties":{"formattedCitation":"(Kelleher et al. 1998)","plainCitation":"(Kelleher et al. 1998)","noteIndex":0},"citationItems":[{"id":1596,"uris":["http://zotero.org/users/local/jkkvYBSC/items/9T6TQQNL"],"uri":["http://zotero.org/users/local/jkkvYBSC/items/9T6TQQNL"],"itemData":{"id":1596,"type":"article-journal","abstract":"This study demonstrates that a missense mutation in the voltage gated chloride channel, CLCN5, can cause X-linked renal failure without X-linked recessive hypophosphatemic rickets. A large kindred (Family A), initially evaluated in 1974 with an inherited syndrome characterized by hypercalciuria, nephrocalcinosis, low molecular weight proteinuria, renal tubular acidosis, and renal failure, was clinically re-evaluated and genetically characterized. Medical histories, physical examinations, blood chemistries, and 24-hour urine collections were obtained from 48 family members. Both female and male family members exhibited hypercalciuria, nephrolithiasis, and low molecular weight proteinuria. However, only men developed renal insufficiency, consistent with an X-linked recessive gene defect. Genetic linkage located the disease locus on the proximal short arm of the X chromosome (Xp11) where a voltage gated chloride channel gene, CLCN5, had previously been mapped. DNA sequence of the CLCN5 gene demonstrated a missense mutation (Ser244Leu) in affected family members. The same missense mutation has previously been shown to cause X-linked recessive hypophosphatemic rickets. No affected member of Family A had evidence of chronic hypophosphatemia, clinically significant rickets, or osteomalacia. We hypothesize that genetic background, environment, diet, or an unidentified modifying gene may account for the differing phenotypes resulting from this shared gene defect.","container-title":"Kidney International","DOI":"10.1046/j.1523-1755.1998.00752.x","ISSN":"0085-2538","issue":"1","journalAbbreviation":"Kidney Int.","language":"eng","note":"PMID: 9452997","page":"31-37","source":"PubMed","title":"CLCN5 mutation Ser244Leu is associated with X-linked renal failure without X-linked recessive hypophosphatemic rickets","volume":"53","author":[{"family":"Kelleher","given":"C. L."},{"family":"Buckalew","given":"V. M."},{"family":"Frederickson","given":"E. D."},{"family":"Rhodes","given":"D. J."},{"family":"Conner","given":"D. A."},{"family":"Seidman","given":"J. G."},{"family":"Seidman","given":"C. E."}],"issued":{"date-parts":[["1998",1]]}}}],"schema":"https://github.com/citation-style-language/schema/raw/master/csl-citation.json"} </w:instrText>
            </w:r>
            <w:r w:rsidRPr="00BC0897">
              <w:rPr>
                <w:rFonts w:ascii="Times New Roman" w:hAnsi="Times New Roman" w:cs="Times New Roman"/>
                <w:b/>
                <w:sz w:val="20"/>
                <w:szCs w:val="20"/>
                <w:lang w:val="en-US"/>
              </w:rPr>
              <w:fldChar w:fldCharType="separate"/>
            </w:r>
            <w:r w:rsidR="000F21AB" w:rsidRPr="00BC0897">
              <w:rPr>
                <w:rFonts w:ascii="Times New Roman" w:hAnsi="Times New Roman" w:cs="Times New Roman"/>
                <w:sz w:val="20"/>
                <w:szCs w:val="20"/>
              </w:rPr>
              <w:t>(Kelleher et al. 1998)</w:t>
            </w:r>
            <w:r w:rsidRPr="00BC0897">
              <w:rPr>
                <w:rFonts w:ascii="Times New Roman" w:hAnsi="Times New Roman" w:cs="Times New Roman"/>
                <w:b/>
                <w:sz w:val="20"/>
                <w:szCs w:val="20"/>
                <w:lang w:val="en-US"/>
              </w:rPr>
              <w:fldChar w:fldCharType="end"/>
            </w:r>
          </w:p>
        </w:tc>
        <w:tc>
          <w:tcPr>
            <w:tcW w:w="1134" w:type="dxa"/>
            <w:vAlign w:val="center"/>
            <w:hideMark/>
          </w:tcPr>
          <w:p w:rsidR="00646A25" w:rsidRPr="00BC0897" w:rsidRDefault="00646A25"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00040F98" w:rsidRPr="00BC0897">
              <w:rPr>
                <w:rFonts w:ascii="Times New Roman" w:hAnsi="Times New Roman" w:cs="Times New Roman"/>
                <w:b/>
                <w:sz w:val="20"/>
                <w:szCs w:val="20"/>
                <w:lang w:val="en-US"/>
              </w:rPr>
              <w:instrText xml:space="preserve"> ADDIN ZOTERO_ITEM CSL_CITATION {"citationID":"TSxa7mZl","properties":{"formattedCitation":"(Langlois et al. 1998)","plainCitation":"(Langlois et al. 1998)","noteIndex":0},"citationItems":[{"id":"p7ATYret/tnFQdrXH","uris":["http://zotero.org/users/local/jkkvYBSC/items/THQB786W"],"uri":["http://zotero.org/users/local/jkkvYBSC/items/THQB786W"],"itemData":{"id":"p7ATYret/tnFQdrXH","type":"article-journal","abstract":"X-linked recessive nephrolithiasis (XRN) is a rare hereditary form of progressive renal failure characterized by (1) proximal tubular dysfunction and low molecular weight proteinuria; (2) hypercalciuria with nephrocalcinosis and nephrolithiasis. Because the clinical features are non-specific and variable, affected families in different parts of the world were initially thought to have several distinct syndromes. However, positional cloning of the relevant gene (CLCN5) demonstrated that these families have, in common, mutations affecting a chloride channel expressed throughout the renal tubule. To expand the description of early clinical and pathological manifestations of XRN, we describe three patients diagnosed in the 1st decade of life. Renal tubular dysfunction may be evident even in the neonatal period, hypophosphatemic rickets may develop in the first years of life, and nephrocalcinosis (but not nephrolithiasis) with glomerulosclerosis are consistent features in childhood. One of our patients is indistinguishable from the others on clinical grounds, yet no mutations of the coding regions of the CLCN5 gene were found, raising the possibility of genetic heterogeneity in the XRN syndrome.","container-title":"Pediatric Nephrology (Berlin, Germany)","DOI":"10.1007/s004670050516","ISSN":"0931-041X","issue":"8","journalAbbreviation":"Pediatr. Nephrol.","language":"eng","note":"PMID: 9811383","page":"625-629","source":"PubMed","title":"Clinical features of X-linked nephrolithiasis in childhood","volume":"12","author":[{"family":"Langlois","given":"V."},{"family":"Bernard","given":"C."},{"family":"Scheinman","given":"S. J."},{"family":"Thakker","given":"R. V."},{"family":"Cox","given":"J. P."},{"family":"Goodyer","given":"P. R."}],"issued":{"date-parts":[["1998",10]]}}}],"schema":"https://github.com/citation-style-language/schema/raw/master/csl-citation.json"} </w:instrText>
            </w:r>
            <w:r w:rsidRPr="00BC0897">
              <w:rPr>
                <w:rFonts w:ascii="Times New Roman" w:hAnsi="Times New Roman" w:cs="Times New Roman"/>
                <w:b/>
                <w:sz w:val="20"/>
                <w:szCs w:val="20"/>
                <w:lang w:val="en-US"/>
              </w:rPr>
              <w:fldChar w:fldCharType="separate"/>
            </w:r>
            <w:r w:rsidR="00040F98" w:rsidRPr="00BC0897">
              <w:rPr>
                <w:rFonts w:ascii="Times New Roman" w:hAnsi="Times New Roman" w:cs="Times New Roman"/>
                <w:sz w:val="20"/>
              </w:rPr>
              <w:t>(Langlois et al. 1998)</w:t>
            </w:r>
            <w:r w:rsidRPr="00BC0897">
              <w:rPr>
                <w:rFonts w:ascii="Times New Roman" w:hAnsi="Times New Roman" w:cs="Times New Roman"/>
                <w:b/>
                <w:sz w:val="20"/>
                <w:szCs w:val="20"/>
                <w:lang w:val="en-US"/>
              </w:rPr>
              <w:fldChar w:fldCharType="end"/>
            </w:r>
          </w:p>
        </w:tc>
        <w:tc>
          <w:tcPr>
            <w:tcW w:w="1134" w:type="dxa"/>
            <w:vAlign w:val="center"/>
            <w:hideMark/>
          </w:tcPr>
          <w:p w:rsidR="00646A25" w:rsidRPr="00BC0897" w:rsidRDefault="00646A25" w:rsidP="00A44008">
            <w:pPr>
              <w:spacing w:after="0"/>
              <w:jc w:val="center"/>
              <w:rPr>
                <w:rFonts w:ascii="Times New Roman" w:hAnsi="Times New Roman" w:cs="Times New Roman"/>
                <w:b/>
                <w:sz w:val="20"/>
                <w:szCs w:val="20"/>
              </w:rPr>
            </w:pPr>
            <w:r w:rsidRPr="00BC0897">
              <w:rPr>
                <w:rFonts w:ascii="Times New Roman" w:hAnsi="Times New Roman" w:cs="Times New Roman"/>
                <w:b/>
                <w:sz w:val="20"/>
                <w:szCs w:val="20"/>
                <w:lang w:val="en-US"/>
              </w:rPr>
              <w:fldChar w:fldCharType="begin"/>
            </w:r>
            <w:r w:rsidR="00040F98" w:rsidRPr="00BC0897">
              <w:rPr>
                <w:rFonts w:ascii="Times New Roman" w:hAnsi="Times New Roman" w:cs="Times New Roman"/>
                <w:b/>
                <w:sz w:val="20"/>
                <w:szCs w:val="20"/>
              </w:rPr>
              <w:instrText xml:space="preserve"> ADDIN ZOTERO_ITEM CSL_CITATION {"citationID":"hi4Vj3uY","properties":{"formattedCitation":"(Morimoto et al. 1998)","plainCitation":"(Morimoto et al. 1998)","noteIndex":0},"citationItems":[{"id":"p7ATYret/4B7PQw2N","uris":["http://zotero.org/users/local/jkkvYBSC/items/EEWXQKMZ"],"uri":["http://zotero.org/users/local/jkkvYBSC/items/EEWXQKMZ"],"itemData":{"id":"p7ATYret/4B7PQw2N","type":"article-journal","abstract":"Mutations in the CLCN5 gene have been demonstrated in three disorders of hypercalciuric nephrolithiasis, i.e., Dent's disease, X-linked recessive nephrolithiasis, and X-linked recessive hypophosphatemic rickets. Recently, a number of Japanese children with low molecular weight proteinuria (LMWP) showing symptoms similar to those shown by patients with Dent's disease in British families have also been reported to have mutations in the CLCN5 gene. The present study examines five unrelated Japanese families with LMWP, two of which lacked any signs other than LMWP, and three of which had several signs other than LMWP, i.e., hypercalciuria, aminoaciduria, hypophosphatemia, and rickets. One nonsense (E118X) and one missense (W22G) mutation were found in three patients in the two families having only LMWP. One genomic deletion including exons 5 to 8 in the CLCN5 gene was found in a patient with hypophosphatemic rickets, and a nonsense mutation (R347X) was found in one patient with LMWP and slight hypercalciuria. No mutations of the exons and exon-intron boundaries in the CLCN5 gene were found in one patient with LMWP, aminoaciduria, and hypokalemia. In addition to the predicted loss of chloride channel function in these nonsense and deletion mutations, the loss of function in the missense mutation W22G was confirmed in the Xenopus oocyte expression system. These results clarified four novel mutations in the CLCN5 genes, and additionally suggested that the loss-of-function mutation of the CLCN5 does not necessarily lead to hypercalciuria and nephrocalcinosis in the early stage of the disease, and that LMWP is an early and essential manifestation of disorders of the CLC-5 chloride channel.","container-title":"Journal of the American Society of Nephrology: JASN","ISSN":"1046-6673","issue":"5","journalAbbreviation":"J. Am. Soc. Nephrol.","language":"eng","note":"PMID: 9596078","page":"811-818","source":"PubMed","title":"Mutations in CLCN5 chloride channel in Japanese patients with low molecular weight proteinuria","volume":"9","author":[{"family":"Morimoto","given":"T."},{"family":"Uchida","given":"S."},{"family":"Sakamoto","given":"H."},{"family":"Kondo","given":"Y."},{"family":"Hanamizu","given":"H."},{"family":"Fukui","given":"M."},{"family":"Tomino","given":"Y."},{"family":"Nagano","given":"N."},{"family":"Sasaki","given":"S."},{"family":"Marumo","given":"F."}],"issued":{"date-parts":[["1998",5]]}}}],"schema":"https://github.com/citation-style-language/schema/raw/master/csl-citation.json"} </w:instrText>
            </w:r>
            <w:r w:rsidRPr="00BC0897">
              <w:rPr>
                <w:rFonts w:ascii="Times New Roman" w:hAnsi="Times New Roman" w:cs="Times New Roman"/>
                <w:b/>
                <w:sz w:val="20"/>
                <w:szCs w:val="20"/>
                <w:lang w:val="en-US"/>
              </w:rPr>
              <w:fldChar w:fldCharType="separate"/>
            </w:r>
            <w:r w:rsidR="00040F98" w:rsidRPr="00BC0897">
              <w:rPr>
                <w:rFonts w:ascii="Times New Roman" w:hAnsi="Times New Roman" w:cs="Times New Roman"/>
                <w:sz w:val="20"/>
              </w:rPr>
              <w:t>(Morimoto et al. 1998)</w:t>
            </w:r>
            <w:r w:rsidRPr="00BC0897">
              <w:rPr>
                <w:rFonts w:ascii="Times New Roman" w:hAnsi="Times New Roman" w:cs="Times New Roman"/>
                <w:b/>
                <w:sz w:val="20"/>
                <w:szCs w:val="20"/>
                <w:lang w:val="en-US"/>
              </w:rPr>
              <w:fldChar w:fldCharType="end"/>
            </w:r>
          </w:p>
        </w:tc>
        <w:tc>
          <w:tcPr>
            <w:tcW w:w="1134" w:type="dxa"/>
            <w:vAlign w:val="center"/>
            <w:hideMark/>
          </w:tcPr>
          <w:p w:rsidR="00646A25" w:rsidRPr="00BC0897" w:rsidRDefault="00646A25"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000F21AB" w:rsidRPr="00BC0897">
              <w:rPr>
                <w:rFonts w:ascii="Times New Roman" w:hAnsi="Times New Roman" w:cs="Times New Roman"/>
                <w:b/>
                <w:sz w:val="20"/>
                <w:szCs w:val="20"/>
                <w:lang w:val="en-US"/>
              </w:rPr>
              <w:instrText xml:space="preserve"> ADDIN ZOTERO_ITEM CSL_CITATION {"citationID":"1zZOyuKd","properties":{"formattedCitation":"(Nakazato et al. 1999)","plainCitation":"(Nakazato et al. 1999)","noteIndex":0},"citationItems":[{"id":1598,"uris":["http://zotero.org/users/local/jkkvYBSC/items/4PKYQL9I"],"uri":["http://zotero.org/users/local/jkkvYBSC/items/4PKYQL9I"],"itemData":{"id":1598,"type":"article-journal","abstract":"BACKGROUND: Familial idiopathic low molecular weight proteinuria (FILMWP) is a renal proximal tubulopathy characterized by mild proteinuria consisting of low molecular weight proteinuria and relatively conserved renal function in young patients, but without rickets. Mutations in the renal chloride channel CLCN5 gene have been reported in three disorders of hypercalciuric nephrolithiasis and in FILMWP.\nMETHODS: To assess the relationship between molecular defects and phenotypic variations, we analyzed the CLCN5 gene from three additional Japanese families with FILMWP using single-strand conformation polymorphism and sequencing.\nRESULTS: We identified three mutations: a single base insertion at codon 514; a single base deletion at codon 116; and a nonsense mutation, R704X. The R704X mutation is identical to that found in X-linked recessive nephrolithiasis, but there was no renal failure in our patient. The first two mutations caused a shift in the reading frame, and all introduced a premature stop codon, resulting in synthesis of truncated CLC-5 proteins that lacked 220 (29%), 610 (82%), and 43 (6%) amino acids, respectively. These mutations were demonstrated to cosegregate with the disease in each of the three families.\nCONCLUSIONS: We conclude that the CLCN5 gene is responsible for the renal proximal tubulopathy in many Japanese families and suggest that molecular defects, environmental factors, or other modifying genes may account for the different phenotypes.","container-title":"Kidney International","DOI":"10.1046/j.1523-1755.1999.00231.x","ISSN":"0085-2538","issue":"1","journalAbbreviation":"Kidney Int.","language":"eng","note":"PMID: 9893114","page":"63-70","source":"PubMed","title":"Chloride channel CLCN5 mutations in Japanese children with familial idiopathic low molecular weight proteinuria","volume":"55","author":[{"family":"Nakazato","given":"H."},{"family":"Yoshimuta","given":"J."},{"family":"Karashima","given":"S."},{"family":"Matsumoto","given":"S."},{"family":"Endo","given":"F."},{"family":"Matsuda","given":"I."},{"family":"Hattori","given":"S."}],"issued":{"date-parts":[["1999",1]]}}}],"schema":"https://github.com/citation-style-language/schema/raw/master/csl-citation.json"} </w:instrText>
            </w:r>
            <w:r w:rsidRPr="00BC0897">
              <w:rPr>
                <w:rFonts w:ascii="Times New Roman" w:hAnsi="Times New Roman" w:cs="Times New Roman"/>
                <w:b/>
                <w:sz w:val="20"/>
                <w:szCs w:val="20"/>
                <w:lang w:val="en-US"/>
              </w:rPr>
              <w:fldChar w:fldCharType="separate"/>
            </w:r>
            <w:r w:rsidR="000F21AB" w:rsidRPr="00BC0897">
              <w:rPr>
                <w:rFonts w:ascii="Times New Roman" w:hAnsi="Times New Roman" w:cs="Times New Roman"/>
                <w:sz w:val="20"/>
                <w:szCs w:val="20"/>
              </w:rPr>
              <w:t>(Nakazato et al. 1999)</w:t>
            </w:r>
            <w:r w:rsidRPr="00BC0897">
              <w:rPr>
                <w:rFonts w:ascii="Times New Roman" w:hAnsi="Times New Roman" w:cs="Times New Roman"/>
                <w:b/>
                <w:sz w:val="20"/>
                <w:szCs w:val="20"/>
                <w:lang w:val="en-US"/>
              </w:rPr>
              <w:fldChar w:fldCharType="end"/>
            </w:r>
          </w:p>
        </w:tc>
        <w:tc>
          <w:tcPr>
            <w:tcW w:w="1134" w:type="dxa"/>
            <w:vAlign w:val="center"/>
            <w:hideMark/>
          </w:tcPr>
          <w:p w:rsidR="00646A25" w:rsidRPr="00BC0897" w:rsidRDefault="00646A25"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000F21AB" w:rsidRPr="00BC0897">
              <w:rPr>
                <w:rFonts w:ascii="Times New Roman" w:hAnsi="Times New Roman" w:cs="Times New Roman"/>
                <w:b/>
                <w:sz w:val="20"/>
                <w:szCs w:val="20"/>
                <w:lang w:val="en-US"/>
              </w:rPr>
              <w:instrText xml:space="preserve"> ADDIN ZOTERO_ITEM CSL_CITATION {"citationID":"MnoDYZdJ","properties":{"formattedCitation":"(Cox et al. 1999)","plainCitation":"(Cox et al. 1999)","noteIndex":0},"citationItems":[{"id":1591,"uris":["http://zotero.org/users/local/jkkvYBSC/items/9DRVBDTF"],"uri":["http://zotero.org/users/local/jkkvYBSC/items/9DRVBDTF"],"itemData":{"id":1591,"type":"article-journal","abstract":"Dent's disease is an X-linked renal tubular disorder characterized by low-molecular-weight proteinuria, hypercalciuria, nephrocalcinosis, nephrolithiasis, and renal failure. Patients with Dent's disease may also suffer from rickets and other features of the renal Fanconi Syndrome. Patients may have mutations in the X-linked renal chloride channel gene, CLCN5, which encodes a 746-amino-acid protein with 12-13 transmembrane domains. We have investigated the 11 coding exons of CLCN5 for mutations in eight unrelated patients with Dent's disease. Leukocyte DNA was used for the polymerase chain reaction amplification of CLCN5 and the products analyzed for single-stranded conformational polymorphisms (SSCPs). Abnormal SSCPs were sequenced and revealed eight mutations. These consisted of three nonsense mutations (Arg34Stop, Arg648Stop, Arg704Stop), four deletions involving codons 40, 86, 157, and 241, and one acceptor splice consensus sequence mutation tgcag --&gt; tgaag. The mutations were confirmed either by restriction endonuclease or sequence-specific oligonucleotide hybridization analysis. In addition, an analysis of 110 alleles from 74 unrelated normal individuals demonstrated that the DNA sequence changes were not common polymorphisms. All of the mutations predict truncated chloride channels that are likely to result in a functional loss. Thus, our findings expand the spectrum of CLCN5 mutations associated with Dent's disease and the results will help to elucidate further the functional domains of this novel chloride channel.","container-title":"Journal of Bone and Mineral Research: The Official Journal of the American Society for Bone and Mineral Research","DOI":"10.1359/jbmr.1999.14.9.1536","ISSN":"0884-0431","issue":"9","journalAbbreviation":"J. Bone Miner. Res.","language":"eng","note":"PMID: 10469281","page":"1536-1542","source":"PubMed","title":"Renal chloride channel, CLCN5, mutations in Dent's disease","volume":"14","author":[{"family":"Cox","given":"J. P."},{"family":"Yamamoto","given":"K."},{"family":"Christie","given":"P. T."},{"family":"Wooding","given":"C."},{"family":"Feest","given":"T."},{"family":"Flinter","given":"F. A."},{"family":"Goodyer","given":"P. R."},{"family":"Leumann","given":"E."},{"family":"Neuhaus","given":"T."},{"family":"Reid","given":"C."},{"family":"Williams","given":"P. F."},{"family":"Wrong","given":"O."},{"family":"Thakker","given":"R. V."}],"issued":{"date-parts":[["1999",9]]}}}],"schema":"https://github.com/citation-style-language/schema/raw/master/csl-citation.json"} </w:instrText>
            </w:r>
            <w:r w:rsidRPr="00BC0897">
              <w:rPr>
                <w:rFonts w:ascii="Times New Roman" w:hAnsi="Times New Roman" w:cs="Times New Roman"/>
                <w:b/>
                <w:sz w:val="20"/>
                <w:szCs w:val="20"/>
                <w:lang w:val="en-US"/>
              </w:rPr>
              <w:fldChar w:fldCharType="separate"/>
            </w:r>
            <w:r w:rsidR="000F21AB" w:rsidRPr="00BC0897">
              <w:rPr>
                <w:rFonts w:ascii="Times New Roman" w:hAnsi="Times New Roman" w:cs="Times New Roman"/>
                <w:sz w:val="20"/>
                <w:szCs w:val="20"/>
              </w:rPr>
              <w:t>(Cox et al. 1999)</w:t>
            </w:r>
            <w:r w:rsidRPr="00BC0897">
              <w:rPr>
                <w:rFonts w:ascii="Times New Roman" w:hAnsi="Times New Roman" w:cs="Times New Roman"/>
                <w:b/>
                <w:sz w:val="20"/>
                <w:szCs w:val="20"/>
                <w:lang w:val="en-US"/>
              </w:rPr>
              <w:fldChar w:fldCharType="end"/>
            </w:r>
          </w:p>
        </w:tc>
      </w:tr>
      <w:tr w:rsidR="00646A25" w:rsidRPr="00BC0897" w:rsidTr="00C228AD">
        <w:trPr>
          <w:trHeight w:val="300"/>
        </w:trPr>
        <w:tc>
          <w:tcPr>
            <w:tcW w:w="2235"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n</w:t>
            </w:r>
          </w:p>
        </w:tc>
        <w:tc>
          <w:tcPr>
            <w:tcW w:w="993" w:type="dxa"/>
            <w:vAlign w:val="center"/>
            <w:hideMark/>
          </w:tcPr>
          <w:p w:rsidR="00646A25" w:rsidRPr="00BC0897" w:rsidRDefault="00B86952" w:rsidP="00284980">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7</w:t>
            </w:r>
            <w:r w:rsidR="00284980" w:rsidRPr="00BC0897">
              <w:rPr>
                <w:rFonts w:ascii="Times New Roman" w:hAnsi="Times New Roman" w:cs="Times New Roman"/>
                <w:sz w:val="20"/>
                <w:szCs w:val="20"/>
                <w:lang w:val="en-US"/>
              </w:rPr>
              <w:t>72</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12*</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6*</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10*</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8*</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8*</w:t>
            </w:r>
          </w:p>
        </w:tc>
      </w:tr>
      <w:tr w:rsidR="00646A25" w:rsidRPr="00BC0897" w:rsidTr="00C228AD">
        <w:trPr>
          <w:trHeight w:val="600"/>
        </w:trPr>
        <w:tc>
          <w:tcPr>
            <w:tcW w:w="2235"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Population</w:t>
            </w:r>
          </w:p>
        </w:tc>
        <w:tc>
          <w:tcPr>
            <w:tcW w:w="993"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Japanese</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Japanese</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Japanese</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American</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Japanese</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American</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Canadian</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Japanese</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Japanese</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European</w:t>
            </w:r>
          </w:p>
        </w:tc>
      </w:tr>
      <w:tr w:rsidR="00646A25" w:rsidRPr="00BC0897" w:rsidTr="00284980">
        <w:trPr>
          <w:trHeight w:val="300"/>
        </w:trPr>
        <w:tc>
          <w:tcPr>
            <w:tcW w:w="2235"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Age (years, range)</w:t>
            </w:r>
          </w:p>
        </w:tc>
        <w:tc>
          <w:tcPr>
            <w:tcW w:w="993" w:type="dxa"/>
            <w:shd w:val="clear" w:color="auto" w:fill="auto"/>
            <w:vAlign w:val="center"/>
            <w:hideMark/>
          </w:tcPr>
          <w:p w:rsidR="00646A25" w:rsidRPr="00BC0897" w:rsidRDefault="00284980"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0.2-66</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7-20</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7-7</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3-14</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2-54</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5-45</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2-22</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1.5-6.5</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3-23</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5-6</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2-36</w:t>
            </w:r>
          </w:p>
        </w:tc>
      </w:tr>
      <w:tr w:rsidR="00646A25" w:rsidRPr="00BC0897" w:rsidTr="00B86952">
        <w:trPr>
          <w:trHeight w:val="300"/>
        </w:trPr>
        <w:tc>
          <w:tcPr>
            <w:tcW w:w="2235"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Proteinuria</w:t>
            </w:r>
          </w:p>
        </w:tc>
        <w:tc>
          <w:tcPr>
            <w:tcW w:w="993" w:type="dxa"/>
            <w:shd w:val="clear" w:color="auto" w:fill="auto"/>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136/148</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11/12</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2/2</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6/6</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7/10</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7/8</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5/5</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2/2</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5/5</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3/3</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r>
      <w:tr w:rsidR="00646A25" w:rsidRPr="00BC0897" w:rsidTr="00B86952">
        <w:trPr>
          <w:trHeight w:val="300"/>
        </w:trPr>
        <w:tc>
          <w:tcPr>
            <w:tcW w:w="2235"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Nephrotic range proteinuria</w:t>
            </w:r>
          </w:p>
        </w:tc>
        <w:tc>
          <w:tcPr>
            <w:tcW w:w="993" w:type="dxa"/>
            <w:shd w:val="clear" w:color="auto" w:fill="auto"/>
            <w:vAlign w:val="center"/>
            <w:hideMark/>
          </w:tcPr>
          <w:p w:rsidR="00646A25" w:rsidRPr="00BC0897" w:rsidRDefault="00B86952" w:rsidP="00B86952">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55</w:t>
            </w:r>
            <w:r w:rsidR="00646A25" w:rsidRPr="00BC0897">
              <w:rPr>
                <w:rFonts w:ascii="Times New Roman" w:hAnsi="Times New Roman" w:cs="Times New Roman"/>
                <w:sz w:val="20"/>
                <w:szCs w:val="20"/>
                <w:lang w:val="en-US"/>
              </w:rPr>
              <w:t>/</w:t>
            </w:r>
            <w:r w:rsidRPr="00BC0897">
              <w:rPr>
                <w:rFonts w:ascii="Times New Roman" w:hAnsi="Times New Roman" w:cs="Times New Roman"/>
                <w:sz w:val="20"/>
                <w:szCs w:val="20"/>
                <w:lang w:val="en-US"/>
              </w:rPr>
              <w:t>149</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1/12</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1/2</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0/6</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0/8</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2/5</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0/2</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1/5</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3/3</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r>
      <w:tr w:rsidR="00646A25" w:rsidRPr="00BC0897" w:rsidTr="00C228AD">
        <w:trPr>
          <w:trHeight w:val="300"/>
        </w:trPr>
        <w:tc>
          <w:tcPr>
            <w:tcW w:w="2235"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LMWP</w:t>
            </w:r>
          </w:p>
        </w:tc>
        <w:tc>
          <w:tcPr>
            <w:tcW w:w="993" w:type="dxa"/>
            <w:noWrap/>
            <w:vAlign w:val="center"/>
            <w:hideMark/>
          </w:tcPr>
          <w:p w:rsidR="00646A25" w:rsidRPr="00BC0897" w:rsidRDefault="00284980" w:rsidP="00B86952">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719/720</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r>
      <w:tr w:rsidR="00646A25" w:rsidRPr="00BC0897" w:rsidTr="00C228AD">
        <w:trPr>
          <w:trHeight w:val="300"/>
        </w:trPr>
        <w:tc>
          <w:tcPr>
            <w:tcW w:w="2235"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Hypercalciuria</w:t>
            </w:r>
          </w:p>
        </w:tc>
        <w:tc>
          <w:tcPr>
            <w:tcW w:w="993" w:type="dxa"/>
            <w:noWrap/>
            <w:vAlign w:val="center"/>
            <w:hideMark/>
          </w:tcPr>
          <w:p w:rsidR="00646A25" w:rsidRPr="00BC0897" w:rsidRDefault="00646A25" w:rsidP="00284980">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w:t>
            </w:r>
            <w:r w:rsidR="00284980" w:rsidRPr="00BC0897">
              <w:rPr>
                <w:rFonts w:ascii="Times New Roman" w:hAnsi="Times New Roman" w:cs="Times New Roman"/>
                <w:sz w:val="20"/>
                <w:szCs w:val="20"/>
                <w:lang w:val="en-US"/>
              </w:rPr>
              <w:t>56</w:t>
            </w:r>
            <w:r w:rsidRPr="00BC0897">
              <w:rPr>
                <w:rFonts w:ascii="Times New Roman" w:hAnsi="Times New Roman" w:cs="Times New Roman"/>
                <w:sz w:val="20"/>
                <w:szCs w:val="20"/>
                <w:lang w:val="en-US"/>
              </w:rPr>
              <w:t>/6</w:t>
            </w:r>
            <w:r w:rsidR="00345414" w:rsidRPr="00BC0897">
              <w:rPr>
                <w:rFonts w:ascii="Times New Roman" w:hAnsi="Times New Roman" w:cs="Times New Roman"/>
                <w:sz w:val="20"/>
                <w:szCs w:val="20"/>
                <w:lang w:val="en-US"/>
              </w:rPr>
              <w:t>86</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r>
      <w:tr w:rsidR="00646A25" w:rsidRPr="00BC0897" w:rsidTr="00C228AD">
        <w:trPr>
          <w:trHeight w:val="300"/>
        </w:trPr>
        <w:tc>
          <w:tcPr>
            <w:tcW w:w="2235"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Hyperphosphaturia</w:t>
            </w:r>
          </w:p>
        </w:tc>
        <w:tc>
          <w:tcPr>
            <w:tcW w:w="99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62/228</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r>
      <w:tr w:rsidR="00646A25" w:rsidRPr="00BC0897" w:rsidTr="00C228AD">
        <w:trPr>
          <w:trHeight w:val="300"/>
        </w:trPr>
        <w:tc>
          <w:tcPr>
            <w:tcW w:w="2235"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Aminoaciduria</w:t>
            </w:r>
          </w:p>
        </w:tc>
        <w:tc>
          <w:tcPr>
            <w:tcW w:w="993" w:type="dxa"/>
            <w:noWrap/>
            <w:vAlign w:val="center"/>
            <w:hideMark/>
          </w:tcPr>
          <w:p w:rsidR="00646A25" w:rsidRPr="00BC0897" w:rsidRDefault="00B84A41" w:rsidP="00B84A41">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84</w:t>
            </w:r>
            <w:r w:rsidR="00646A25" w:rsidRPr="00BC0897">
              <w:rPr>
                <w:rFonts w:ascii="Times New Roman" w:hAnsi="Times New Roman" w:cs="Times New Roman"/>
                <w:sz w:val="20"/>
                <w:szCs w:val="20"/>
                <w:lang w:val="en-US"/>
              </w:rPr>
              <w:t>/17</w:t>
            </w:r>
            <w:r w:rsidRPr="00BC0897">
              <w:rPr>
                <w:rFonts w:ascii="Times New Roman" w:hAnsi="Times New Roman" w:cs="Times New Roman"/>
                <w:sz w:val="20"/>
                <w:szCs w:val="20"/>
                <w:lang w:val="en-US"/>
              </w:rPr>
              <w:t>8</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r>
      <w:tr w:rsidR="00646A25" w:rsidRPr="00BC0897" w:rsidTr="00C228AD">
        <w:trPr>
          <w:trHeight w:val="300"/>
        </w:trPr>
        <w:tc>
          <w:tcPr>
            <w:tcW w:w="2235"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Glycosuria</w:t>
            </w:r>
          </w:p>
        </w:tc>
        <w:tc>
          <w:tcPr>
            <w:tcW w:w="993" w:type="dxa"/>
            <w:noWrap/>
            <w:vAlign w:val="center"/>
            <w:hideMark/>
          </w:tcPr>
          <w:p w:rsidR="00646A25" w:rsidRPr="00BC0897" w:rsidRDefault="00B84A41" w:rsidP="00284980">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8</w:t>
            </w:r>
            <w:r w:rsidR="00284980" w:rsidRPr="00BC0897">
              <w:rPr>
                <w:rFonts w:ascii="Times New Roman" w:hAnsi="Times New Roman" w:cs="Times New Roman"/>
                <w:sz w:val="20"/>
                <w:szCs w:val="20"/>
                <w:lang w:val="en-US"/>
              </w:rPr>
              <w:t>4</w:t>
            </w:r>
            <w:r w:rsidR="00646A25" w:rsidRPr="00BC0897">
              <w:rPr>
                <w:rFonts w:ascii="Times New Roman" w:hAnsi="Times New Roman" w:cs="Times New Roman"/>
                <w:sz w:val="20"/>
                <w:szCs w:val="20"/>
                <w:lang w:val="en-US"/>
              </w:rPr>
              <w:t>/</w:t>
            </w:r>
            <w:r w:rsidRPr="00BC0897">
              <w:rPr>
                <w:rFonts w:ascii="Times New Roman" w:hAnsi="Times New Roman" w:cs="Times New Roman"/>
                <w:sz w:val="20"/>
                <w:szCs w:val="20"/>
                <w:lang w:val="en-US"/>
              </w:rPr>
              <w:t>3</w:t>
            </w:r>
            <w:r w:rsidR="00284980" w:rsidRPr="00BC0897">
              <w:rPr>
                <w:rFonts w:ascii="Times New Roman" w:hAnsi="Times New Roman" w:cs="Times New Roman"/>
                <w:sz w:val="20"/>
                <w:szCs w:val="20"/>
                <w:lang w:val="en-US"/>
              </w:rPr>
              <w:t>76</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r>
      <w:tr w:rsidR="00646A25" w:rsidRPr="00BC0897" w:rsidTr="00C228AD">
        <w:trPr>
          <w:trHeight w:val="300"/>
        </w:trPr>
        <w:tc>
          <w:tcPr>
            <w:tcW w:w="2235"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Nephrocalcinosis</w:t>
            </w:r>
          </w:p>
        </w:tc>
        <w:tc>
          <w:tcPr>
            <w:tcW w:w="993" w:type="dxa"/>
            <w:noWrap/>
            <w:vAlign w:val="center"/>
            <w:hideMark/>
          </w:tcPr>
          <w:p w:rsidR="00646A25" w:rsidRPr="00BC0897" w:rsidRDefault="00284980" w:rsidP="00284980">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366/664</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r>
      <w:tr w:rsidR="00646A25" w:rsidRPr="00BC0897" w:rsidTr="00C228AD">
        <w:trPr>
          <w:trHeight w:val="300"/>
        </w:trPr>
        <w:tc>
          <w:tcPr>
            <w:tcW w:w="2235"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Renal failure</w:t>
            </w:r>
          </w:p>
        </w:tc>
        <w:tc>
          <w:tcPr>
            <w:tcW w:w="993" w:type="dxa"/>
            <w:noWrap/>
            <w:vAlign w:val="center"/>
            <w:hideMark/>
          </w:tcPr>
          <w:p w:rsidR="00646A25" w:rsidRPr="00BC0897" w:rsidRDefault="00B86952" w:rsidP="00284980">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15</w:t>
            </w:r>
            <w:r w:rsidR="00284980" w:rsidRPr="00BC0897">
              <w:rPr>
                <w:rFonts w:ascii="Times New Roman" w:hAnsi="Times New Roman" w:cs="Times New Roman"/>
                <w:sz w:val="20"/>
                <w:szCs w:val="20"/>
                <w:lang w:val="en-US"/>
              </w:rPr>
              <w:t>9/565</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r>
      <w:tr w:rsidR="00646A25" w:rsidRPr="00BC0897" w:rsidTr="00C228AD">
        <w:trPr>
          <w:trHeight w:val="300"/>
        </w:trPr>
        <w:tc>
          <w:tcPr>
            <w:tcW w:w="2235"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Hypokalemia</w:t>
            </w:r>
          </w:p>
        </w:tc>
        <w:tc>
          <w:tcPr>
            <w:tcW w:w="99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80/257</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r>
      <w:tr w:rsidR="00646A25" w:rsidRPr="00BC0897" w:rsidTr="00C228AD">
        <w:trPr>
          <w:trHeight w:val="300"/>
        </w:trPr>
        <w:tc>
          <w:tcPr>
            <w:tcW w:w="2235" w:type="dxa"/>
            <w:noWrap/>
            <w:vAlign w:val="center"/>
            <w:hideMark/>
          </w:tcPr>
          <w:p w:rsidR="00646A25" w:rsidRPr="00BC0897" w:rsidRDefault="00646A25" w:rsidP="00C228AD">
            <w:pPr>
              <w:spacing w:after="0"/>
              <w:rPr>
                <w:rFonts w:ascii="Times New Roman" w:hAnsi="Times New Roman" w:cs="Times New Roman"/>
                <w:b/>
                <w:sz w:val="20"/>
                <w:szCs w:val="20"/>
                <w:lang w:val="en-US"/>
              </w:rPr>
            </w:pPr>
            <w:proofErr w:type="spellStart"/>
            <w:r w:rsidRPr="00BC0897">
              <w:rPr>
                <w:rFonts w:ascii="Times New Roman" w:hAnsi="Times New Roman" w:cs="Times New Roman"/>
                <w:b/>
                <w:sz w:val="20"/>
                <w:szCs w:val="20"/>
                <w:lang w:val="en-US"/>
              </w:rPr>
              <w:t>Fanconi</w:t>
            </w:r>
            <w:proofErr w:type="spellEnd"/>
            <w:r w:rsidRPr="00BC0897">
              <w:rPr>
                <w:rFonts w:ascii="Times New Roman" w:hAnsi="Times New Roman" w:cs="Times New Roman"/>
                <w:b/>
                <w:sz w:val="20"/>
                <w:szCs w:val="20"/>
                <w:lang w:val="en-US"/>
              </w:rPr>
              <w:t xml:space="preserve"> incomplete</w:t>
            </w:r>
          </w:p>
        </w:tc>
        <w:tc>
          <w:tcPr>
            <w:tcW w:w="99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62/93</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BC0897" w:rsidTr="00C228AD">
        <w:trPr>
          <w:trHeight w:val="300"/>
        </w:trPr>
        <w:tc>
          <w:tcPr>
            <w:tcW w:w="2235" w:type="dxa"/>
            <w:noWrap/>
            <w:vAlign w:val="center"/>
            <w:hideMark/>
          </w:tcPr>
          <w:p w:rsidR="00646A25" w:rsidRPr="00BC0897" w:rsidRDefault="00646A25" w:rsidP="00C228AD">
            <w:pPr>
              <w:spacing w:after="0"/>
              <w:rPr>
                <w:rFonts w:ascii="Times New Roman" w:hAnsi="Times New Roman" w:cs="Times New Roman"/>
                <w:b/>
                <w:sz w:val="20"/>
                <w:szCs w:val="20"/>
                <w:lang w:val="en-US"/>
              </w:rPr>
            </w:pPr>
            <w:proofErr w:type="spellStart"/>
            <w:r w:rsidRPr="00BC0897">
              <w:rPr>
                <w:rFonts w:ascii="Times New Roman" w:hAnsi="Times New Roman" w:cs="Times New Roman"/>
                <w:b/>
                <w:sz w:val="20"/>
                <w:szCs w:val="20"/>
                <w:lang w:val="en-US"/>
              </w:rPr>
              <w:t>Fanconi</w:t>
            </w:r>
            <w:proofErr w:type="spellEnd"/>
            <w:r w:rsidRPr="00BC0897">
              <w:rPr>
                <w:rFonts w:ascii="Times New Roman" w:hAnsi="Times New Roman" w:cs="Times New Roman"/>
                <w:b/>
                <w:sz w:val="20"/>
                <w:szCs w:val="20"/>
                <w:lang w:val="en-US"/>
              </w:rPr>
              <w:t xml:space="preserve"> complete</w:t>
            </w:r>
          </w:p>
        </w:tc>
        <w:tc>
          <w:tcPr>
            <w:tcW w:w="99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8/154</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BC0897" w:rsidTr="00C228AD">
        <w:trPr>
          <w:trHeight w:val="300"/>
        </w:trPr>
        <w:tc>
          <w:tcPr>
            <w:tcW w:w="2235"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Hyperuricosuria</w:t>
            </w:r>
          </w:p>
        </w:tc>
        <w:tc>
          <w:tcPr>
            <w:tcW w:w="99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10/26</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BC0897" w:rsidTr="00C228AD">
        <w:trPr>
          <w:trHeight w:val="300"/>
        </w:trPr>
        <w:tc>
          <w:tcPr>
            <w:tcW w:w="2235"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Hematuria</w:t>
            </w:r>
          </w:p>
        </w:tc>
        <w:tc>
          <w:tcPr>
            <w:tcW w:w="993" w:type="dxa"/>
            <w:noWrap/>
            <w:vAlign w:val="center"/>
            <w:hideMark/>
          </w:tcPr>
          <w:p w:rsidR="00646A25" w:rsidRPr="00BC0897" w:rsidRDefault="00B84A41"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88/145</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9/12</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7/10</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7/8</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2/2</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3/5</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3/3</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BC0897" w:rsidTr="00C228AD">
        <w:trPr>
          <w:trHeight w:val="300"/>
        </w:trPr>
        <w:tc>
          <w:tcPr>
            <w:tcW w:w="2235"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Hypophosphatemia</w:t>
            </w:r>
          </w:p>
        </w:tc>
        <w:tc>
          <w:tcPr>
            <w:tcW w:w="993" w:type="dxa"/>
            <w:noWrap/>
            <w:vAlign w:val="center"/>
            <w:hideMark/>
          </w:tcPr>
          <w:p w:rsidR="00646A25" w:rsidRPr="00BC0897" w:rsidRDefault="00B84A41" w:rsidP="00B84A41">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78</w:t>
            </w:r>
            <w:r w:rsidR="00646A25" w:rsidRPr="00BC0897">
              <w:rPr>
                <w:rFonts w:ascii="Times New Roman" w:hAnsi="Times New Roman" w:cs="Times New Roman"/>
                <w:sz w:val="20"/>
                <w:szCs w:val="20"/>
                <w:lang w:val="en-US"/>
              </w:rPr>
              <w:t>/2</w:t>
            </w:r>
            <w:r w:rsidRPr="00BC0897">
              <w:rPr>
                <w:rFonts w:ascii="Times New Roman" w:hAnsi="Times New Roman" w:cs="Times New Roman"/>
                <w:sz w:val="20"/>
                <w:szCs w:val="20"/>
                <w:lang w:val="en-US"/>
              </w:rPr>
              <w:t>40</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0/12</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0/2</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1/8</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0/5</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1/5</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BC0897" w:rsidTr="00C228AD">
        <w:trPr>
          <w:trHeight w:val="300"/>
        </w:trPr>
        <w:tc>
          <w:tcPr>
            <w:tcW w:w="2235"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Hypocalcemia</w:t>
            </w:r>
          </w:p>
        </w:tc>
        <w:tc>
          <w:tcPr>
            <w:tcW w:w="99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4/78</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0/12</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0/6</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0/2</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1/8</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0/5</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0/5</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BC0897" w:rsidTr="00C228AD">
        <w:trPr>
          <w:trHeight w:val="300"/>
        </w:trPr>
        <w:tc>
          <w:tcPr>
            <w:tcW w:w="2235"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Hypomagnesemia</w:t>
            </w:r>
          </w:p>
        </w:tc>
        <w:tc>
          <w:tcPr>
            <w:tcW w:w="99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7/36</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0/6</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BC0897" w:rsidTr="00C228AD">
        <w:trPr>
          <w:trHeight w:val="300"/>
        </w:trPr>
        <w:tc>
          <w:tcPr>
            <w:tcW w:w="2235"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Failure to thrive</w:t>
            </w:r>
          </w:p>
        </w:tc>
        <w:tc>
          <w:tcPr>
            <w:tcW w:w="993" w:type="dxa"/>
            <w:noWrap/>
            <w:vAlign w:val="center"/>
            <w:hideMark/>
          </w:tcPr>
          <w:p w:rsidR="00646A25" w:rsidRPr="00BC0897" w:rsidRDefault="00B84A41"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33/122</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BC0897" w:rsidTr="00C228AD">
        <w:trPr>
          <w:trHeight w:val="300"/>
        </w:trPr>
        <w:tc>
          <w:tcPr>
            <w:tcW w:w="2235" w:type="dxa"/>
            <w:noWrap/>
            <w:vAlign w:val="center"/>
            <w:hideMark/>
          </w:tcPr>
          <w:p w:rsidR="00646A25" w:rsidRPr="00BC0897" w:rsidRDefault="00345414"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Nephrolithiasis</w:t>
            </w:r>
          </w:p>
        </w:tc>
        <w:tc>
          <w:tcPr>
            <w:tcW w:w="993" w:type="dxa"/>
            <w:noWrap/>
            <w:vAlign w:val="center"/>
            <w:hideMark/>
          </w:tcPr>
          <w:p w:rsidR="00646A25" w:rsidRPr="00BC0897" w:rsidRDefault="00646A25" w:rsidP="00342726">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95/3</w:t>
            </w:r>
            <w:r w:rsidR="00342726" w:rsidRPr="00BC0897">
              <w:rPr>
                <w:rFonts w:ascii="Times New Roman" w:hAnsi="Times New Roman" w:cs="Times New Roman"/>
                <w:sz w:val="20"/>
                <w:szCs w:val="20"/>
                <w:lang w:val="en-US"/>
              </w:rPr>
              <w:t>88</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5/10</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4/5</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BC0897" w:rsidTr="00C228AD">
        <w:trPr>
          <w:trHeight w:val="300"/>
        </w:trPr>
        <w:tc>
          <w:tcPr>
            <w:tcW w:w="2235"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Hyponatremia</w:t>
            </w:r>
          </w:p>
        </w:tc>
        <w:tc>
          <w:tcPr>
            <w:tcW w:w="99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3/17</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BC0897" w:rsidTr="00C228AD">
        <w:trPr>
          <w:trHeight w:val="300"/>
        </w:trPr>
        <w:tc>
          <w:tcPr>
            <w:tcW w:w="2235" w:type="dxa"/>
            <w:noWrap/>
            <w:vAlign w:val="center"/>
            <w:hideMark/>
          </w:tcPr>
          <w:p w:rsidR="00646A25" w:rsidRPr="00BC0897" w:rsidRDefault="00646A25" w:rsidP="00C228AD">
            <w:pPr>
              <w:spacing w:after="0"/>
              <w:rPr>
                <w:rFonts w:ascii="Times New Roman" w:hAnsi="Times New Roman" w:cs="Times New Roman"/>
                <w:b/>
                <w:sz w:val="20"/>
                <w:szCs w:val="20"/>
                <w:lang w:val="en-US"/>
              </w:rPr>
            </w:pPr>
            <w:proofErr w:type="spellStart"/>
            <w:r w:rsidRPr="00BC0897">
              <w:rPr>
                <w:rFonts w:ascii="Times New Roman" w:hAnsi="Times New Roman" w:cs="Times New Roman"/>
                <w:b/>
                <w:sz w:val="20"/>
                <w:szCs w:val="20"/>
                <w:lang w:val="en-US"/>
              </w:rPr>
              <w:t>Hypochloremia</w:t>
            </w:r>
            <w:proofErr w:type="spellEnd"/>
          </w:p>
        </w:tc>
        <w:tc>
          <w:tcPr>
            <w:tcW w:w="99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4/37</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0/12</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1/8</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BC0897" w:rsidTr="00C228AD">
        <w:trPr>
          <w:trHeight w:val="300"/>
        </w:trPr>
        <w:tc>
          <w:tcPr>
            <w:tcW w:w="2235"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lastRenderedPageBreak/>
              <w:t>Hypouricemia</w:t>
            </w:r>
          </w:p>
        </w:tc>
        <w:tc>
          <w:tcPr>
            <w:tcW w:w="99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25/62</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BC0897" w:rsidTr="00C228AD">
        <w:trPr>
          <w:trHeight w:val="300"/>
        </w:trPr>
        <w:tc>
          <w:tcPr>
            <w:tcW w:w="2235"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 xml:space="preserve">Metabolic </w:t>
            </w:r>
            <w:r w:rsidR="00345414" w:rsidRPr="00BC0897">
              <w:rPr>
                <w:rFonts w:ascii="Times New Roman" w:hAnsi="Times New Roman" w:cs="Times New Roman"/>
                <w:b/>
                <w:sz w:val="20"/>
                <w:szCs w:val="20"/>
                <w:lang w:val="en-US"/>
              </w:rPr>
              <w:t>alkalosis</w:t>
            </w:r>
          </w:p>
        </w:tc>
        <w:tc>
          <w:tcPr>
            <w:tcW w:w="99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3/24</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0/5</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BC0897" w:rsidTr="00C228AD">
        <w:trPr>
          <w:trHeight w:val="300"/>
        </w:trPr>
        <w:tc>
          <w:tcPr>
            <w:tcW w:w="2235"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Metabolic acidosis</w:t>
            </w:r>
          </w:p>
        </w:tc>
        <w:tc>
          <w:tcPr>
            <w:tcW w:w="993" w:type="dxa"/>
            <w:noWrap/>
            <w:vAlign w:val="center"/>
            <w:hideMark/>
          </w:tcPr>
          <w:p w:rsidR="00646A25" w:rsidRPr="00BC0897" w:rsidRDefault="00284980" w:rsidP="00284980">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25/321</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BC0897" w:rsidTr="00C228AD">
        <w:trPr>
          <w:trHeight w:val="300"/>
        </w:trPr>
        <w:tc>
          <w:tcPr>
            <w:tcW w:w="2235"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Bone disorders</w:t>
            </w:r>
          </w:p>
        </w:tc>
        <w:tc>
          <w:tcPr>
            <w:tcW w:w="993" w:type="dxa"/>
            <w:noWrap/>
            <w:vAlign w:val="center"/>
            <w:hideMark/>
          </w:tcPr>
          <w:p w:rsidR="00646A25" w:rsidRPr="00BC0897" w:rsidRDefault="00B86952"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89/46</w:t>
            </w:r>
            <w:r w:rsidR="00646A25" w:rsidRPr="00BC0897">
              <w:rPr>
                <w:rFonts w:ascii="Times New Roman" w:hAnsi="Times New Roman" w:cs="Times New Roman"/>
                <w:sz w:val="20"/>
                <w:szCs w:val="20"/>
                <w:lang w:val="en-US"/>
              </w:rPr>
              <w:t>9</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0/2</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2/3</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0/5</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1/2</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0/3</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3/8</w:t>
            </w:r>
          </w:p>
        </w:tc>
      </w:tr>
      <w:tr w:rsidR="00646A25" w:rsidRPr="00BC0897" w:rsidTr="00C228AD">
        <w:trPr>
          <w:trHeight w:val="300"/>
        </w:trPr>
        <w:tc>
          <w:tcPr>
            <w:tcW w:w="2235"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Hypertension</w:t>
            </w:r>
          </w:p>
        </w:tc>
        <w:tc>
          <w:tcPr>
            <w:tcW w:w="99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0/7</w:t>
            </w: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1441D9" w:rsidRPr="00BC0897" w:rsidTr="00C228AD">
        <w:trPr>
          <w:trHeight w:val="300"/>
        </w:trPr>
        <w:tc>
          <w:tcPr>
            <w:tcW w:w="2235" w:type="dxa"/>
            <w:noWrap/>
            <w:vAlign w:val="center"/>
          </w:tcPr>
          <w:p w:rsidR="001441D9" w:rsidRPr="00BC0897" w:rsidRDefault="00284980" w:rsidP="001441D9">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Intellectual disability</w:t>
            </w:r>
          </w:p>
        </w:tc>
        <w:tc>
          <w:tcPr>
            <w:tcW w:w="993" w:type="dxa"/>
            <w:noWrap/>
            <w:vAlign w:val="center"/>
          </w:tcPr>
          <w:p w:rsidR="001441D9" w:rsidRPr="00BC0897" w:rsidRDefault="00284980" w:rsidP="001441D9">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7</w:t>
            </w:r>
            <w:r w:rsidR="001441D9" w:rsidRPr="00BC0897">
              <w:rPr>
                <w:rFonts w:ascii="Times New Roman" w:hAnsi="Times New Roman" w:cs="Times New Roman"/>
                <w:sz w:val="20"/>
                <w:szCs w:val="20"/>
                <w:lang w:val="en-US"/>
              </w:rPr>
              <w:t>/7</w:t>
            </w:r>
            <w:r w:rsidRPr="00BC0897">
              <w:rPr>
                <w:rFonts w:ascii="Times New Roman" w:hAnsi="Times New Roman" w:cs="Times New Roman"/>
                <w:sz w:val="20"/>
                <w:szCs w:val="20"/>
                <w:lang w:val="en-US"/>
              </w:rPr>
              <w:t>6</w:t>
            </w:r>
          </w:p>
        </w:tc>
        <w:tc>
          <w:tcPr>
            <w:tcW w:w="1134" w:type="dxa"/>
            <w:noWrap/>
            <w:vAlign w:val="center"/>
          </w:tcPr>
          <w:p w:rsidR="001441D9" w:rsidRPr="00BC0897" w:rsidRDefault="001441D9" w:rsidP="001441D9">
            <w:pPr>
              <w:spacing w:after="0"/>
              <w:jc w:val="center"/>
              <w:rPr>
                <w:rFonts w:ascii="Times New Roman" w:hAnsi="Times New Roman" w:cs="Times New Roman"/>
                <w:sz w:val="20"/>
                <w:szCs w:val="20"/>
                <w:lang w:val="en-US"/>
              </w:rPr>
            </w:pPr>
          </w:p>
        </w:tc>
        <w:tc>
          <w:tcPr>
            <w:tcW w:w="1134" w:type="dxa"/>
            <w:vAlign w:val="center"/>
          </w:tcPr>
          <w:p w:rsidR="001441D9" w:rsidRPr="00BC0897" w:rsidRDefault="001441D9" w:rsidP="001441D9">
            <w:pPr>
              <w:spacing w:after="0"/>
              <w:jc w:val="center"/>
              <w:rPr>
                <w:rFonts w:ascii="Times New Roman" w:hAnsi="Times New Roman" w:cs="Times New Roman"/>
                <w:sz w:val="20"/>
                <w:szCs w:val="20"/>
                <w:lang w:val="en-US"/>
              </w:rPr>
            </w:pPr>
          </w:p>
        </w:tc>
        <w:tc>
          <w:tcPr>
            <w:tcW w:w="1134" w:type="dxa"/>
            <w:noWrap/>
            <w:vAlign w:val="center"/>
          </w:tcPr>
          <w:p w:rsidR="001441D9" w:rsidRPr="00BC0897" w:rsidRDefault="001441D9" w:rsidP="001441D9">
            <w:pPr>
              <w:spacing w:after="0"/>
              <w:jc w:val="center"/>
              <w:rPr>
                <w:rFonts w:ascii="Times New Roman" w:hAnsi="Times New Roman" w:cs="Times New Roman"/>
                <w:sz w:val="20"/>
                <w:szCs w:val="20"/>
                <w:lang w:val="en-US"/>
              </w:rPr>
            </w:pPr>
          </w:p>
        </w:tc>
        <w:tc>
          <w:tcPr>
            <w:tcW w:w="1134" w:type="dxa"/>
            <w:noWrap/>
            <w:vAlign w:val="center"/>
          </w:tcPr>
          <w:p w:rsidR="001441D9" w:rsidRPr="00BC0897" w:rsidRDefault="001441D9" w:rsidP="001441D9">
            <w:pPr>
              <w:spacing w:after="0"/>
              <w:jc w:val="center"/>
              <w:rPr>
                <w:rFonts w:ascii="Times New Roman" w:hAnsi="Times New Roman" w:cs="Times New Roman"/>
                <w:sz w:val="20"/>
                <w:szCs w:val="20"/>
                <w:lang w:val="en-US"/>
              </w:rPr>
            </w:pPr>
          </w:p>
        </w:tc>
        <w:tc>
          <w:tcPr>
            <w:tcW w:w="1134" w:type="dxa"/>
            <w:noWrap/>
            <w:vAlign w:val="center"/>
          </w:tcPr>
          <w:p w:rsidR="001441D9" w:rsidRPr="00BC0897" w:rsidRDefault="001441D9" w:rsidP="001441D9">
            <w:pPr>
              <w:spacing w:after="0"/>
              <w:jc w:val="center"/>
              <w:rPr>
                <w:rFonts w:ascii="Times New Roman" w:hAnsi="Times New Roman" w:cs="Times New Roman"/>
                <w:sz w:val="20"/>
                <w:szCs w:val="20"/>
                <w:lang w:val="en-US"/>
              </w:rPr>
            </w:pPr>
          </w:p>
        </w:tc>
        <w:tc>
          <w:tcPr>
            <w:tcW w:w="1134" w:type="dxa"/>
            <w:noWrap/>
            <w:vAlign w:val="center"/>
          </w:tcPr>
          <w:p w:rsidR="001441D9" w:rsidRPr="00BC0897" w:rsidRDefault="001441D9" w:rsidP="001441D9">
            <w:pPr>
              <w:spacing w:after="0"/>
              <w:jc w:val="center"/>
              <w:rPr>
                <w:rFonts w:ascii="Times New Roman" w:hAnsi="Times New Roman" w:cs="Times New Roman"/>
                <w:sz w:val="20"/>
                <w:szCs w:val="20"/>
                <w:lang w:val="en-US"/>
              </w:rPr>
            </w:pPr>
          </w:p>
        </w:tc>
        <w:tc>
          <w:tcPr>
            <w:tcW w:w="1134" w:type="dxa"/>
            <w:noWrap/>
            <w:vAlign w:val="center"/>
          </w:tcPr>
          <w:p w:rsidR="001441D9" w:rsidRPr="00BC0897" w:rsidRDefault="001441D9" w:rsidP="001441D9">
            <w:pPr>
              <w:spacing w:after="0"/>
              <w:jc w:val="center"/>
              <w:rPr>
                <w:rFonts w:ascii="Times New Roman" w:hAnsi="Times New Roman" w:cs="Times New Roman"/>
                <w:sz w:val="20"/>
                <w:szCs w:val="20"/>
                <w:lang w:val="en-US"/>
              </w:rPr>
            </w:pPr>
          </w:p>
        </w:tc>
        <w:tc>
          <w:tcPr>
            <w:tcW w:w="1134" w:type="dxa"/>
            <w:vAlign w:val="center"/>
          </w:tcPr>
          <w:p w:rsidR="001441D9" w:rsidRPr="00BC0897" w:rsidRDefault="001441D9" w:rsidP="001441D9">
            <w:pPr>
              <w:spacing w:after="0"/>
              <w:jc w:val="center"/>
              <w:rPr>
                <w:rFonts w:ascii="Times New Roman" w:hAnsi="Times New Roman" w:cs="Times New Roman"/>
                <w:sz w:val="20"/>
                <w:szCs w:val="20"/>
                <w:lang w:val="en-US"/>
              </w:rPr>
            </w:pPr>
          </w:p>
        </w:tc>
        <w:tc>
          <w:tcPr>
            <w:tcW w:w="1134" w:type="dxa"/>
            <w:vAlign w:val="center"/>
          </w:tcPr>
          <w:p w:rsidR="001441D9" w:rsidRPr="00BC0897" w:rsidRDefault="001441D9" w:rsidP="001441D9">
            <w:pPr>
              <w:spacing w:after="0"/>
              <w:jc w:val="center"/>
              <w:rPr>
                <w:rFonts w:ascii="Times New Roman" w:hAnsi="Times New Roman" w:cs="Times New Roman"/>
                <w:sz w:val="20"/>
                <w:szCs w:val="20"/>
                <w:lang w:val="en-US"/>
              </w:rPr>
            </w:pPr>
          </w:p>
        </w:tc>
        <w:tc>
          <w:tcPr>
            <w:tcW w:w="1134" w:type="dxa"/>
            <w:noWrap/>
            <w:vAlign w:val="center"/>
          </w:tcPr>
          <w:p w:rsidR="001441D9" w:rsidRPr="00BC0897" w:rsidRDefault="001441D9" w:rsidP="001441D9">
            <w:pPr>
              <w:spacing w:after="0"/>
              <w:jc w:val="center"/>
              <w:rPr>
                <w:rFonts w:ascii="Times New Roman" w:hAnsi="Times New Roman" w:cs="Times New Roman"/>
                <w:sz w:val="20"/>
                <w:szCs w:val="20"/>
                <w:lang w:val="en-US"/>
              </w:rPr>
            </w:pPr>
          </w:p>
        </w:tc>
      </w:tr>
      <w:tr w:rsidR="00342726" w:rsidRPr="00BC0897" w:rsidTr="00C228AD">
        <w:trPr>
          <w:trHeight w:val="300"/>
        </w:trPr>
        <w:tc>
          <w:tcPr>
            <w:tcW w:w="2235" w:type="dxa"/>
            <w:noWrap/>
            <w:vAlign w:val="center"/>
          </w:tcPr>
          <w:p w:rsidR="00342726" w:rsidRPr="00BC0897" w:rsidRDefault="00342726"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Cataract</w:t>
            </w:r>
          </w:p>
        </w:tc>
        <w:tc>
          <w:tcPr>
            <w:tcW w:w="993" w:type="dxa"/>
            <w:noWrap/>
            <w:vAlign w:val="center"/>
          </w:tcPr>
          <w:p w:rsidR="00342726" w:rsidRPr="00BC0897" w:rsidRDefault="00342726"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1/9</w:t>
            </w:r>
          </w:p>
        </w:tc>
        <w:tc>
          <w:tcPr>
            <w:tcW w:w="1134" w:type="dxa"/>
            <w:noWrap/>
            <w:vAlign w:val="center"/>
          </w:tcPr>
          <w:p w:rsidR="00342726" w:rsidRPr="00BC0897" w:rsidRDefault="00342726" w:rsidP="00C228AD">
            <w:pPr>
              <w:spacing w:after="0"/>
              <w:jc w:val="center"/>
              <w:rPr>
                <w:rFonts w:ascii="Times New Roman" w:hAnsi="Times New Roman" w:cs="Times New Roman"/>
                <w:sz w:val="20"/>
                <w:szCs w:val="20"/>
                <w:lang w:val="en-US"/>
              </w:rPr>
            </w:pPr>
          </w:p>
        </w:tc>
        <w:tc>
          <w:tcPr>
            <w:tcW w:w="1134" w:type="dxa"/>
            <w:vAlign w:val="center"/>
          </w:tcPr>
          <w:p w:rsidR="00342726" w:rsidRPr="00BC0897" w:rsidRDefault="00342726" w:rsidP="00C228AD">
            <w:pPr>
              <w:spacing w:after="0"/>
              <w:jc w:val="center"/>
              <w:rPr>
                <w:rFonts w:ascii="Times New Roman" w:hAnsi="Times New Roman" w:cs="Times New Roman"/>
                <w:sz w:val="20"/>
                <w:szCs w:val="20"/>
                <w:lang w:val="en-US"/>
              </w:rPr>
            </w:pPr>
          </w:p>
        </w:tc>
        <w:tc>
          <w:tcPr>
            <w:tcW w:w="1134" w:type="dxa"/>
            <w:noWrap/>
            <w:vAlign w:val="center"/>
          </w:tcPr>
          <w:p w:rsidR="00342726" w:rsidRPr="00BC0897" w:rsidRDefault="00342726" w:rsidP="00C228AD">
            <w:pPr>
              <w:spacing w:after="0"/>
              <w:jc w:val="center"/>
              <w:rPr>
                <w:rFonts w:ascii="Times New Roman" w:hAnsi="Times New Roman" w:cs="Times New Roman"/>
                <w:sz w:val="20"/>
                <w:szCs w:val="20"/>
                <w:lang w:val="en-US"/>
              </w:rPr>
            </w:pPr>
          </w:p>
        </w:tc>
        <w:tc>
          <w:tcPr>
            <w:tcW w:w="1134" w:type="dxa"/>
            <w:noWrap/>
            <w:vAlign w:val="center"/>
          </w:tcPr>
          <w:p w:rsidR="00342726" w:rsidRPr="00BC0897" w:rsidRDefault="00342726" w:rsidP="00C228AD">
            <w:pPr>
              <w:spacing w:after="0"/>
              <w:jc w:val="center"/>
              <w:rPr>
                <w:rFonts w:ascii="Times New Roman" w:hAnsi="Times New Roman" w:cs="Times New Roman"/>
                <w:sz w:val="20"/>
                <w:szCs w:val="20"/>
                <w:lang w:val="en-US"/>
              </w:rPr>
            </w:pPr>
          </w:p>
        </w:tc>
        <w:tc>
          <w:tcPr>
            <w:tcW w:w="1134" w:type="dxa"/>
            <w:noWrap/>
            <w:vAlign w:val="center"/>
          </w:tcPr>
          <w:p w:rsidR="00342726" w:rsidRPr="00BC0897" w:rsidRDefault="00342726" w:rsidP="00C228AD">
            <w:pPr>
              <w:spacing w:after="0"/>
              <w:jc w:val="center"/>
              <w:rPr>
                <w:rFonts w:ascii="Times New Roman" w:hAnsi="Times New Roman" w:cs="Times New Roman"/>
                <w:sz w:val="20"/>
                <w:szCs w:val="20"/>
                <w:lang w:val="en-US"/>
              </w:rPr>
            </w:pPr>
          </w:p>
        </w:tc>
        <w:tc>
          <w:tcPr>
            <w:tcW w:w="1134" w:type="dxa"/>
            <w:noWrap/>
            <w:vAlign w:val="center"/>
          </w:tcPr>
          <w:p w:rsidR="00342726" w:rsidRPr="00BC0897" w:rsidRDefault="00342726" w:rsidP="00C228AD">
            <w:pPr>
              <w:spacing w:after="0"/>
              <w:jc w:val="center"/>
              <w:rPr>
                <w:rFonts w:ascii="Times New Roman" w:hAnsi="Times New Roman" w:cs="Times New Roman"/>
                <w:sz w:val="20"/>
                <w:szCs w:val="20"/>
                <w:lang w:val="en-US"/>
              </w:rPr>
            </w:pPr>
          </w:p>
        </w:tc>
        <w:tc>
          <w:tcPr>
            <w:tcW w:w="1134" w:type="dxa"/>
            <w:noWrap/>
            <w:vAlign w:val="center"/>
          </w:tcPr>
          <w:p w:rsidR="00342726" w:rsidRPr="00BC0897" w:rsidRDefault="00342726" w:rsidP="00C228AD">
            <w:pPr>
              <w:spacing w:after="0"/>
              <w:jc w:val="center"/>
              <w:rPr>
                <w:rFonts w:ascii="Times New Roman" w:hAnsi="Times New Roman" w:cs="Times New Roman"/>
                <w:sz w:val="20"/>
                <w:szCs w:val="20"/>
                <w:lang w:val="en-US"/>
              </w:rPr>
            </w:pPr>
          </w:p>
        </w:tc>
        <w:tc>
          <w:tcPr>
            <w:tcW w:w="1134" w:type="dxa"/>
            <w:vAlign w:val="center"/>
          </w:tcPr>
          <w:p w:rsidR="00342726" w:rsidRPr="00BC0897" w:rsidRDefault="00342726" w:rsidP="00C228AD">
            <w:pPr>
              <w:spacing w:after="0"/>
              <w:jc w:val="center"/>
              <w:rPr>
                <w:rFonts w:ascii="Times New Roman" w:hAnsi="Times New Roman" w:cs="Times New Roman"/>
                <w:sz w:val="20"/>
                <w:szCs w:val="20"/>
                <w:lang w:val="en-US"/>
              </w:rPr>
            </w:pPr>
          </w:p>
        </w:tc>
        <w:tc>
          <w:tcPr>
            <w:tcW w:w="1134" w:type="dxa"/>
            <w:vAlign w:val="center"/>
          </w:tcPr>
          <w:p w:rsidR="00342726" w:rsidRPr="00BC0897" w:rsidRDefault="00342726" w:rsidP="00C228AD">
            <w:pPr>
              <w:spacing w:after="0"/>
              <w:jc w:val="center"/>
              <w:rPr>
                <w:rFonts w:ascii="Times New Roman" w:hAnsi="Times New Roman" w:cs="Times New Roman"/>
                <w:sz w:val="20"/>
                <w:szCs w:val="20"/>
                <w:lang w:val="en-US"/>
              </w:rPr>
            </w:pPr>
          </w:p>
        </w:tc>
        <w:tc>
          <w:tcPr>
            <w:tcW w:w="1134" w:type="dxa"/>
            <w:noWrap/>
            <w:vAlign w:val="center"/>
          </w:tcPr>
          <w:p w:rsidR="00342726" w:rsidRPr="00BC0897" w:rsidRDefault="00342726" w:rsidP="00C228AD">
            <w:pPr>
              <w:spacing w:after="0"/>
              <w:jc w:val="center"/>
              <w:rPr>
                <w:rFonts w:ascii="Times New Roman" w:hAnsi="Times New Roman" w:cs="Times New Roman"/>
                <w:sz w:val="20"/>
                <w:szCs w:val="20"/>
                <w:lang w:val="en-US"/>
              </w:rPr>
            </w:pPr>
          </w:p>
        </w:tc>
      </w:tr>
    </w:tbl>
    <w:p w:rsidR="00646A25" w:rsidRPr="00BC0897" w:rsidRDefault="00646A25" w:rsidP="00C228AD">
      <w:pPr>
        <w:spacing w:after="0" w:line="240" w:lineRule="auto"/>
        <w:rPr>
          <w:rFonts w:ascii="Times New Roman" w:hAnsi="Times New Roman" w:cs="Times New Roman"/>
          <w:sz w:val="20"/>
          <w:szCs w:val="20"/>
          <w:lang w:val="en-US"/>
        </w:rPr>
      </w:pPr>
      <w:r w:rsidRPr="00BC0897">
        <w:rPr>
          <w:rFonts w:ascii="Times New Roman" w:hAnsi="Times New Roman" w:cs="Times New Roman"/>
          <w:sz w:val="20"/>
          <w:szCs w:val="20"/>
          <w:lang w:val="en-US"/>
        </w:rPr>
        <w:t xml:space="preserve">LMWP: Low-molecular-weight proteinuria; *already reported in </w:t>
      </w:r>
      <w:proofErr w:type="spellStart"/>
      <w:r w:rsidRPr="00BC0897">
        <w:rPr>
          <w:rFonts w:ascii="Times New Roman" w:hAnsi="Times New Roman" w:cs="Times New Roman"/>
          <w:sz w:val="20"/>
          <w:szCs w:val="20"/>
          <w:lang w:val="en-US"/>
        </w:rPr>
        <w:t>B</w:t>
      </w:r>
      <w:r w:rsidR="000B4585" w:rsidRPr="00BC0897">
        <w:rPr>
          <w:rFonts w:ascii="Times New Roman" w:hAnsi="Times New Roman" w:cs="Times New Roman"/>
          <w:sz w:val="20"/>
          <w:szCs w:val="20"/>
          <w:lang w:val="en-US"/>
        </w:rPr>
        <w:t>ö</w:t>
      </w:r>
      <w:r w:rsidRPr="00BC0897">
        <w:rPr>
          <w:rFonts w:ascii="Times New Roman" w:hAnsi="Times New Roman" w:cs="Times New Roman"/>
          <w:sz w:val="20"/>
          <w:szCs w:val="20"/>
          <w:lang w:val="en-US"/>
        </w:rPr>
        <w:t>kenkamp</w:t>
      </w:r>
      <w:proofErr w:type="spellEnd"/>
    </w:p>
    <w:p w:rsidR="00646A25" w:rsidRPr="00BC0897" w:rsidRDefault="00646A25" w:rsidP="00646A25">
      <w:pPr>
        <w:rPr>
          <w:rFonts w:ascii="Times New Roman" w:hAnsi="Times New Roman" w:cs="Times New Roman"/>
          <w:sz w:val="20"/>
          <w:szCs w:val="20"/>
          <w:lang w:val="en-US"/>
        </w:rPr>
      </w:pPr>
      <w:r w:rsidRPr="00BC0897">
        <w:rPr>
          <w:rFonts w:ascii="Times New Roman" w:hAnsi="Times New Roman" w:cs="Times New Roman"/>
          <w:sz w:val="20"/>
          <w:szCs w:val="20"/>
          <w:lang w:val="en-US"/>
        </w:rPr>
        <w:br w:type="page"/>
      </w:r>
    </w:p>
    <w:tbl>
      <w:tblPr>
        <w:tblStyle w:val="Grigliatabella"/>
        <w:tblW w:w="0" w:type="auto"/>
        <w:tblLook w:val="04A0" w:firstRow="1" w:lastRow="0" w:firstColumn="1" w:lastColumn="0" w:noHBand="0" w:noVBand="1"/>
      </w:tblPr>
      <w:tblGrid>
        <w:gridCol w:w="2471"/>
        <w:gridCol w:w="1117"/>
        <w:gridCol w:w="1252"/>
        <w:gridCol w:w="1132"/>
        <w:gridCol w:w="1056"/>
        <w:gridCol w:w="1263"/>
        <w:gridCol w:w="936"/>
        <w:gridCol w:w="936"/>
        <w:gridCol w:w="936"/>
        <w:gridCol w:w="936"/>
        <w:gridCol w:w="1306"/>
        <w:gridCol w:w="936"/>
      </w:tblGrid>
      <w:tr w:rsidR="00646A25" w:rsidRPr="00BC0897" w:rsidTr="00342726">
        <w:trPr>
          <w:trHeight w:val="900"/>
        </w:trPr>
        <w:tc>
          <w:tcPr>
            <w:tcW w:w="2471" w:type="dxa"/>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lastRenderedPageBreak/>
              <w:t>Clinical sign</w:t>
            </w:r>
          </w:p>
        </w:tc>
        <w:tc>
          <w:tcPr>
            <w:tcW w:w="1117" w:type="dxa"/>
            <w:vAlign w:val="center"/>
            <w:hideMark/>
          </w:tcPr>
          <w:p w:rsidR="00646A25" w:rsidRPr="00BC0897" w:rsidRDefault="00646A25"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000F21AB" w:rsidRPr="00BC0897">
              <w:rPr>
                <w:rFonts w:ascii="Times New Roman" w:hAnsi="Times New Roman" w:cs="Times New Roman"/>
                <w:b/>
                <w:sz w:val="20"/>
                <w:szCs w:val="20"/>
                <w:lang w:val="en-US"/>
              </w:rPr>
              <w:instrText xml:space="preserve"> ADDIN ZOTERO_ITEM CSL_CITATION {"citationID":"MiLr4LLY","properties":{"formattedCitation":"(Igarashi et al. 2000)","plainCitation":"(Igarashi et al. 2000)","noteIndex":0},"citationItems":[{"id":1594,"uris":["http://zotero.org/users/local/jkkvYBSC/items/USEB6A6L"],"uri":["http://zotero.org/users/local/jkkvYBSC/items/USEB6A6L"],"itemData":{"id":1594,"type":"article-journal","abstract":"BACKGROUND: Dent's disease is an X-linked renal tubular disorder that is characterized by low molecular weight proteinuria, hypercalciuria, nephrolithiasis, and renal failure. The disease is caused by inactivation of a renal chloride channel gene, CLCN5, that encodes a 746-amino acid protein with 12 to 13 transmembrane domains. The Japanese variant of Dent's disease has been observed to be less severe, and we have investigated two unrelated Japanese families for CLCN5 mutations.\nMETHODS: Six patients from two unrelated families were studied. Leukocyte DNA from probands was used with CLCN5-specific primers for polymerase chain reaction (PCR) amplification of the coding region and exon-intron boundaries, and the DNA sequences of the products were determined to identify abnormalities in the gene. RNA extracted from the kidney, leukocytes, or urine sediments was used to characterize further the effects of the identified mutations.\nRESULTS: beta2-microglobulinuria was detected in five patients, hypercalciuria in two patients, nephrolithiasis in three patients (2 of whom were females), and one 51-year-old man had renal failure. Two novel CLCN5 mutations consisting of an a to g transition at the invariant ag acceptor splice site of intron 5 and an intragenic deletion that encompassed the region between intron 3 and intron 6 were identified. The acceptor splice site mutation led to the utilization of two alternative cryptic splice sites in exon 6 that resulted in a frameshift or skipping of the exon 6. The deletional mutation, which resulted in a loss of exons 4, 5, and 6, is predicted to lead to a loss of domains 1 through 4. Both mutations predict truncated chloride channels that are likely to result in a functional loss.\nCONCLUSIONS: The observations of renal failure in one male and nephrolithiasis in two females represent important new findings in this Japanese variant of Dent's disease that is associated with CLCN5 mutations. In addition, our study is the first to demonstrate the use of urinary sediment cells and renal tissue for the detection of CLCN5 transcript abnormalities. These results help to expand the spectrum of CLCN5 mutations associated with Dent's disease.","container-title":"Kidney International","DOI":"10.1046/j.1523-1755.2000.00198.x","ISSN":"0085-2538","issue":"2","journalAbbreviation":"Kidney Int.","language":"eng","note":"PMID: 10916075","page":"520-527","source":"PubMed","title":"Clinical and genetic studies of CLCN5 mutations in Japanese families with Dent's disease","volume":"58","author":[{"family":"Igarashi","given":"T."},{"family":"Inatomi","given":"J."},{"family":"Ohara","given":"T."},{"family":"Kuwahara","given":"T."},{"family":"Shimadzu","given":"M."},{"family":"Thakker","given":"R. V."}],"issued":{"date-parts":[["2000",8]]}}}],"schema":"https://github.com/citation-style-language/schema/raw/master/csl-citation.json"} </w:instrText>
            </w:r>
            <w:r w:rsidRPr="00BC0897">
              <w:rPr>
                <w:rFonts w:ascii="Times New Roman" w:hAnsi="Times New Roman" w:cs="Times New Roman"/>
                <w:b/>
                <w:sz w:val="20"/>
                <w:szCs w:val="20"/>
                <w:lang w:val="en-US"/>
              </w:rPr>
              <w:fldChar w:fldCharType="separate"/>
            </w:r>
            <w:r w:rsidR="000F21AB" w:rsidRPr="00BC0897">
              <w:rPr>
                <w:rFonts w:ascii="Times New Roman" w:hAnsi="Times New Roman" w:cs="Times New Roman"/>
                <w:sz w:val="20"/>
                <w:szCs w:val="20"/>
              </w:rPr>
              <w:t>(Igarashi et al. 2000)</w:t>
            </w:r>
            <w:r w:rsidRPr="00BC0897">
              <w:rPr>
                <w:rFonts w:ascii="Times New Roman" w:hAnsi="Times New Roman" w:cs="Times New Roman"/>
                <w:b/>
                <w:sz w:val="20"/>
                <w:szCs w:val="20"/>
                <w:lang w:val="en-US"/>
              </w:rPr>
              <w:fldChar w:fldCharType="end"/>
            </w:r>
          </w:p>
        </w:tc>
        <w:tc>
          <w:tcPr>
            <w:tcW w:w="1252" w:type="dxa"/>
            <w:vAlign w:val="center"/>
            <w:hideMark/>
          </w:tcPr>
          <w:p w:rsidR="00646A25" w:rsidRPr="00BC0897" w:rsidRDefault="00646A25" w:rsidP="00A44008">
            <w:pPr>
              <w:spacing w:after="0"/>
              <w:jc w:val="center"/>
              <w:rPr>
                <w:rFonts w:ascii="Times New Roman" w:hAnsi="Times New Roman" w:cs="Times New Roman"/>
                <w:b/>
                <w:sz w:val="20"/>
                <w:szCs w:val="20"/>
              </w:rPr>
            </w:pPr>
            <w:r w:rsidRPr="00BC0897">
              <w:rPr>
                <w:rFonts w:ascii="Times New Roman" w:hAnsi="Times New Roman" w:cs="Times New Roman"/>
                <w:b/>
                <w:sz w:val="20"/>
                <w:szCs w:val="20"/>
                <w:lang w:val="en-US"/>
              </w:rPr>
              <w:fldChar w:fldCharType="begin"/>
            </w:r>
            <w:r w:rsidR="00040F98" w:rsidRPr="00BC0897">
              <w:rPr>
                <w:rFonts w:ascii="Times New Roman" w:hAnsi="Times New Roman" w:cs="Times New Roman"/>
                <w:b/>
                <w:sz w:val="20"/>
                <w:szCs w:val="20"/>
              </w:rPr>
              <w:instrText xml:space="preserve"> ADDIN ZOTERO_ITEM CSL_CITATION {"citationID":"k3FRyeAx","properties":{"formattedCitation":"(Yamamoto et al. 2000)","plainCitation":"(Yamamoto et al. 2000)","noteIndex":0},"citationItems":[{"id":"p7ATYret/t3Q1ynDY","uris":["http://zotero.org/users/local/jkkvYBSC/items/AWXR366C"],"uri":["http://zotero.org/users/local/jkkvYBSC/items/AWXR366C"],"itemData":{"id":"p7ATYret/t3Q1ynDY","type":"article-journal","abstract":"Dent's disease is an X-linked renal tubular disorder characterized by low molecular weight proteinuria, hypercalciuria, nephrocalcinosis, nephrolithiasis, and renal failure. The disease is caused by mutations in a renal chloride channel gene, CLCN5, which encodes a 746 amino acid protein (CLC-5), with 12 to 13 transmembrane domains. In this study, an additional six unrelated patients with Dent's disease were identified and investigated for CLCN5 mutations by DNA sequence analysis of the 11 coding exons of CLCN5. This revealed six mutations: four frameshift deletions involving codons 392, 394, 658, and 728, one nonsense mutation (Tyr617Stop), and an A to T transversion at codon 601 that would result in either a missense mutation (Asp601Val) or creation of a novel donor splice site. These mutations were confirmed by restriction endonuclease or sequence-specific oligonucleotide hybridization analysis and were not common polymorphisms. The frameshift deletions and nonsense mutation predict truncated and inactivated CLC-5. The effects of the putative missense Asp601Val mutant CLC-5 were assessed by heterologous expression in Xenopus oocytes, and this revealed a chloride conductance that was similar to that observed for wild-type CLC-5. However, an analysis of the mutant CLCN5 transcripts revealed utilization of the novel donor splice site, resulting in a truncated CLC-5. Thus, all of the six mutations are likely to result in truncated CLC-5 and a loss of function, and these findings expand the spectrum of CLCN5 mutations associated with Dent's disease.","container-title":"Journal of the American Society of Nephrology: JASN","ISSN":"1046-6673","issue":"8","journalAbbreviation":"J. Am. Soc. Nephrol.","language":"eng","note":"PMID: 10906159","page":"1460-1468","source":"PubMed","title":"Characterization of renal chloride channel (CLCN5) mutations in Dent's disease","volume":"11","author":[{"family":"Yamamoto","given":"K."},{"family":"Cox","given":"J. P."},{"family":"Friedrich","given":"T."},{"family":"Christie","given":"P. T."},{"family":"Bald","given":"M."},{"family":"Houtman","given":"P. N."},{"family":"Lapsley","given":"M. J."},{"family":"Patzer","given":"L."},{"family":"Tsimaratos","given":"M."},{"family":"Van'T Hoff","given":"W. G."},{"family":"Yamaoka","given":"K."},{"family":"Jentsch","given":"T. J."},{"family":"Thakker","given":"R. V."}],"issued":{"date-parts":[["2000",8]]}}}],"schema":"https://github.com/citation-style-language/schema/raw/master/csl-citation.json"} </w:instrText>
            </w:r>
            <w:r w:rsidRPr="00BC0897">
              <w:rPr>
                <w:rFonts w:ascii="Times New Roman" w:hAnsi="Times New Roman" w:cs="Times New Roman"/>
                <w:b/>
                <w:sz w:val="20"/>
                <w:szCs w:val="20"/>
                <w:lang w:val="en-US"/>
              </w:rPr>
              <w:fldChar w:fldCharType="separate"/>
            </w:r>
            <w:r w:rsidR="00040F98" w:rsidRPr="00BC0897">
              <w:rPr>
                <w:rFonts w:ascii="Times New Roman" w:hAnsi="Times New Roman" w:cs="Times New Roman"/>
                <w:sz w:val="20"/>
              </w:rPr>
              <w:t>(Yamamoto et al. 2000)</w:t>
            </w:r>
            <w:r w:rsidRPr="00BC0897">
              <w:rPr>
                <w:rFonts w:ascii="Times New Roman" w:hAnsi="Times New Roman" w:cs="Times New Roman"/>
                <w:b/>
                <w:sz w:val="20"/>
                <w:szCs w:val="20"/>
                <w:lang w:val="en-US"/>
              </w:rPr>
              <w:fldChar w:fldCharType="end"/>
            </w:r>
          </w:p>
        </w:tc>
        <w:tc>
          <w:tcPr>
            <w:tcW w:w="1132" w:type="dxa"/>
            <w:vAlign w:val="center"/>
            <w:hideMark/>
          </w:tcPr>
          <w:p w:rsidR="00646A25" w:rsidRPr="00BC0897" w:rsidRDefault="00646A25" w:rsidP="00A44008">
            <w:pPr>
              <w:spacing w:after="0"/>
              <w:jc w:val="center"/>
              <w:rPr>
                <w:rFonts w:ascii="Times New Roman" w:hAnsi="Times New Roman" w:cs="Times New Roman"/>
                <w:b/>
                <w:sz w:val="20"/>
                <w:szCs w:val="20"/>
              </w:rPr>
            </w:pPr>
            <w:r w:rsidRPr="00BC0897">
              <w:rPr>
                <w:rFonts w:ascii="Times New Roman" w:hAnsi="Times New Roman" w:cs="Times New Roman"/>
                <w:b/>
                <w:sz w:val="20"/>
                <w:szCs w:val="20"/>
                <w:lang w:val="en-US"/>
              </w:rPr>
              <w:fldChar w:fldCharType="begin"/>
            </w:r>
            <w:r w:rsidR="00040F98" w:rsidRPr="00BC0897">
              <w:rPr>
                <w:rFonts w:ascii="Times New Roman" w:hAnsi="Times New Roman" w:cs="Times New Roman"/>
                <w:b/>
                <w:sz w:val="20"/>
                <w:szCs w:val="20"/>
              </w:rPr>
              <w:instrText xml:space="preserve"> ADDIN ZOTERO_ITEM CSL_CITATION {"citationID":"cnc383En","properties":{"formattedCitation":"(Takemura et al. 2001)","plainCitation":"(Takemura et al. 2001)","noteIndex":0},"citationItems":[{"id":1459,"uris":["http://zotero.org/users/local/jkkvYBSC/items/5IGPCBQ9"],"uri":["http://zotero.org/users/local/jkkvYBSC/items/5IGPCBQ9"],"itemData":{"id":1459,"type":"article-journal","abstract":"Two Japanese patients, belonging to unrelated families, with idiopathic low-molecular-weight proteinuria (LMWP; Japanese Dent's disease) showed novel mutations of the gene encoding renal-specific chloride channel 5 (CLC-5). Proteinuria was first noticed at the ages of 2 and 3 years in patients 1 and 2, respectively. During follow-up, marked increases in urinary ss(2)-microglobulin levels, hypercalciuria, and high levels of urinary excretion of growth hormone were observed in both patients. Nephrocalcinosis was detected in patient 2. Renal biopsy specimens from both patients showed minimal alterations in glomeruli and tubulointerstitium, except for mild mesangial proliferation in patient 2. DNA sequence analysis of the entire 2,238-bp coding region and exon-intron boundaries of the CLCN5 gene showed the presence of two novel mutations in exon 10, consisting of one missense mutation (I524K) in patient 1 and one nonsense mutation (R637X) in patient 2. DNA analysis and measurement of urinary ss(2)-microglobulin levels in family members indicated an X-linked mode of inheritance in patient 1 and sporadic occurrence in patient 2. These results have expanded our understanding of the association between idiopathic LMWP (Japanese Dent's disease) and mutations of the CLCN5 gene.","container-title":"American Journal of Kidney Diseases: The Official Journal of the National Kidney Foundation","DOI":"10.1016/s0272-6386(01)80067-6","ISSN":"1523-6838","issue":"1","journalAbbreviation":"Am. J. Kidney Dis.","language":"eng","note":"PMID: 11136179","page":"138-143","source":"PubMed","title":"Identification of two novel mutations in the CLCN5 gene in Japanese patients with familial idiopathic low molecular weight proteinuria (Japanese Dent's disease)","volume":"37","author":[{"family":"Takemura","given":"T."},{"family":"Hino","given":"S."},{"family":"Ikeda","given":"M."},{"family":"Okada","given":"M."},{"family":"Igarashi","given":"T."},{"family":"Inatomi","given":"J."},{"family":"Yoshioka","given":"K."}],"issued":{"date-parts":[["2001",1]]}}}],"schema":"https://github.com/citation-style-language/schema/raw/master/csl-citation.json"} </w:instrText>
            </w:r>
            <w:r w:rsidRPr="00BC0897">
              <w:rPr>
                <w:rFonts w:ascii="Times New Roman" w:hAnsi="Times New Roman" w:cs="Times New Roman"/>
                <w:b/>
                <w:sz w:val="20"/>
                <w:szCs w:val="20"/>
                <w:lang w:val="en-US"/>
              </w:rPr>
              <w:fldChar w:fldCharType="separate"/>
            </w:r>
            <w:r w:rsidR="00040F98" w:rsidRPr="00BC0897">
              <w:rPr>
                <w:rFonts w:ascii="Times New Roman" w:hAnsi="Times New Roman" w:cs="Times New Roman"/>
                <w:sz w:val="20"/>
              </w:rPr>
              <w:t>(Takemura et al. 2001)</w:t>
            </w:r>
            <w:r w:rsidRPr="00BC0897">
              <w:rPr>
                <w:rFonts w:ascii="Times New Roman" w:hAnsi="Times New Roman" w:cs="Times New Roman"/>
                <w:b/>
                <w:sz w:val="20"/>
                <w:szCs w:val="20"/>
                <w:lang w:val="en-US"/>
              </w:rPr>
              <w:fldChar w:fldCharType="end"/>
            </w:r>
          </w:p>
        </w:tc>
        <w:tc>
          <w:tcPr>
            <w:tcW w:w="1056" w:type="dxa"/>
            <w:vAlign w:val="center"/>
            <w:hideMark/>
          </w:tcPr>
          <w:p w:rsidR="00646A25" w:rsidRPr="00BC0897" w:rsidRDefault="00646A25" w:rsidP="00A44008">
            <w:pPr>
              <w:spacing w:after="0"/>
              <w:jc w:val="center"/>
              <w:rPr>
                <w:rFonts w:ascii="Times New Roman" w:hAnsi="Times New Roman" w:cs="Times New Roman"/>
                <w:b/>
                <w:sz w:val="20"/>
                <w:szCs w:val="20"/>
              </w:rPr>
            </w:pPr>
            <w:r w:rsidRPr="00BC0897">
              <w:rPr>
                <w:rFonts w:ascii="Times New Roman" w:hAnsi="Times New Roman" w:cs="Times New Roman"/>
                <w:b/>
                <w:sz w:val="20"/>
                <w:szCs w:val="20"/>
                <w:lang w:val="en-US"/>
              </w:rPr>
              <w:fldChar w:fldCharType="begin"/>
            </w:r>
            <w:r w:rsidR="000F21AB" w:rsidRPr="00BC0897">
              <w:rPr>
                <w:rFonts w:ascii="Times New Roman" w:hAnsi="Times New Roman" w:cs="Times New Roman"/>
                <w:b/>
                <w:sz w:val="20"/>
                <w:szCs w:val="20"/>
              </w:rPr>
              <w:instrText xml:space="preserve"> ADDIN ZOTERO_ITEM CSL_CITATION {"citationID":"7TUzXnU3","properties":{"formattedCitation":"(Carballo-Trujillo et al. 2003)","plainCitation":"(Carballo-Trujillo et al. 2003)","noteIndex":0},"citationItems":[{"id":1603,"uris":["http://zotero.org/users/local/jkkvYBSC/items/2HWFEMCY"],"uri":["http://zotero.org/users/local/jkkvYBSC/items/2HWFEMCY"],"itemData":{"id":1603,"type":"article-journal","abstract":"BACKGROUND: Dent's disease is characterized by low-molecular-weight proteinuria, hypercalciuria, nephrocalcinosis, nephrolithiasis, rickets and eventual renal failure. The disease is caused by mutations in the X-linked chloride channel CLCN5 gene, which encodes a 746-amino-acid protein expressed in renal tubules. These mutations have been reported in unrelated families from the UK, USA, Japan and other countries. We were interested in identifying additional mutations in the CLCN5 coding region of Spanish patients with Dent's disease.\nMETHODS: Five patients from three unrelated Spanish families were studied. Leukocyte genomic DNA from patients and their relatives was used with CLCN5-specific primers for polymerase chain reaction amplification of the coding region and exon-intron boundaries. Amplified products were analysed by single-strand conformational polymorphism analysis, DNA sequencing and restriction enzyme analysis.\nRESULTS: Low-molecular-weight proteinuria and hypercalciuria were detected in all the patients, nephrocalcinosis in two patients, and rickets or osteopenia in three patients. We identified three new CLCN5 mutations consisting of two nonsense mutations, Leu433Stop and Arg718Stop, and an insertional frameshift mutation, 65insT, which results in a stop at codon 98. These three mutations predict truncated ClC-5 proteins that, respectively, lack 314, 649 and 28 amino acids at the carboxy terminus, and are likely to result in loss of function. These mutations were shown to co-segregate with the disease in each of the three families.\nCONCLUSIONS: Our study is the first to characterize mutations in the CLCN5 gene in Spanish patients with Dent's disease and expands the spectrum of CLCN5 mutations associated with this disease.","container-title":"Nephrology, Dialysis, Transplantation: Official Publication of the European Dialysis and Transplant Association - European Renal Association","DOI":"10.1093/ndt/gfg016","ISSN":"0931-0509","issue":"4","journalAbbreviation":"Nephrol. Dial. Transplant.","language":"eng","note":"PMID: 12637640","page":"717-723","source":"PubMed","title":"Novel truncating mutations in the ClC-5 chloride channel gene in patients with Dent's disease","volume":"18","author":[{"family":"Carballo-Trujillo","given":"Irma"},{"family":"Garcia-Nieto","given":"Victor"},{"family":"Moya-Angeler","given":"Francisco J."},{"family":"Antón-Gamero","given":"Montserrat"},{"family":"Loris","given":"Cesar"},{"family":"Méndez-Alvarez","given":"Sebastián"},{"family":"Claverie-Martin","given":"Felix"}],"issued":{"date-parts":[["2003",4]]}}}],"schema":"https://github.com/citation-style-language/schema/raw/master/csl-citation.json"} </w:instrText>
            </w:r>
            <w:r w:rsidRPr="00BC0897">
              <w:rPr>
                <w:rFonts w:ascii="Times New Roman" w:hAnsi="Times New Roman" w:cs="Times New Roman"/>
                <w:b/>
                <w:sz w:val="20"/>
                <w:szCs w:val="20"/>
                <w:lang w:val="en-US"/>
              </w:rPr>
              <w:fldChar w:fldCharType="separate"/>
            </w:r>
            <w:r w:rsidR="000F21AB" w:rsidRPr="00BC0897">
              <w:rPr>
                <w:rFonts w:ascii="Times New Roman" w:hAnsi="Times New Roman" w:cs="Times New Roman"/>
                <w:sz w:val="20"/>
                <w:szCs w:val="20"/>
              </w:rPr>
              <w:t>(Carballo-Trujillo et al. 2003)</w:t>
            </w:r>
            <w:r w:rsidRPr="00BC0897">
              <w:rPr>
                <w:rFonts w:ascii="Times New Roman" w:hAnsi="Times New Roman" w:cs="Times New Roman"/>
                <w:b/>
                <w:sz w:val="20"/>
                <w:szCs w:val="20"/>
                <w:lang w:val="en-US"/>
              </w:rPr>
              <w:fldChar w:fldCharType="end"/>
            </w:r>
          </w:p>
        </w:tc>
        <w:tc>
          <w:tcPr>
            <w:tcW w:w="1263" w:type="dxa"/>
            <w:vAlign w:val="center"/>
            <w:hideMark/>
          </w:tcPr>
          <w:p w:rsidR="00646A25" w:rsidRPr="00BC0897" w:rsidRDefault="00646A25"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00040F98" w:rsidRPr="00BC0897">
              <w:rPr>
                <w:rFonts w:ascii="Times New Roman" w:hAnsi="Times New Roman" w:cs="Times New Roman"/>
                <w:b/>
                <w:sz w:val="20"/>
                <w:szCs w:val="20"/>
                <w:lang w:val="en-US"/>
              </w:rPr>
              <w:instrText xml:space="preserve"> ADDIN ZOTERO_ITEM CSL_CITATION {"citationID":"fkXvwfWJ","properties":{"formattedCitation":"(Matsuyama et al. 2004)","plainCitation":"(Matsuyama et al. 2004)","noteIndex":0},"citationItems":[{"id":"p7ATYret/9mj6WikF","uris":["http://zotero.org/users/local/jkkvYBSC/items/7XS7KDRE"],"uri":["http://zotero.org/users/local/jkkvYBSC/items/7XS7KDRE"],"itemData":{"id":"p7ATYret/9mj6WikF","type":"article-journal","abstract":"BACKGROUND: Dent's disease is an X-linked renal tubular disorder characterized by low-molecular-weight-proteinuria, hypercalciuria, nephrolithiasis and renal failure. The disease is due to inactivation of a renal chloride channel gene, CLCN5. We have investigated 3 unrelated Japanese families for CLCN5 mutations and assessed the carrier mothers biochemically and ultrasonogaraphically to ascertain whether these clinical examinations can predict the carrier state of the disease.\nMATERIAL AND METHODS: Twelve members from these families were studied biochemically and ultrasonographically. Leukocyte DNA from probands was used with CLCN5-specific primers for PCR amplification of the coding region and exon-intron boundaries, and the DNA sequences of the products determined to identify abnormalities in the gene.\nRESULTS: Three novel CLCN5 mutations consisting of a single base \"A\" insertion between nucleotides 590 and 591, a nonsense mutation (R28X) and a missense mutation (G506R) were exhibited. Hypophosphatemia was detected in 2 patients, beta2-microglobulinuria, alpha1-microglobulinuria, and hyperretinol binding proteinuria in 6 patients, hypercalciuria in 5 patients, decreased urine osmolality in 3 patients, and nephrocalcinosis or nephrolithiasis in 4 patients. Biochemical analysis of the urine and the renal ultrasonography in each carrier mother were completely normal.\nCONCLUSIONS: Neither urinary low-molecular-weight-proteins, urinary calcium to creatinine ratio, nor renal ultrasonography was predictive of carrier state in the 3 families with this disease, although each carrier mother had CLCN5 mutation. Hypophosphatemia and decreased urine osmolality might be a hint to suspect the carrier state of Dent's disease, although these findings are not found frequently.","container-title":"Clinical Nephrology","DOI":"10.5414/cnp61231","ISSN":"0301-0430","issue":"4","journalAbbreviation":"Clin. Nephrol.","language":"eng","note":"PMID: 15125028","page":"231-237","source":"PubMed","title":"Molecular and clinical studies of Dent's disease in Japan: biochemical examination and renal ultrasonography do not predict carrier state","title-short":"Molecular and clinical studies of Dent's disease in Japan","volume":"61","author":[{"family":"Matsuyama","given":"T."},{"family":"Awazu","given":"M."},{"family":"Oikawa","given":"T."},{"family":"Inatomi","given":"J."},{"family":"Sekine","given":"T."},{"family":"Igarashi","given":"T."}],"issued":{"date-parts":[["2004",4]]}}}],"schema":"https://github.com/citation-style-language/schema/raw/master/csl-citation.json"} </w:instrText>
            </w:r>
            <w:r w:rsidRPr="00BC0897">
              <w:rPr>
                <w:rFonts w:ascii="Times New Roman" w:hAnsi="Times New Roman" w:cs="Times New Roman"/>
                <w:b/>
                <w:sz w:val="20"/>
                <w:szCs w:val="20"/>
                <w:lang w:val="en-US"/>
              </w:rPr>
              <w:fldChar w:fldCharType="separate"/>
            </w:r>
            <w:r w:rsidR="00040F98" w:rsidRPr="00BC0897">
              <w:rPr>
                <w:rFonts w:ascii="Times New Roman" w:hAnsi="Times New Roman" w:cs="Times New Roman"/>
                <w:sz w:val="20"/>
              </w:rPr>
              <w:t>(Matsuyama et al. 2004)</w:t>
            </w:r>
            <w:r w:rsidRPr="00BC0897">
              <w:rPr>
                <w:rFonts w:ascii="Times New Roman" w:hAnsi="Times New Roman" w:cs="Times New Roman"/>
                <w:b/>
                <w:sz w:val="20"/>
                <w:szCs w:val="20"/>
                <w:lang w:val="en-US"/>
              </w:rPr>
              <w:fldChar w:fldCharType="end"/>
            </w:r>
          </w:p>
        </w:tc>
        <w:tc>
          <w:tcPr>
            <w:tcW w:w="936" w:type="dxa"/>
            <w:vAlign w:val="center"/>
            <w:hideMark/>
          </w:tcPr>
          <w:p w:rsidR="00646A25" w:rsidRPr="00BC0897" w:rsidRDefault="00646A25"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000F21AB" w:rsidRPr="00BC0897">
              <w:rPr>
                <w:rFonts w:ascii="Times New Roman" w:hAnsi="Times New Roman" w:cs="Times New Roman"/>
                <w:b/>
                <w:sz w:val="20"/>
                <w:szCs w:val="20"/>
                <w:lang w:val="en-US"/>
              </w:rPr>
              <w:instrText xml:space="preserve"> ADDIN ZOTERO_ITEM CSL_CITATION {"citationID":"jLTgwhAO","properties":{"formattedCitation":"(Hoopes et al. 2004)","plainCitation":"(Hoopes et al. 2004)","noteIndex":0},"citationItems":[{"id":439,"uris":["http://zotero.org/users/local/jkkvYBSC/items/VVSZXVD9"],"uri":["http://zotero.org/users/local/jkkvYBSC/items/VVSZXVD9"],"itemData":{"id":439,"type":"article-journal","abstract":"BACKGROUND: Dent's disease (X-linked nephrolithiasis) is a proximal tubulopathy that has been consistently associated with inactivating mutations in the CLCN5 gene encoding the ClC-5 chloride channel expressed in tubular epithelial cells.\nMETHODS: We performed mutation analysis of the coding region of CLCN5 by DNA sequencing in 32 unrelated males, all of whom met the following three clinical criteria for the diagnosis of Dent's disease: (1) low-molecular-weight (LMW) proteinuria; (2) hypercalciuria; and (3) at least one of the following: nephrocalcinosis, kidney stones, renal insufficiency, hypophosphatemia, or hematuria.\nRESULTS: Sixteen mutations (ten missense, four nonsense, two frameshift) were found in 19 patients. Mutations were confirmed by restriction analysis or allele-specific polymerase chain reaction (PCR), segregated with disease in the families, and were not polymorphisms. In the other 13 patients with Dent's disease, the coding sequence of CLCN5 was normal. In these 13 patients, we also sequenced two regions of the CLCN5 promoter (626 and 586 bp, respectively, 2.1 and 1 kb upstream of exon 2) containing regulatory sites [activating protein-1 (AP-1)-like, AP-4, and cyclic adenosine monophosphate (cAMP)-receptor element binding protein (CREB)] and primary and secondary transcription start sites. We found no mutations in these promoter sequences in any of the 13 patients. In one three-generation family, the absence of mutation was confirmed by sequencing in two additional affected family members, and in this family haplotype analysis excluded linkage to the region of the CLCN5 gene. There were no differences between the 19 patients with CLCN5 mutations and the 13 without mutations with regard to any clinical features of Dent's disease.\nCONCLUSION: These findings suggest that mutation in other gene(s) may be responsible for the phenotype of Dent's disease in some patients.","container-title":"Kidney International","DOI":"10.1111/j.1523-1755.2004.00571.x","ISSN":"0085-2538","issue":"5","journalAbbreviation":"Kidney Int.","language":"eng","note":"PMID: 15086899","page":"1615-1620","source":"PubMed","title":"Evidence for genetic heterogeneity in Dent's disease","volume":"65","author":[{"family":"Hoopes","given":"Richard R."},{"family":"Raja","given":"Khalid M."},{"family":"Koich","given":"April"},{"family":"Hueber","given":"Paul"},{"family":"Reid","given":"Robert"},{"family":"Knohl","given":"Stephen J."},{"family":"Scheinman","given":"Steven J."}],"issued":{"date-parts":[["2004",5]]}}}],"schema":"https://github.com/citation-style-language/schema/raw/master/csl-citation.json"} </w:instrText>
            </w:r>
            <w:r w:rsidRPr="00BC0897">
              <w:rPr>
                <w:rFonts w:ascii="Times New Roman" w:hAnsi="Times New Roman" w:cs="Times New Roman"/>
                <w:b/>
                <w:sz w:val="20"/>
                <w:szCs w:val="20"/>
                <w:lang w:val="en-US"/>
              </w:rPr>
              <w:fldChar w:fldCharType="separate"/>
            </w:r>
            <w:r w:rsidR="000F21AB" w:rsidRPr="00BC0897">
              <w:rPr>
                <w:rFonts w:ascii="Times New Roman" w:hAnsi="Times New Roman" w:cs="Times New Roman"/>
                <w:sz w:val="20"/>
                <w:szCs w:val="20"/>
              </w:rPr>
              <w:t>(Hoopes et al. 2004)</w:t>
            </w:r>
            <w:r w:rsidRPr="00BC0897">
              <w:rPr>
                <w:rFonts w:ascii="Times New Roman" w:hAnsi="Times New Roman" w:cs="Times New Roman"/>
                <w:b/>
                <w:sz w:val="20"/>
                <w:szCs w:val="20"/>
                <w:lang w:val="en-US"/>
              </w:rPr>
              <w:fldChar w:fldCharType="end"/>
            </w:r>
          </w:p>
        </w:tc>
        <w:tc>
          <w:tcPr>
            <w:tcW w:w="936" w:type="dxa"/>
            <w:vAlign w:val="center"/>
            <w:hideMark/>
          </w:tcPr>
          <w:p w:rsidR="00646A25" w:rsidRPr="00BC0897" w:rsidRDefault="00646A25"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00621AE4" w:rsidRPr="00BC0897">
              <w:rPr>
                <w:rFonts w:ascii="Times New Roman" w:hAnsi="Times New Roman" w:cs="Times New Roman"/>
                <w:b/>
                <w:sz w:val="20"/>
                <w:szCs w:val="20"/>
                <w:lang w:val="en-US"/>
              </w:rPr>
              <w:instrText xml:space="preserve"> ADDIN ZOTERO_ITEM CSL_CITATION {"citationID":"uixfIQEq","properties":{"formattedCitation":"(Cheong et al. 2005)","plainCitation":"(Cheong et al. 2005)","noteIndex":0},"citationItems":[{"id":1441,"uris":["http://zotero.org/users/local/jkkvYBSC/items/XYSK6TXN"],"uri":["http://zotero.org/users/local/jkkvYBSC/items/XYSK6TXN"],"itemData":{"id":1441,"type":"article-journal","abstract":"Dent's disease is a hereditary renal tubular disorder caused by mutations of the CLCN5 gene and is clinically characterized by low molecular weight proteinuria, hypercalciuria and nephrocalcinosis. This disease has been reported in several countries. However, there are some phenotypic differences between countries, such as hypophosphatemic rickets, progressive renal failure and hematuria. In this study, phenotypes were analyzed in three Korean boys with Dent's disease, and genetic diagnoses were performed using a new convenient method using peripheral blood RNA. Gene studies revealed two nonsense mutations, R637X in two patients and E609X in one patient. The phenotypes of the two patients with R637X were very similar to those of Japanese patients, i.e., they presented with asymptomatic proteinuria without rickets, renal failure or hematuria. The E609X patient was diagnosed genetically at 3 months of age before the onset of clinical symptoms because of superimposed furosemide-induced nephrolithiasis. This is the first report to characterize mutations in the CLCN5 gene in Korean patients with Dent's disease, and expands the spectrum of CLCN5 mutations by reporting a novel mutation, E609X. In addition, the mutational analysis using peripheral blood RNA can be easily applied in the clinical diagnosis.","container-title":"Pediatric Nephrology (Berlin, Germany)","DOI":"10.1007/s00467-004-1769-5","ISSN":"0931-041X","issue":"4","journalAbbreviation":"Pediatr. Nephrol.","language":"eng","note":"PMID: 15719255","page":"455-459","source":"PubMed","title":"Phenotype and genotype of Dent's disease in three Korean boys","volume":"20","author":[{"family":"Cheong","given":"Hae Il"},{"family":"Lee","given":"Jung Won"},{"family":"Zheng","given":"Shou Huan"},{"family":"Lee","given":"Joo Hoon"},{"family":"Kang","given":"Ju Hyung"},{"family":"Kang","given":"Hee Gyung"},{"family":"Ha","given":"Il Soo"},{"family":"Lee","given":"Seung Joo"},{"family":"Choi","given":"Yong"}],"issued":{"date-parts":[["2005",4]]}}}],"schema":"https://github.com/citation-style-language/schema/raw/master/csl-citation.json"} </w:instrText>
            </w:r>
            <w:r w:rsidRPr="00BC0897">
              <w:rPr>
                <w:rFonts w:ascii="Times New Roman" w:hAnsi="Times New Roman" w:cs="Times New Roman"/>
                <w:b/>
                <w:sz w:val="20"/>
                <w:szCs w:val="20"/>
                <w:lang w:val="en-US"/>
              </w:rPr>
              <w:fldChar w:fldCharType="separate"/>
            </w:r>
            <w:r w:rsidR="00621AE4" w:rsidRPr="00BC0897">
              <w:rPr>
                <w:rFonts w:ascii="Times New Roman" w:hAnsi="Times New Roman" w:cs="Times New Roman"/>
                <w:sz w:val="20"/>
              </w:rPr>
              <w:t>(Cheong et al. 2005)</w:t>
            </w:r>
            <w:r w:rsidRPr="00BC0897">
              <w:rPr>
                <w:rFonts w:ascii="Times New Roman" w:hAnsi="Times New Roman" w:cs="Times New Roman"/>
                <w:b/>
                <w:sz w:val="20"/>
                <w:szCs w:val="20"/>
                <w:lang w:val="en-US"/>
              </w:rPr>
              <w:fldChar w:fldCharType="end"/>
            </w:r>
          </w:p>
        </w:tc>
        <w:tc>
          <w:tcPr>
            <w:tcW w:w="936" w:type="dxa"/>
            <w:vAlign w:val="center"/>
            <w:hideMark/>
          </w:tcPr>
          <w:p w:rsidR="00646A25" w:rsidRPr="00BC0897" w:rsidRDefault="00646A25"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005C2768" w:rsidRPr="00BC0897">
              <w:rPr>
                <w:rFonts w:ascii="Times New Roman" w:hAnsi="Times New Roman" w:cs="Times New Roman"/>
                <w:b/>
                <w:sz w:val="20"/>
                <w:szCs w:val="20"/>
                <w:lang w:val="en-US"/>
              </w:rPr>
              <w:instrText xml:space="preserve"> ADDIN ZOTERO_ITEM CSL_CITATION {"citationID":"jGIqLSHw","properties":{"formattedCitation":"(Tosetto et al. 2006)","plainCitation":"(Tosetto et al. 2006)","noteIndex":0},"citationItems":[{"id":1600,"uris":["http://zotero.org/users/local/jkkvYBSC/items/FRNN5CBU"],"uri":["http://zotero.org/users/local/jkkvYBSC/items/FRNN5CBU"],"itemData":{"id":1600,"type":"article-journal","abstract":"BACKGROUND: Dent's disease is an inherited tubulopathy caused by CLCN5 gene mutations. While a typical phenotype characterized by low-molecular-weight (LMW) proteinuria, hypercalciuria, nephrocalcinosis, nephrolithiasis, rickets and progressive renal failure in various combinations often enables a clinical diagnosis, less severe sub-clinical cases may go under-diagnosed.\nMETHODS: By single-strand conformation polymorphism analysis and direct sequencing, we screened 40 male patients from 40 unrelated families for CLCN5 gene mutations. Twenty-four of these patients had the prominent features of Dent's disease, including LMW proteinuria, hypercalciuria and nephrocalcinosis.\nRESULTS: We identified 24 mutations in the CLCN5 gene in 21/24 patients with a typical phenotype and in 3/16 patients with a partial clinical picture of Dent's disease. Overall, 10 novel CLCN5 mutations were identified (E6fsX11, W58fsX97, 267 del E, Y272C, N340K, F444fsX448, W547X, Q600X, IVS3 +2 G&gt;C and IVS3 -1 G&gt;A), extending the number of mutations identified so far from 75 to 85. The CLCN5 coding sequence was normal in three patients. In the group with an incomplete Dent's disease phenotype, we detected two intronic mutations and one silent substitution leading to the up regulation of an alternatively spliced isoform.\nCONCLUSIONS: Our data confirm the genetic heterogeneity of Dent's disease. In most classic cases, the clinical diagnosis is confirmed by genetic tests.","container-title":"Nephrology Dialysis Transplantation","DOI":"10.1093/ndt/gfl274","ISSN":"0931-0509","issue":"9","journalAbbreviation":"Nephrol. Dial. Transplant.","language":"eng","note":"PMID: 16822791","page":"2452-2463","source":"PubMed","title":"Phenotypic and genetic heterogeneity in Dent's disease--the results of an Italian collaborative study","volume":"21","author":[{"family":"Tosetto","given":"Enrica"},{"family":"Ghiggeri","given":"Gian Marco"},{"family":"Emma","given":"Francesco"},{"family":"Barbano","given":"Giancarlo"},{"family":"Carrea","given":"Alba"},{"family":"Vezzoli","given":"Giuseppe"},{"family":"Torregrossa","given":"Rossella"},{"family":"Cara","given":"Marilena"},{"family":"Ripanti","given":"Gabriele"},{"family":"Ammenti","given":"Anita"},{"family":"Peruzzi","given":"Licia"},{"family":"Murer","given":"Luisa"},{"family":"Ratsch","given":"Ilse Maria"},{"family":"Citron","given":"Lorenzo"},{"family":"Gambaro","given":"Giovanni"},{"family":"D'angelo","given":"Angela"},{"family":"Anglani","given":"Franca"}],"issued":{"date-parts":[["2006",9]]}}}],"schema":"https://github.com/citation-style-language/schema/raw/master/csl-citation.json"} </w:instrText>
            </w:r>
            <w:r w:rsidRPr="00BC0897">
              <w:rPr>
                <w:rFonts w:ascii="Times New Roman" w:hAnsi="Times New Roman" w:cs="Times New Roman"/>
                <w:b/>
                <w:sz w:val="20"/>
                <w:szCs w:val="20"/>
                <w:lang w:val="en-US"/>
              </w:rPr>
              <w:fldChar w:fldCharType="separate"/>
            </w:r>
            <w:r w:rsidR="000F21AB" w:rsidRPr="00BC0897">
              <w:rPr>
                <w:rFonts w:ascii="Times New Roman" w:hAnsi="Times New Roman" w:cs="Times New Roman"/>
                <w:sz w:val="20"/>
                <w:szCs w:val="20"/>
              </w:rPr>
              <w:t>(Tosetto et al. 2006)</w:t>
            </w:r>
            <w:r w:rsidRPr="00BC0897">
              <w:rPr>
                <w:rFonts w:ascii="Times New Roman" w:hAnsi="Times New Roman" w:cs="Times New Roman"/>
                <w:b/>
                <w:sz w:val="20"/>
                <w:szCs w:val="20"/>
                <w:lang w:val="en-US"/>
              </w:rPr>
              <w:fldChar w:fldCharType="end"/>
            </w:r>
          </w:p>
        </w:tc>
        <w:tc>
          <w:tcPr>
            <w:tcW w:w="936" w:type="dxa"/>
            <w:vAlign w:val="center"/>
            <w:hideMark/>
          </w:tcPr>
          <w:p w:rsidR="00646A25" w:rsidRPr="00BC0897" w:rsidRDefault="00646A25" w:rsidP="00A44008">
            <w:pPr>
              <w:spacing w:after="0"/>
              <w:jc w:val="center"/>
              <w:rPr>
                <w:rFonts w:ascii="Times New Roman" w:hAnsi="Times New Roman" w:cs="Times New Roman"/>
                <w:b/>
                <w:sz w:val="20"/>
                <w:szCs w:val="20"/>
              </w:rPr>
            </w:pPr>
            <w:r w:rsidRPr="00BC0897">
              <w:rPr>
                <w:rFonts w:ascii="Times New Roman" w:hAnsi="Times New Roman" w:cs="Times New Roman"/>
                <w:b/>
                <w:sz w:val="20"/>
                <w:szCs w:val="20"/>
                <w:lang w:val="en-US"/>
              </w:rPr>
              <w:fldChar w:fldCharType="begin"/>
            </w:r>
            <w:r w:rsidR="00040F98" w:rsidRPr="00BC0897">
              <w:rPr>
                <w:rFonts w:ascii="Times New Roman" w:hAnsi="Times New Roman" w:cs="Times New Roman"/>
                <w:b/>
                <w:sz w:val="20"/>
                <w:szCs w:val="20"/>
              </w:rPr>
              <w:instrText xml:space="preserve"> ADDIN ZOTERO_ITEM CSL_CITATION {"citationID":"onvuanqA","properties":{"formattedCitation":"(Ramos-Trujillo et al. 2007a)","plainCitation":"(Ramos-Trujillo et al. 2007a)","noteIndex":0},"citationItems":[{"id":"p7ATYret/CFgS9Nux","uris":["http://zotero.org/users/local/jkkvYBSC/items/QTQPB552"],"uri":["http://zotero.org/users/local/jkkvYBSC/items/QTQPB552"],"itemData":{"id":"p7ATYret/CFgS9Nux","type":"article-journal","abstract":"BACKGROUND: Dent's disease is a rare renal tubular disorder characterized by low-molecular weight proteinuria, hypercalciuria, nephrocalcinosis, nephrolithiasis, rickets and eventual renal failure. The selective loss of low-molecular weight proteins points to a defect of the proximal tubule, where filtered proteins are normally reabsorbed by endocytosis. The disease tends to present in childhood or early adult life, and males are more severely affected than females. The disease is caused by mutations in CLCN5 or OCRL1, both on the X chromosome, which code for the chloride/proton exchange transporter ClC-5 and the phosphatidylinositol-4,5-biphosphate-5-phosphatase, respectively.\nMETHODS: Mutational analysis of CLCN5 gene from 4 unrelated patients diagnosed with Dent's disease and their relatives, 3 from Spain and 1 from Bolivia, was performed by PCR and automatic DNA sequencing.\nRESULTS: In the current study, we report the identification of 4 mutations in CLCN5 of 1 family from Bolivia and 3 families from Spain. Two of the mutations are novel and consist of 1 nonsense mutation, Y502X, and 1 missense mutation, L225P, affecting ClC-5alpha-helix F, one of the helices involved in formation of the chloride selectivity filter.\nCONCLUSIONS: Our results add to the expanding spectrum of mutations in CLCN5. This is the first report of a CLCN5 mutation in a Dent's disease patient of South American origin.","container-title":"Clinical Nephrology","DOI":"10.5414/cnp68367","ISSN":"0301-0430","issue":"6","journalAbbreviation":"Clin. Nephrol.","language":"eng","note":"PMID: 18184518","page":"367-372","source":"PubMed","title":"Molecular analysis of the CLCN5 gene in Dent's disease: first mutation identified in a patient from South America","title-short":"Molecular analysis of the CLCN5 gene in Dent's disease","volume":"68","author":[{"family":"Ramos-Trujillo","given":"E."},{"family":"Garcia-Nieto","given":"V."},{"family":"Gonzalez-Acosta","given":"H."},{"family":"Vara","given":"J."},{"family":"Pérez-Diaz","given":"V."},{"family":"Nadal","given":"I."},{"family":"Oliveros","given":"R."},{"family":"Claverie-Martin","given":"F."}],"issued":{"date-parts":[["2007",12]]}}}],"schema":"https://github.com/citation-style-language/schema/raw/master/csl-citation.json"} </w:instrText>
            </w:r>
            <w:r w:rsidRPr="00BC0897">
              <w:rPr>
                <w:rFonts w:ascii="Times New Roman" w:hAnsi="Times New Roman" w:cs="Times New Roman"/>
                <w:b/>
                <w:sz w:val="20"/>
                <w:szCs w:val="20"/>
                <w:lang w:val="en-US"/>
              </w:rPr>
              <w:fldChar w:fldCharType="separate"/>
            </w:r>
            <w:r w:rsidR="00040F98" w:rsidRPr="00BC0897">
              <w:rPr>
                <w:rFonts w:ascii="Times New Roman" w:hAnsi="Times New Roman" w:cs="Times New Roman"/>
                <w:sz w:val="20"/>
              </w:rPr>
              <w:t>(Ramos-Trujillo et al. 2007a)</w:t>
            </w:r>
            <w:r w:rsidRPr="00BC0897">
              <w:rPr>
                <w:rFonts w:ascii="Times New Roman" w:hAnsi="Times New Roman" w:cs="Times New Roman"/>
                <w:b/>
                <w:sz w:val="20"/>
                <w:szCs w:val="20"/>
                <w:lang w:val="en-US"/>
              </w:rPr>
              <w:fldChar w:fldCharType="end"/>
            </w:r>
          </w:p>
        </w:tc>
        <w:tc>
          <w:tcPr>
            <w:tcW w:w="1306" w:type="dxa"/>
            <w:vAlign w:val="center"/>
            <w:hideMark/>
          </w:tcPr>
          <w:p w:rsidR="00646A25" w:rsidRPr="00BC0897" w:rsidRDefault="00646A25"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000F21AB" w:rsidRPr="00BC0897">
              <w:rPr>
                <w:rFonts w:ascii="Times New Roman" w:hAnsi="Times New Roman" w:cs="Times New Roman"/>
                <w:b/>
                <w:sz w:val="20"/>
                <w:szCs w:val="20"/>
                <w:lang w:val="en-US"/>
              </w:rPr>
              <w:instrText xml:space="preserve"> ADDIN ZOTERO_ITEM CSL_CITATION {"citationID":"v4lJyMj5","properties":{"formattedCitation":"(Copelovitch et al. 2007)","plainCitation":"(Copelovitch et al. 2007)","noteIndex":0},"citationItems":[{"id":244,"uris":["http://zotero.org/users/local/jkkvYBSC/items/32YPDY8J"],"uri":["http://zotero.org/users/local/jkkvYBSC/items/32YPDY8J"],"itemData":{"id":244,"type":"article-journal","abstract":"BACKGROUND AND OBJECTIVES: Dent disease is a hereditary form of progressive renal failure characterized by hypercalciuria and proximal tubular dysfunction. The clinical presentation is often insidious with the majority of patients remaining asymptomatic throughout childhood. Despite the seemingly mild, early course, more than 20% of 32 asymptomatic patients in one study had biopsy evidence of focal glomerulosclerosis. Furthermore, end-stage renal disease often occurs in men in early to middle adulthood.\nDESIGN, SETTING, PARTICIPANTS, &amp; MEASUREMENTS: This article describes two male patients who presented with asymptomatic proteinuria and were found to have focal glomerulosclerosis. Despite the absence of nephrocalcinosis on renal ultrasound, the diagnosis of Dent disease was considered because of unexplained proteinuria. Subsequent history revealed renal calculi in each maternal family.\nRESULTS: The clinical diagnosis of Dent disease was established by intermittent hypercalciuria and low molecular weight proteinuria and confirmed through mutational analysis.\nCONCLUSIONS: It is hypothesized that a diagnosis of Dent disease may be unrecognized in patients with unexplained proteinuria and idiopathic focal glomerulosclerosis.","container-title":"Clinical journal of the American Society of Nephrology: CJASN","DOI":"10.2215/CJN.00900207","ISSN":"1555-905X","issue":"5","journalAbbreviation":"Clin J Am Soc Nephrol","language":"eng","note":"PMID: 17702731","page":"914-918","source":"PubMed","title":"Hypothesis: Dent disease is an underrecognized cause of focal glomerulosclerosis","title-short":"Hypothesis","volume":"2","author":[{"family":"Copelovitch","given":"Lawrence"},{"family":"Nash","given":"Martin A."},{"family":"Kaplan","given":"Bernard S."}],"issued":{"date-parts":[["2007",9]]}}}],"schema":"https://github.com/citation-style-language/schema/raw/master/csl-citation.json"} </w:instrText>
            </w:r>
            <w:r w:rsidRPr="00BC0897">
              <w:rPr>
                <w:rFonts w:ascii="Times New Roman" w:hAnsi="Times New Roman" w:cs="Times New Roman"/>
                <w:b/>
                <w:sz w:val="20"/>
                <w:szCs w:val="20"/>
                <w:lang w:val="en-US"/>
              </w:rPr>
              <w:fldChar w:fldCharType="separate"/>
            </w:r>
            <w:r w:rsidR="000F21AB" w:rsidRPr="00BC0897">
              <w:rPr>
                <w:rFonts w:ascii="Times New Roman" w:hAnsi="Times New Roman" w:cs="Times New Roman"/>
                <w:sz w:val="20"/>
                <w:szCs w:val="20"/>
              </w:rPr>
              <w:t>(Copelovitch et al. 2007)</w:t>
            </w:r>
            <w:r w:rsidRPr="00BC0897">
              <w:rPr>
                <w:rFonts w:ascii="Times New Roman" w:hAnsi="Times New Roman" w:cs="Times New Roman"/>
                <w:b/>
                <w:sz w:val="20"/>
                <w:szCs w:val="20"/>
                <w:lang w:val="en-US"/>
              </w:rPr>
              <w:fldChar w:fldCharType="end"/>
            </w:r>
          </w:p>
        </w:tc>
        <w:tc>
          <w:tcPr>
            <w:tcW w:w="936" w:type="dxa"/>
            <w:vAlign w:val="center"/>
            <w:hideMark/>
          </w:tcPr>
          <w:p w:rsidR="00646A25" w:rsidRPr="00BC0897" w:rsidRDefault="00646A25" w:rsidP="00A44008">
            <w:pPr>
              <w:spacing w:after="0"/>
              <w:jc w:val="center"/>
              <w:rPr>
                <w:rFonts w:ascii="Times New Roman" w:hAnsi="Times New Roman" w:cs="Times New Roman"/>
                <w:b/>
                <w:sz w:val="20"/>
                <w:szCs w:val="20"/>
              </w:rPr>
            </w:pPr>
            <w:r w:rsidRPr="00BC0897">
              <w:rPr>
                <w:rFonts w:ascii="Times New Roman" w:hAnsi="Times New Roman" w:cs="Times New Roman"/>
                <w:b/>
                <w:sz w:val="20"/>
                <w:szCs w:val="20"/>
                <w:lang w:val="en-US"/>
              </w:rPr>
              <w:fldChar w:fldCharType="begin"/>
            </w:r>
            <w:r w:rsidR="00040F98" w:rsidRPr="00BC0897">
              <w:rPr>
                <w:rFonts w:ascii="Times New Roman" w:hAnsi="Times New Roman" w:cs="Times New Roman"/>
                <w:b/>
                <w:sz w:val="20"/>
                <w:szCs w:val="20"/>
              </w:rPr>
              <w:instrText xml:space="preserve"> ADDIN ZOTERO_ITEM CSL_CITATION {"citationID":"h95PevPx","properties":{"formattedCitation":"(Ramos-Trujillo et al. 2007b)","plainCitation":"(Ramos-Trujillo et al. 2007b)","noteIndex":0},"citationItems":[{"id":1436,"uris":["http://zotero.org/users/local/jkkvYBSC/items/P5TTMMDS"],"uri":["http://zotero.org/users/local/jkkvYBSC/items/P5TTMMDS"],"itemData":{"id":1436,"type":"article-journal","abstract":"Mutations in the voltage-gated chloride/proton antiporter ClC-5 gene, CLCN5, are associated with Dent's disease, an X-linked renal tubulopathy. Our interest is to identify and characterize disease-causing CLCN5 mutations, especially those that alter the splicing of the pre-mRNA. We analyzed the CLCN5 gene from nine unrelated Spanish Dent's disease patients and their relatives by DNA sequencing. Pre-mRNA splicing analysis was performed by RT-PCR. Seven new mutations were identified, consisting of three missense mutations (C219R, F273L, and W547G), one splice-site mutation (IVS-2A &gt; G), one deletion (976delG), and two non-sense mutations (Y140X and W314X). We found that missense mutation W547G also led to increased expression of a new alternative isoform lacking exons 10 and 11 that was expressed in several human tissues. In addition, we describe another novel CLCN5 splicing variant lacking exon 11 alone, which was expressed only in human skeletal muscle. We conclude that missense mutation W547G can also alter the expression levels of a CLCN5 mRNA splicing variant. This type of mutation has not been previously described in the CLCN5 gene. Our results support the importance of a routine analysis at the pre-mRNA level of mutations that are commonly assumed to cause single amino acids alterations.","container-title":"Journal of Human Genetics","DOI":"10.1007/s10038-007-0112-y","ISSN":"1434-5161","issue":"3","journalAbbreviation":"J. Hum. Genet.","language":"eng","note":"PMID: 17262170","page":"255-261","source":"PubMed","title":"A missense mutation in the chloride/proton ClC-5 antiporter gene results in increased expression of an alternative mRNA form that lacks exons 10 and 11. Identification of seven new CLCN5 mutations in patients with Dent's disease","volume":"52","author":[{"family":"Ramos-Trujillo","given":"Elena"},{"family":"González-Acosta","given":"Hilaria"},{"family":"Flores","given":"Carlos"},{"family":"García-Nieto","given":"Víctor"},{"family":"Guillén","given":"Encarna"},{"family":"Gracia","given":"Salvador"},{"family":"Vicente","given":"Carmen"},{"family":"Espinosa","given":"Laura"},{"family":"Maseda","given":"Maria A. Fernández"},{"family":"Santos","given":"Fernando"},{"family":"Camacho","given":"Juan A."},{"family":"Claverie-Martín","given":"Félix"}],"issued":{"date-parts":[["2007"]]}}}],"schema":"https://github.com/citation-style-language/schema/raw/master/csl-citation.json"} </w:instrText>
            </w:r>
            <w:r w:rsidRPr="00BC0897">
              <w:rPr>
                <w:rFonts w:ascii="Times New Roman" w:hAnsi="Times New Roman" w:cs="Times New Roman"/>
                <w:b/>
                <w:sz w:val="20"/>
                <w:szCs w:val="20"/>
                <w:lang w:val="en-US"/>
              </w:rPr>
              <w:fldChar w:fldCharType="separate"/>
            </w:r>
            <w:r w:rsidR="00040F98" w:rsidRPr="00BC0897">
              <w:rPr>
                <w:rFonts w:ascii="Times New Roman" w:hAnsi="Times New Roman" w:cs="Times New Roman"/>
                <w:sz w:val="20"/>
              </w:rPr>
              <w:t>(Ramos-Trujillo et al. 2007b)</w:t>
            </w:r>
            <w:r w:rsidRPr="00BC0897">
              <w:rPr>
                <w:rFonts w:ascii="Times New Roman" w:hAnsi="Times New Roman" w:cs="Times New Roman"/>
                <w:b/>
                <w:sz w:val="20"/>
                <w:szCs w:val="20"/>
                <w:lang w:val="en-US"/>
              </w:rPr>
              <w:fldChar w:fldCharType="end"/>
            </w:r>
          </w:p>
        </w:tc>
      </w:tr>
      <w:tr w:rsidR="00646A25" w:rsidRPr="00BC0897" w:rsidTr="00342726">
        <w:trPr>
          <w:trHeight w:val="300"/>
        </w:trPr>
        <w:tc>
          <w:tcPr>
            <w:tcW w:w="2471"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n</w:t>
            </w:r>
          </w:p>
        </w:tc>
        <w:tc>
          <w:tcPr>
            <w:tcW w:w="1117"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w:t>
            </w:r>
          </w:p>
        </w:tc>
        <w:tc>
          <w:tcPr>
            <w:tcW w:w="125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6*</w:t>
            </w:r>
          </w:p>
        </w:tc>
        <w:tc>
          <w:tcPr>
            <w:tcW w:w="113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w:t>
            </w:r>
          </w:p>
        </w:tc>
        <w:tc>
          <w:tcPr>
            <w:tcW w:w="105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w:t>
            </w:r>
          </w:p>
        </w:tc>
        <w:tc>
          <w:tcPr>
            <w:tcW w:w="1263"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7*</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19*</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21*</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w:t>
            </w:r>
          </w:p>
        </w:tc>
        <w:tc>
          <w:tcPr>
            <w:tcW w:w="130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7*</w:t>
            </w:r>
          </w:p>
        </w:tc>
      </w:tr>
      <w:tr w:rsidR="00646A25" w:rsidRPr="00BC0897" w:rsidTr="00342726">
        <w:trPr>
          <w:trHeight w:val="600"/>
        </w:trPr>
        <w:tc>
          <w:tcPr>
            <w:tcW w:w="2471"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Population</w:t>
            </w:r>
          </w:p>
        </w:tc>
        <w:tc>
          <w:tcPr>
            <w:tcW w:w="1117"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Japanese</w:t>
            </w:r>
          </w:p>
        </w:tc>
        <w:tc>
          <w:tcPr>
            <w:tcW w:w="125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Global</w:t>
            </w:r>
          </w:p>
        </w:tc>
        <w:tc>
          <w:tcPr>
            <w:tcW w:w="113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Japanese</w:t>
            </w:r>
          </w:p>
        </w:tc>
        <w:tc>
          <w:tcPr>
            <w:tcW w:w="105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Spanish</w:t>
            </w:r>
          </w:p>
        </w:tc>
        <w:tc>
          <w:tcPr>
            <w:tcW w:w="1263"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Japanese</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Global</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Korean</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Italian</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Spanish</w:t>
            </w:r>
          </w:p>
        </w:tc>
        <w:tc>
          <w:tcPr>
            <w:tcW w:w="130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American</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Spanish</w:t>
            </w:r>
          </w:p>
        </w:tc>
      </w:tr>
      <w:tr w:rsidR="00646A25" w:rsidRPr="00BC0897" w:rsidTr="00342726">
        <w:trPr>
          <w:trHeight w:val="300"/>
        </w:trPr>
        <w:tc>
          <w:tcPr>
            <w:tcW w:w="2471"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Age (years, range)</w:t>
            </w:r>
          </w:p>
        </w:tc>
        <w:tc>
          <w:tcPr>
            <w:tcW w:w="1117"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3-29</w:t>
            </w:r>
          </w:p>
        </w:tc>
        <w:tc>
          <w:tcPr>
            <w:tcW w:w="125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1-43</w:t>
            </w:r>
          </w:p>
        </w:tc>
        <w:tc>
          <w:tcPr>
            <w:tcW w:w="113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13-16</w:t>
            </w:r>
          </w:p>
        </w:tc>
        <w:tc>
          <w:tcPr>
            <w:tcW w:w="105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0.7-10</w:t>
            </w:r>
          </w:p>
        </w:tc>
        <w:tc>
          <w:tcPr>
            <w:tcW w:w="1263"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1-12</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2.5-39</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0.2-9</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5-29</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2-14</w:t>
            </w:r>
          </w:p>
        </w:tc>
        <w:tc>
          <w:tcPr>
            <w:tcW w:w="130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9-12</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r>
      <w:tr w:rsidR="00646A25" w:rsidRPr="00BC0897" w:rsidTr="00473D63">
        <w:trPr>
          <w:trHeight w:val="300"/>
        </w:trPr>
        <w:tc>
          <w:tcPr>
            <w:tcW w:w="2471"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Proteinuria</w:t>
            </w:r>
          </w:p>
        </w:tc>
        <w:tc>
          <w:tcPr>
            <w:tcW w:w="1117"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3/3</w:t>
            </w:r>
          </w:p>
        </w:tc>
        <w:tc>
          <w:tcPr>
            <w:tcW w:w="1252"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3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2/2</w:t>
            </w:r>
          </w:p>
        </w:tc>
        <w:tc>
          <w:tcPr>
            <w:tcW w:w="105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5/5</w:t>
            </w:r>
          </w:p>
        </w:tc>
        <w:tc>
          <w:tcPr>
            <w:tcW w:w="1263"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6/7</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3/3</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6/6</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4/4</w:t>
            </w:r>
          </w:p>
        </w:tc>
        <w:tc>
          <w:tcPr>
            <w:tcW w:w="130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2/2</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r>
      <w:tr w:rsidR="00646A25" w:rsidRPr="00BC0897" w:rsidTr="00473D63">
        <w:trPr>
          <w:trHeight w:val="300"/>
        </w:trPr>
        <w:tc>
          <w:tcPr>
            <w:tcW w:w="2471"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Nephrotic range proteinuria</w:t>
            </w:r>
          </w:p>
        </w:tc>
        <w:tc>
          <w:tcPr>
            <w:tcW w:w="1117"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0/3</w:t>
            </w:r>
          </w:p>
        </w:tc>
        <w:tc>
          <w:tcPr>
            <w:tcW w:w="1252"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3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0/2</w:t>
            </w:r>
          </w:p>
        </w:tc>
        <w:tc>
          <w:tcPr>
            <w:tcW w:w="105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1/5</w:t>
            </w:r>
          </w:p>
        </w:tc>
        <w:tc>
          <w:tcPr>
            <w:tcW w:w="1263"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0/7</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1/3</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4/6</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1/4</w:t>
            </w:r>
          </w:p>
        </w:tc>
        <w:tc>
          <w:tcPr>
            <w:tcW w:w="130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r>
      <w:tr w:rsidR="00646A25" w:rsidRPr="00BC0897" w:rsidTr="00342726">
        <w:trPr>
          <w:trHeight w:val="300"/>
        </w:trPr>
        <w:tc>
          <w:tcPr>
            <w:tcW w:w="2471"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LMWP</w:t>
            </w:r>
          </w:p>
        </w:tc>
        <w:tc>
          <w:tcPr>
            <w:tcW w:w="1117"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25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05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263"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4/4</w:t>
            </w:r>
          </w:p>
        </w:tc>
        <w:tc>
          <w:tcPr>
            <w:tcW w:w="130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2/2</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r>
      <w:tr w:rsidR="00646A25" w:rsidRPr="00BC0897" w:rsidTr="00342726">
        <w:trPr>
          <w:trHeight w:val="300"/>
        </w:trPr>
        <w:tc>
          <w:tcPr>
            <w:tcW w:w="2471"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Hypercalciuria</w:t>
            </w:r>
          </w:p>
        </w:tc>
        <w:tc>
          <w:tcPr>
            <w:tcW w:w="1117"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25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05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263"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4/4</w:t>
            </w:r>
          </w:p>
        </w:tc>
        <w:tc>
          <w:tcPr>
            <w:tcW w:w="130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2/2</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r>
      <w:tr w:rsidR="00646A25" w:rsidRPr="00BC0897" w:rsidTr="00342726">
        <w:trPr>
          <w:trHeight w:val="300"/>
        </w:trPr>
        <w:tc>
          <w:tcPr>
            <w:tcW w:w="2471"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Hyperphosphaturia</w:t>
            </w:r>
          </w:p>
        </w:tc>
        <w:tc>
          <w:tcPr>
            <w:tcW w:w="1117"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25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05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263"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30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r>
      <w:tr w:rsidR="00646A25" w:rsidRPr="00BC0897" w:rsidTr="00342726">
        <w:trPr>
          <w:trHeight w:val="300"/>
        </w:trPr>
        <w:tc>
          <w:tcPr>
            <w:tcW w:w="2471"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Aminoaciduria</w:t>
            </w:r>
          </w:p>
        </w:tc>
        <w:tc>
          <w:tcPr>
            <w:tcW w:w="1117"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25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05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263"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30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r>
      <w:tr w:rsidR="00646A25" w:rsidRPr="00BC0897" w:rsidTr="00342726">
        <w:trPr>
          <w:trHeight w:val="300"/>
        </w:trPr>
        <w:tc>
          <w:tcPr>
            <w:tcW w:w="2471"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Glycosuria</w:t>
            </w:r>
          </w:p>
        </w:tc>
        <w:tc>
          <w:tcPr>
            <w:tcW w:w="1117"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25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05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263"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30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r>
      <w:tr w:rsidR="00646A25" w:rsidRPr="00BC0897" w:rsidTr="00342726">
        <w:trPr>
          <w:trHeight w:val="300"/>
        </w:trPr>
        <w:tc>
          <w:tcPr>
            <w:tcW w:w="2471"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Nephrocalcinosis</w:t>
            </w:r>
          </w:p>
        </w:tc>
        <w:tc>
          <w:tcPr>
            <w:tcW w:w="1117"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25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05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263"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2/4</w:t>
            </w:r>
          </w:p>
        </w:tc>
        <w:tc>
          <w:tcPr>
            <w:tcW w:w="130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r>
      <w:tr w:rsidR="00646A25" w:rsidRPr="00BC0897" w:rsidTr="00342726">
        <w:trPr>
          <w:trHeight w:val="300"/>
        </w:trPr>
        <w:tc>
          <w:tcPr>
            <w:tcW w:w="2471"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Renal failure</w:t>
            </w:r>
          </w:p>
        </w:tc>
        <w:tc>
          <w:tcPr>
            <w:tcW w:w="1117"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25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05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263"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1/4</w:t>
            </w:r>
          </w:p>
        </w:tc>
        <w:tc>
          <w:tcPr>
            <w:tcW w:w="130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r>
      <w:tr w:rsidR="00646A25" w:rsidRPr="00BC0897" w:rsidTr="00342726">
        <w:trPr>
          <w:trHeight w:val="300"/>
        </w:trPr>
        <w:tc>
          <w:tcPr>
            <w:tcW w:w="2471"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Hypokalemia</w:t>
            </w:r>
          </w:p>
        </w:tc>
        <w:tc>
          <w:tcPr>
            <w:tcW w:w="1117"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25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05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263"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30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0/2</w:t>
            </w: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r>
      <w:tr w:rsidR="00646A25" w:rsidRPr="00BC0897" w:rsidTr="00342726">
        <w:trPr>
          <w:trHeight w:val="300"/>
        </w:trPr>
        <w:tc>
          <w:tcPr>
            <w:tcW w:w="2471" w:type="dxa"/>
            <w:noWrap/>
            <w:vAlign w:val="center"/>
            <w:hideMark/>
          </w:tcPr>
          <w:p w:rsidR="00646A25" w:rsidRPr="00BC0897" w:rsidRDefault="00646A25" w:rsidP="00C228AD">
            <w:pPr>
              <w:spacing w:after="0"/>
              <w:rPr>
                <w:rFonts w:ascii="Times New Roman" w:hAnsi="Times New Roman" w:cs="Times New Roman"/>
                <w:b/>
                <w:sz w:val="20"/>
                <w:szCs w:val="20"/>
                <w:lang w:val="en-US"/>
              </w:rPr>
            </w:pPr>
            <w:proofErr w:type="spellStart"/>
            <w:r w:rsidRPr="00BC0897">
              <w:rPr>
                <w:rFonts w:ascii="Times New Roman" w:hAnsi="Times New Roman" w:cs="Times New Roman"/>
                <w:b/>
                <w:sz w:val="20"/>
                <w:szCs w:val="20"/>
                <w:lang w:val="en-US"/>
              </w:rPr>
              <w:t>Fanconi</w:t>
            </w:r>
            <w:proofErr w:type="spellEnd"/>
            <w:r w:rsidRPr="00BC0897">
              <w:rPr>
                <w:rFonts w:ascii="Times New Roman" w:hAnsi="Times New Roman" w:cs="Times New Roman"/>
                <w:b/>
                <w:sz w:val="20"/>
                <w:szCs w:val="20"/>
                <w:lang w:val="en-US"/>
              </w:rPr>
              <w:t xml:space="preserve"> incomplete</w:t>
            </w:r>
          </w:p>
        </w:tc>
        <w:tc>
          <w:tcPr>
            <w:tcW w:w="1117"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25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05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26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30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BC0897" w:rsidTr="00342726">
        <w:trPr>
          <w:trHeight w:val="300"/>
        </w:trPr>
        <w:tc>
          <w:tcPr>
            <w:tcW w:w="2471" w:type="dxa"/>
            <w:noWrap/>
            <w:vAlign w:val="center"/>
            <w:hideMark/>
          </w:tcPr>
          <w:p w:rsidR="00646A25" w:rsidRPr="00BC0897" w:rsidRDefault="00646A25" w:rsidP="00C228AD">
            <w:pPr>
              <w:spacing w:after="0"/>
              <w:rPr>
                <w:rFonts w:ascii="Times New Roman" w:hAnsi="Times New Roman" w:cs="Times New Roman"/>
                <w:b/>
                <w:sz w:val="20"/>
                <w:szCs w:val="20"/>
                <w:lang w:val="en-US"/>
              </w:rPr>
            </w:pPr>
            <w:proofErr w:type="spellStart"/>
            <w:r w:rsidRPr="00BC0897">
              <w:rPr>
                <w:rFonts w:ascii="Times New Roman" w:hAnsi="Times New Roman" w:cs="Times New Roman"/>
                <w:b/>
                <w:sz w:val="20"/>
                <w:szCs w:val="20"/>
                <w:lang w:val="en-US"/>
              </w:rPr>
              <w:t>Fanconi</w:t>
            </w:r>
            <w:proofErr w:type="spellEnd"/>
            <w:r w:rsidRPr="00BC0897">
              <w:rPr>
                <w:rFonts w:ascii="Times New Roman" w:hAnsi="Times New Roman" w:cs="Times New Roman"/>
                <w:b/>
                <w:sz w:val="20"/>
                <w:szCs w:val="20"/>
                <w:lang w:val="en-US"/>
              </w:rPr>
              <w:t xml:space="preserve"> complete</w:t>
            </w:r>
          </w:p>
        </w:tc>
        <w:tc>
          <w:tcPr>
            <w:tcW w:w="1117"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25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05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26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30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BC0897" w:rsidTr="00342726">
        <w:trPr>
          <w:trHeight w:val="300"/>
        </w:trPr>
        <w:tc>
          <w:tcPr>
            <w:tcW w:w="2471"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Hyperuricosuria</w:t>
            </w:r>
          </w:p>
        </w:tc>
        <w:tc>
          <w:tcPr>
            <w:tcW w:w="1117"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25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0/2</w:t>
            </w:r>
          </w:p>
        </w:tc>
        <w:tc>
          <w:tcPr>
            <w:tcW w:w="105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26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1/3</w:t>
            </w: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3/9</w:t>
            </w: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30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BC0897" w:rsidTr="00342726">
        <w:trPr>
          <w:trHeight w:val="300"/>
        </w:trPr>
        <w:tc>
          <w:tcPr>
            <w:tcW w:w="2471"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Hematuria</w:t>
            </w:r>
          </w:p>
        </w:tc>
        <w:tc>
          <w:tcPr>
            <w:tcW w:w="1117"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2/3</w:t>
            </w:r>
          </w:p>
        </w:tc>
        <w:tc>
          <w:tcPr>
            <w:tcW w:w="125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0/2</w:t>
            </w:r>
          </w:p>
        </w:tc>
        <w:tc>
          <w:tcPr>
            <w:tcW w:w="105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5/5</w:t>
            </w:r>
          </w:p>
        </w:tc>
        <w:tc>
          <w:tcPr>
            <w:tcW w:w="126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5/7</w:t>
            </w: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16/19</w:t>
            </w: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1/3</w:t>
            </w: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30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2/2</w:t>
            </w: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BC0897" w:rsidTr="00342726">
        <w:trPr>
          <w:trHeight w:val="300"/>
        </w:trPr>
        <w:tc>
          <w:tcPr>
            <w:tcW w:w="2471"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Hypophosphatemia</w:t>
            </w:r>
          </w:p>
        </w:tc>
        <w:tc>
          <w:tcPr>
            <w:tcW w:w="1117"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0/2</w:t>
            </w:r>
          </w:p>
        </w:tc>
        <w:tc>
          <w:tcPr>
            <w:tcW w:w="125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0/2</w:t>
            </w:r>
          </w:p>
        </w:tc>
        <w:tc>
          <w:tcPr>
            <w:tcW w:w="105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2/5</w:t>
            </w:r>
          </w:p>
        </w:tc>
        <w:tc>
          <w:tcPr>
            <w:tcW w:w="126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1/6</w:t>
            </w: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9/18</w:t>
            </w: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0/3</w:t>
            </w: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3/20</w:t>
            </w: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30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0/2</w:t>
            </w: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BC0897" w:rsidTr="00342726">
        <w:trPr>
          <w:trHeight w:val="300"/>
        </w:trPr>
        <w:tc>
          <w:tcPr>
            <w:tcW w:w="2471"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Hypocalcemia</w:t>
            </w:r>
          </w:p>
        </w:tc>
        <w:tc>
          <w:tcPr>
            <w:tcW w:w="1117"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0/2</w:t>
            </w:r>
          </w:p>
        </w:tc>
        <w:tc>
          <w:tcPr>
            <w:tcW w:w="125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0/2</w:t>
            </w:r>
          </w:p>
        </w:tc>
        <w:tc>
          <w:tcPr>
            <w:tcW w:w="105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0/5</w:t>
            </w:r>
          </w:p>
        </w:tc>
        <w:tc>
          <w:tcPr>
            <w:tcW w:w="126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0/6</w:t>
            </w: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0/3</w:t>
            </w: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w:t>
            </w: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30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0/2</w:t>
            </w: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BC0897" w:rsidTr="00342726">
        <w:trPr>
          <w:trHeight w:val="300"/>
        </w:trPr>
        <w:tc>
          <w:tcPr>
            <w:tcW w:w="2471"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Hypomagnesemia</w:t>
            </w:r>
          </w:p>
        </w:tc>
        <w:tc>
          <w:tcPr>
            <w:tcW w:w="1117"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25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05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26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2/13</w:t>
            </w: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0/3</w:t>
            </w: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30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BC0897" w:rsidTr="00342726">
        <w:trPr>
          <w:trHeight w:val="300"/>
        </w:trPr>
        <w:tc>
          <w:tcPr>
            <w:tcW w:w="2471"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Failure to thrive</w:t>
            </w:r>
          </w:p>
        </w:tc>
        <w:tc>
          <w:tcPr>
            <w:tcW w:w="1117"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25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0/2</w:t>
            </w:r>
          </w:p>
        </w:tc>
        <w:tc>
          <w:tcPr>
            <w:tcW w:w="105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26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30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2/2</w:t>
            </w: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BC0897" w:rsidTr="00342726">
        <w:trPr>
          <w:trHeight w:val="300"/>
        </w:trPr>
        <w:tc>
          <w:tcPr>
            <w:tcW w:w="2471" w:type="dxa"/>
            <w:noWrap/>
            <w:vAlign w:val="center"/>
            <w:hideMark/>
          </w:tcPr>
          <w:p w:rsidR="00646A25" w:rsidRPr="00BC0897" w:rsidRDefault="00345414"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Nephrolithiasis</w:t>
            </w:r>
          </w:p>
        </w:tc>
        <w:tc>
          <w:tcPr>
            <w:tcW w:w="1117"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1/3</w:t>
            </w:r>
          </w:p>
        </w:tc>
        <w:tc>
          <w:tcPr>
            <w:tcW w:w="125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05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26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5/17</w:t>
            </w: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4/20</w:t>
            </w: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1/4</w:t>
            </w:r>
          </w:p>
        </w:tc>
        <w:tc>
          <w:tcPr>
            <w:tcW w:w="130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BC0897" w:rsidTr="00342726">
        <w:trPr>
          <w:trHeight w:val="300"/>
        </w:trPr>
        <w:tc>
          <w:tcPr>
            <w:tcW w:w="2471"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Hyponatremia</w:t>
            </w:r>
          </w:p>
        </w:tc>
        <w:tc>
          <w:tcPr>
            <w:tcW w:w="1117"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25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05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26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30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0/2</w:t>
            </w: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BC0897" w:rsidTr="00342726">
        <w:trPr>
          <w:trHeight w:val="300"/>
        </w:trPr>
        <w:tc>
          <w:tcPr>
            <w:tcW w:w="2471" w:type="dxa"/>
            <w:noWrap/>
            <w:vAlign w:val="center"/>
            <w:hideMark/>
          </w:tcPr>
          <w:p w:rsidR="00646A25" w:rsidRPr="00BC0897" w:rsidRDefault="00646A25" w:rsidP="00C228AD">
            <w:pPr>
              <w:spacing w:after="0"/>
              <w:rPr>
                <w:rFonts w:ascii="Times New Roman" w:hAnsi="Times New Roman" w:cs="Times New Roman"/>
                <w:b/>
                <w:sz w:val="20"/>
                <w:szCs w:val="20"/>
                <w:lang w:val="en-US"/>
              </w:rPr>
            </w:pPr>
            <w:proofErr w:type="spellStart"/>
            <w:r w:rsidRPr="00BC0897">
              <w:rPr>
                <w:rFonts w:ascii="Times New Roman" w:hAnsi="Times New Roman" w:cs="Times New Roman"/>
                <w:b/>
                <w:sz w:val="20"/>
                <w:szCs w:val="20"/>
                <w:lang w:val="en-US"/>
              </w:rPr>
              <w:t>Hypochloremia</w:t>
            </w:r>
            <w:proofErr w:type="spellEnd"/>
          </w:p>
        </w:tc>
        <w:tc>
          <w:tcPr>
            <w:tcW w:w="1117"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25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05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26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30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0/2</w:t>
            </w: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BC0897" w:rsidTr="00342726">
        <w:trPr>
          <w:trHeight w:val="300"/>
        </w:trPr>
        <w:tc>
          <w:tcPr>
            <w:tcW w:w="2471"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Hypouricemia</w:t>
            </w:r>
          </w:p>
        </w:tc>
        <w:tc>
          <w:tcPr>
            <w:tcW w:w="1117"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25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05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26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0/9</w:t>
            </w: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30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BC0897" w:rsidTr="00342726">
        <w:trPr>
          <w:trHeight w:val="300"/>
        </w:trPr>
        <w:tc>
          <w:tcPr>
            <w:tcW w:w="2471"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lastRenderedPageBreak/>
              <w:t xml:space="preserve">Metabolic </w:t>
            </w:r>
            <w:r w:rsidR="00345414" w:rsidRPr="00BC0897">
              <w:rPr>
                <w:rFonts w:ascii="Times New Roman" w:hAnsi="Times New Roman" w:cs="Times New Roman"/>
                <w:b/>
                <w:sz w:val="20"/>
                <w:szCs w:val="20"/>
                <w:lang w:val="en-US"/>
              </w:rPr>
              <w:t>alkalosis</w:t>
            </w:r>
          </w:p>
        </w:tc>
        <w:tc>
          <w:tcPr>
            <w:tcW w:w="1117"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25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05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26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0/4</w:t>
            </w:r>
          </w:p>
        </w:tc>
        <w:tc>
          <w:tcPr>
            <w:tcW w:w="130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BC0897" w:rsidTr="00342726">
        <w:trPr>
          <w:trHeight w:val="300"/>
        </w:trPr>
        <w:tc>
          <w:tcPr>
            <w:tcW w:w="2471"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Metabolic acidosis</w:t>
            </w:r>
          </w:p>
        </w:tc>
        <w:tc>
          <w:tcPr>
            <w:tcW w:w="1117"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25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05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26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0/4</w:t>
            </w:r>
          </w:p>
        </w:tc>
        <w:tc>
          <w:tcPr>
            <w:tcW w:w="130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BC0897" w:rsidTr="00342726">
        <w:trPr>
          <w:trHeight w:val="300"/>
        </w:trPr>
        <w:tc>
          <w:tcPr>
            <w:tcW w:w="2471"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Bone disorders</w:t>
            </w:r>
          </w:p>
        </w:tc>
        <w:tc>
          <w:tcPr>
            <w:tcW w:w="1117"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25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0/6</w:t>
            </w:r>
          </w:p>
        </w:tc>
        <w:tc>
          <w:tcPr>
            <w:tcW w:w="113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0/2</w:t>
            </w:r>
          </w:p>
        </w:tc>
        <w:tc>
          <w:tcPr>
            <w:tcW w:w="105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3/5</w:t>
            </w:r>
          </w:p>
        </w:tc>
        <w:tc>
          <w:tcPr>
            <w:tcW w:w="126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5/13</w:t>
            </w: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0/3</w:t>
            </w: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9/20</w:t>
            </w: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2/4</w:t>
            </w:r>
          </w:p>
        </w:tc>
        <w:tc>
          <w:tcPr>
            <w:tcW w:w="130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2/7</w:t>
            </w:r>
          </w:p>
        </w:tc>
      </w:tr>
      <w:tr w:rsidR="00646A25" w:rsidRPr="00BC0897" w:rsidTr="00342726">
        <w:trPr>
          <w:trHeight w:val="300"/>
        </w:trPr>
        <w:tc>
          <w:tcPr>
            <w:tcW w:w="2471"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Hypertension</w:t>
            </w:r>
          </w:p>
        </w:tc>
        <w:tc>
          <w:tcPr>
            <w:tcW w:w="1117"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25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3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05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26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30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36"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1441D9" w:rsidRPr="00BC0897" w:rsidTr="00342726">
        <w:trPr>
          <w:trHeight w:val="300"/>
        </w:trPr>
        <w:tc>
          <w:tcPr>
            <w:tcW w:w="2471" w:type="dxa"/>
            <w:noWrap/>
            <w:vAlign w:val="center"/>
          </w:tcPr>
          <w:p w:rsidR="001441D9" w:rsidRPr="00BC0897" w:rsidRDefault="00284980" w:rsidP="001441D9">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Intellectual disability</w:t>
            </w:r>
          </w:p>
        </w:tc>
        <w:tc>
          <w:tcPr>
            <w:tcW w:w="1117" w:type="dxa"/>
            <w:noWrap/>
            <w:vAlign w:val="center"/>
          </w:tcPr>
          <w:p w:rsidR="001441D9" w:rsidRPr="00BC0897" w:rsidRDefault="001441D9" w:rsidP="001441D9">
            <w:pPr>
              <w:spacing w:after="0"/>
              <w:jc w:val="center"/>
              <w:rPr>
                <w:rFonts w:ascii="Times New Roman" w:hAnsi="Times New Roman" w:cs="Times New Roman"/>
                <w:sz w:val="20"/>
                <w:szCs w:val="20"/>
                <w:lang w:val="en-US"/>
              </w:rPr>
            </w:pPr>
          </w:p>
        </w:tc>
        <w:tc>
          <w:tcPr>
            <w:tcW w:w="1252" w:type="dxa"/>
            <w:vAlign w:val="center"/>
          </w:tcPr>
          <w:p w:rsidR="001441D9" w:rsidRPr="00BC0897" w:rsidRDefault="001441D9" w:rsidP="001441D9">
            <w:pPr>
              <w:spacing w:after="0"/>
              <w:jc w:val="center"/>
              <w:rPr>
                <w:rFonts w:ascii="Times New Roman" w:hAnsi="Times New Roman" w:cs="Times New Roman"/>
                <w:sz w:val="20"/>
                <w:szCs w:val="20"/>
                <w:lang w:val="en-US"/>
              </w:rPr>
            </w:pPr>
          </w:p>
        </w:tc>
        <w:tc>
          <w:tcPr>
            <w:tcW w:w="1132" w:type="dxa"/>
            <w:vAlign w:val="center"/>
          </w:tcPr>
          <w:p w:rsidR="001441D9" w:rsidRPr="00BC0897" w:rsidRDefault="001441D9" w:rsidP="001441D9">
            <w:pPr>
              <w:spacing w:after="0"/>
              <w:jc w:val="center"/>
              <w:rPr>
                <w:rFonts w:ascii="Times New Roman" w:hAnsi="Times New Roman" w:cs="Times New Roman"/>
                <w:sz w:val="20"/>
                <w:szCs w:val="20"/>
                <w:lang w:val="en-US"/>
              </w:rPr>
            </w:pPr>
          </w:p>
        </w:tc>
        <w:tc>
          <w:tcPr>
            <w:tcW w:w="1056" w:type="dxa"/>
            <w:noWrap/>
            <w:vAlign w:val="center"/>
          </w:tcPr>
          <w:p w:rsidR="001441D9" w:rsidRPr="00BC0897" w:rsidRDefault="001441D9" w:rsidP="001441D9">
            <w:pPr>
              <w:spacing w:after="0"/>
              <w:jc w:val="center"/>
              <w:rPr>
                <w:rFonts w:ascii="Times New Roman" w:hAnsi="Times New Roman" w:cs="Times New Roman"/>
                <w:sz w:val="20"/>
                <w:szCs w:val="20"/>
                <w:lang w:val="en-US"/>
              </w:rPr>
            </w:pPr>
          </w:p>
        </w:tc>
        <w:tc>
          <w:tcPr>
            <w:tcW w:w="1263" w:type="dxa"/>
            <w:noWrap/>
            <w:vAlign w:val="center"/>
          </w:tcPr>
          <w:p w:rsidR="001441D9" w:rsidRPr="00BC0897" w:rsidRDefault="001441D9" w:rsidP="001441D9">
            <w:pPr>
              <w:spacing w:after="0"/>
              <w:jc w:val="center"/>
              <w:rPr>
                <w:rFonts w:ascii="Times New Roman" w:hAnsi="Times New Roman" w:cs="Times New Roman"/>
                <w:sz w:val="20"/>
                <w:szCs w:val="20"/>
                <w:lang w:val="en-US"/>
              </w:rPr>
            </w:pPr>
          </w:p>
        </w:tc>
        <w:tc>
          <w:tcPr>
            <w:tcW w:w="936" w:type="dxa"/>
            <w:noWrap/>
            <w:vAlign w:val="center"/>
          </w:tcPr>
          <w:p w:rsidR="001441D9" w:rsidRPr="00BC0897" w:rsidRDefault="001441D9" w:rsidP="001441D9">
            <w:pPr>
              <w:spacing w:after="0"/>
              <w:jc w:val="center"/>
              <w:rPr>
                <w:rFonts w:ascii="Times New Roman" w:hAnsi="Times New Roman" w:cs="Times New Roman"/>
                <w:sz w:val="20"/>
                <w:szCs w:val="20"/>
                <w:lang w:val="en-US"/>
              </w:rPr>
            </w:pPr>
          </w:p>
        </w:tc>
        <w:tc>
          <w:tcPr>
            <w:tcW w:w="936" w:type="dxa"/>
            <w:noWrap/>
            <w:vAlign w:val="center"/>
          </w:tcPr>
          <w:p w:rsidR="001441D9" w:rsidRPr="00BC0897" w:rsidRDefault="001441D9" w:rsidP="001441D9">
            <w:pPr>
              <w:spacing w:after="0"/>
              <w:jc w:val="center"/>
              <w:rPr>
                <w:rFonts w:ascii="Times New Roman" w:hAnsi="Times New Roman" w:cs="Times New Roman"/>
                <w:sz w:val="20"/>
                <w:szCs w:val="20"/>
                <w:lang w:val="en-US"/>
              </w:rPr>
            </w:pPr>
          </w:p>
        </w:tc>
        <w:tc>
          <w:tcPr>
            <w:tcW w:w="936" w:type="dxa"/>
            <w:vAlign w:val="center"/>
          </w:tcPr>
          <w:p w:rsidR="001441D9" w:rsidRPr="00BC0897" w:rsidRDefault="001441D9" w:rsidP="001441D9">
            <w:pPr>
              <w:spacing w:after="0"/>
              <w:jc w:val="center"/>
              <w:rPr>
                <w:rFonts w:ascii="Times New Roman" w:hAnsi="Times New Roman" w:cs="Times New Roman"/>
                <w:sz w:val="20"/>
                <w:szCs w:val="20"/>
                <w:lang w:val="en-US"/>
              </w:rPr>
            </w:pPr>
          </w:p>
        </w:tc>
        <w:tc>
          <w:tcPr>
            <w:tcW w:w="936" w:type="dxa"/>
            <w:vAlign w:val="center"/>
          </w:tcPr>
          <w:p w:rsidR="001441D9" w:rsidRPr="00BC0897" w:rsidRDefault="001441D9" w:rsidP="001441D9">
            <w:pPr>
              <w:spacing w:after="0"/>
              <w:jc w:val="center"/>
              <w:rPr>
                <w:rFonts w:ascii="Times New Roman" w:hAnsi="Times New Roman" w:cs="Times New Roman"/>
                <w:sz w:val="20"/>
                <w:szCs w:val="20"/>
                <w:lang w:val="en-US"/>
              </w:rPr>
            </w:pPr>
          </w:p>
        </w:tc>
        <w:tc>
          <w:tcPr>
            <w:tcW w:w="1306" w:type="dxa"/>
            <w:vAlign w:val="center"/>
          </w:tcPr>
          <w:p w:rsidR="001441D9" w:rsidRPr="00BC0897" w:rsidRDefault="001441D9" w:rsidP="001441D9">
            <w:pPr>
              <w:spacing w:after="0"/>
              <w:jc w:val="center"/>
              <w:rPr>
                <w:rFonts w:ascii="Times New Roman" w:hAnsi="Times New Roman" w:cs="Times New Roman"/>
                <w:sz w:val="20"/>
                <w:szCs w:val="20"/>
                <w:lang w:val="en-US"/>
              </w:rPr>
            </w:pPr>
          </w:p>
        </w:tc>
        <w:tc>
          <w:tcPr>
            <w:tcW w:w="936" w:type="dxa"/>
            <w:vAlign w:val="center"/>
          </w:tcPr>
          <w:p w:rsidR="001441D9" w:rsidRPr="00BC0897" w:rsidRDefault="001441D9" w:rsidP="001441D9">
            <w:pPr>
              <w:spacing w:after="0"/>
              <w:jc w:val="center"/>
              <w:rPr>
                <w:rFonts w:ascii="Times New Roman" w:hAnsi="Times New Roman" w:cs="Times New Roman"/>
                <w:sz w:val="20"/>
                <w:szCs w:val="20"/>
                <w:lang w:val="en-US"/>
              </w:rPr>
            </w:pPr>
          </w:p>
        </w:tc>
      </w:tr>
      <w:tr w:rsidR="00342726" w:rsidRPr="00BC0897" w:rsidTr="00342726">
        <w:trPr>
          <w:trHeight w:val="300"/>
        </w:trPr>
        <w:tc>
          <w:tcPr>
            <w:tcW w:w="2471" w:type="dxa"/>
            <w:noWrap/>
            <w:vAlign w:val="center"/>
          </w:tcPr>
          <w:p w:rsidR="00342726" w:rsidRPr="00BC0897" w:rsidRDefault="00342726" w:rsidP="00342726">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Cataract</w:t>
            </w:r>
          </w:p>
        </w:tc>
        <w:tc>
          <w:tcPr>
            <w:tcW w:w="1117" w:type="dxa"/>
            <w:noWrap/>
            <w:vAlign w:val="center"/>
          </w:tcPr>
          <w:p w:rsidR="00342726" w:rsidRPr="00BC0897" w:rsidRDefault="00342726" w:rsidP="00342726">
            <w:pPr>
              <w:spacing w:after="0"/>
              <w:jc w:val="center"/>
              <w:rPr>
                <w:rFonts w:ascii="Times New Roman" w:hAnsi="Times New Roman" w:cs="Times New Roman"/>
                <w:sz w:val="20"/>
                <w:szCs w:val="20"/>
                <w:lang w:val="en-US"/>
              </w:rPr>
            </w:pPr>
          </w:p>
        </w:tc>
        <w:tc>
          <w:tcPr>
            <w:tcW w:w="1252" w:type="dxa"/>
            <w:vAlign w:val="center"/>
          </w:tcPr>
          <w:p w:rsidR="00342726" w:rsidRPr="00BC0897" w:rsidRDefault="00342726" w:rsidP="00342726">
            <w:pPr>
              <w:spacing w:after="0"/>
              <w:jc w:val="center"/>
              <w:rPr>
                <w:rFonts w:ascii="Times New Roman" w:hAnsi="Times New Roman" w:cs="Times New Roman"/>
                <w:sz w:val="20"/>
                <w:szCs w:val="20"/>
                <w:lang w:val="en-US"/>
              </w:rPr>
            </w:pPr>
          </w:p>
        </w:tc>
        <w:tc>
          <w:tcPr>
            <w:tcW w:w="1132" w:type="dxa"/>
            <w:vAlign w:val="center"/>
          </w:tcPr>
          <w:p w:rsidR="00342726" w:rsidRPr="00BC0897" w:rsidRDefault="00342726" w:rsidP="00342726">
            <w:pPr>
              <w:spacing w:after="0"/>
              <w:jc w:val="center"/>
              <w:rPr>
                <w:rFonts w:ascii="Times New Roman" w:hAnsi="Times New Roman" w:cs="Times New Roman"/>
                <w:sz w:val="20"/>
                <w:szCs w:val="20"/>
                <w:lang w:val="en-US"/>
              </w:rPr>
            </w:pPr>
          </w:p>
        </w:tc>
        <w:tc>
          <w:tcPr>
            <w:tcW w:w="1056" w:type="dxa"/>
            <w:noWrap/>
            <w:vAlign w:val="center"/>
          </w:tcPr>
          <w:p w:rsidR="00342726" w:rsidRPr="00BC0897" w:rsidRDefault="00342726" w:rsidP="00342726">
            <w:pPr>
              <w:spacing w:after="0"/>
              <w:jc w:val="center"/>
              <w:rPr>
                <w:rFonts w:ascii="Times New Roman" w:hAnsi="Times New Roman" w:cs="Times New Roman"/>
                <w:sz w:val="20"/>
                <w:szCs w:val="20"/>
                <w:lang w:val="en-US"/>
              </w:rPr>
            </w:pPr>
          </w:p>
        </w:tc>
        <w:tc>
          <w:tcPr>
            <w:tcW w:w="1263" w:type="dxa"/>
            <w:noWrap/>
            <w:vAlign w:val="center"/>
          </w:tcPr>
          <w:p w:rsidR="00342726" w:rsidRPr="00BC0897" w:rsidRDefault="00342726" w:rsidP="00342726">
            <w:pPr>
              <w:spacing w:after="0"/>
              <w:jc w:val="center"/>
              <w:rPr>
                <w:rFonts w:ascii="Times New Roman" w:hAnsi="Times New Roman" w:cs="Times New Roman"/>
                <w:sz w:val="20"/>
                <w:szCs w:val="20"/>
                <w:lang w:val="en-US"/>
              </w:rPr>
            </w:pPr>
          </w:p>
        </w:tc>
        <w:tc>
          <w:tcPr>
            <w:tcW w:w="936" w:type="dxa"/>
            <w:noWrap/>
            <w:vAlign w:val="center"/>
          </w:tcPr>
          <w:p w:rsidR="00342726" w:rsidRPr="00BC0897" w:rsidRDefault="00342726" w:rsidP="00342726">
            <w:pPr>
              <w:spacing w:after="0"/>
              <w:jc w:val="center"/>
              <w:rPr>
                <w:rFonts w:ascii="Times New Roman" w:hAnsi="Times New Roman" w:cs="Times New Roman"/>
                <w:sz w:val="20"/>
                <w:szCs w:val="20"/>
                <w:lang w:val="en-US"/>
              </w:rPr>
            </w:pPr>
          </w:p>
        </w:tc>
        <w:tc>
          <w:tcPr>
            <w:tcW w:w="936" w:type="dxa"/>
            <w:noWrap/>
            <w:vAlign w:val="center"/>
          </w:tcPr>
          <w:p w:rsidR="00342726" w:rsidRPr="00BC0897" w:rsidRDefault="00342726" w:rsidP="00342726">
            <w:pPr>
              <w:spacing w:after="0"/>
              <w:jc w:val="center"/>
              <w:rPr>
                <w:rFonts w:ascii="Times New Roman" w:hAnsi="Times New Roman" w:cs="Times New Roman"/>
                <w:sz w:val="20"/>
                <w:szCs w:val="20"/>
                <w:lang w:val="en-US"/>
              </w:rPr>
            </w:pPr>
          </w:p>
        </w:tc>
        <w:tc>
          <w:tcPr>
            <w:tcW w:w="936" w:type="dxa"/>
            <w:vAlign w:val="center"/>
          </w:tcPr>
          <w:p w:rsidR="00342726" w:rsidRPr="00BC0897" w:rsidRDefault="00342726" w:rsidP="00342726">
            <w:pPr>
              <w:spacing w:after="0"/>
              <w:jc w:val="center"/>
              <w:rPr>
                <w:rFonts w:ascii="Times New Roman" w:hAnsi="Times New Roman" w:cs="Times New Roman"/>
                <w:sz w:val="20"/>
                <w:szCs w:val="20"/>
                <w:lang w:val="en-US"/>
              </w:rPr>
            </w:pPr>
          </w:p>
        </w:tc>
        <w:tc>
          <w:tcPr>
            <w:tcW w:w="936" w:type="dxa"/>
            <w:vAlign w:val="center"/>
          </w:tcPr>
          <w:p w:rsidR="00342726" w:rsidRPr="00BC0897" w:rsidRDefault="00342726" w:rsidP="00342726">
            <w:pPr>
              <w:spacing w:after="0"/>
              <w:jc w:val="center"/>
              <w:rPr>
                <w:rFonts w:ascii="Times New Roman" w:hAnsi="Times New Roman" w:cs="Times New Roman"/>
                <w:sz w:val="20"/>
                <w:szCs w:val="20"/>
                <w:lang w:val="en-US"/>
              </w:rPr>
            </w:pPr>
          </w:p>
        </w:tc>
        <w:tc>
          <w:tcPr>
            <w:tcW w:w="1306" w:type="dxa"/>
            <w:vAlign w:val="center"/>
          </w:tcPr>
          <w:p w:rsidR="00342726" w:rsidRPr="00BC0897" w:rsidRDefault="00342726" w:rsidP="00342726">
            <w:pPr>
              <w:spacing w:after="0"/>
              <w:jc w:val="center"/>
              <w:rPr>
                <w:rFonts w:ascii="Times New Roman" w:hAnsi="Times New Roman" w:cs="Times New Roman"/>
                <w:sz w:val="20"/>
                <w:szCs w:val="20"/>
                <w:lang w:val="en-US"/>
              </w:rPr>
            </w:pPr>
          </w:p>
        </w:tc>
        <w:tc>
          <w:tcPr>
            <w:tcW w:w="936" w:type="dxa"/>
            <w:vAlign w:val="center"/>
          </w:tcPr>
          <w:p w:rsidR="00342726" w:rsidRPr="00BC0897" w:rsidRDefault="00342726" w:rsidP="00342726">
            <w:pPr>
              <w:spacing w:after="0"/>
              <w:jc w:val="center"/>
              <w:rPr>
                <w:rFonts w:ascii="Times New Roman" w:hAnsi="Times New Roman" w:cs="Times New Roman"/>
                <w:sz w:val="20"/>
                <w:szCs w:val="20"/>
                <w:lang w:val="en-US"/>
              </w:rPr>
            </w:pPr>
          </w:p>
        </w:tc>
      </w:tr>
    </w:tbl>
    <w:p w:rsidR="00646A25" w:rsidRPr="00BC0897" w:rsidRDefault="00646A25" w:rsidP="00C228AD">
      <w:pPr>
        <w:spacing w:after="0" w:line="240" w:lineRule="auto"/>
        <w:rPr>
          <w:rFonts w:ascii="Times New Roman" w:hAnsi="Times New Roman" w:cs="Times New Roman"/>
          <w:sz w:val="20"/>
          <w:szCs w:val="20"/>
          <w:lang w:val="en-US"/>
        </w:rPr>
      </w:pPr>
      <w:r w:rsidRPr="00BC0897">
        <w:rPr>
          <w:rFonts w:ascii="Times New Roman" w:hAnsi="Times New Roman" w:cs="Times New Roman"/>
          <w:sz w:val="20"/>
          <w:szCs w:val="20"/>
          <w:lang w:val="en-US"/>
        </w:rPr>
        <w:t xml:space="preserve">LMWP: Low-molecular-weight proteinuria; *already reported in </w:t>
      </w:r>
      <w:proofErr w:type="spellStart"/>
      <w:r w:rsidRPr="00BC0897">
        <w:rPr>
          <w:rFonts w:ascii="Times New Roman" w:hAnsi="Times New Roman" w:cs="Times New Roman"/>
          <w:sz w:val="20"/>
          <w:szCs w:val="20"/>
          <w:lang w:val="en-US"/>
        </w:rPr>
        <w:t>B</w:t>
      </w:r>
      <w:r w:rsidR="000B4585" w:rsidRPr="00BC0897">
        <w:rPr>
          <w:rFonts w:ascii="Times New Roman" w:hAnsi="Times New Roman" w:cs="Times New Roman"/>
          <w:sz w:val="20"/>
          <w:szCs w:val="20"/>
          <w:lang w:val="en-US"/>
        </w:rPr>
        <w:t>ö</w:t>
      </w:r>
      <w:r w:rsidRPr="00BC0897">
        <w:rPr>
          <w:rFonts w:ascii="Times New Roman" w:hAnsi="Times New Roman" w:cs="Times New Roman"/>
          <w:sz w:val="20"/>
          <w:szCs w:val="20"/>
          <w:lang w:val="en-US"/>
        </w:rPr>
        <w:t>kenkamp</w:t>
      </w:r>
      <w:proofErr w:type="spellEnd"/>
    </w:p>
    <w:p w:rsidR="00646A25" w:rsidRPr="00BC0897" w:rsidRDefault="00646A25" w:rsidP="00646A25">
      <w:pPr>
        <w:rPr>
          <w:rFonts w:ascii="Times New Roman" w:hAnsi="Times New Roman" w:cs="Times New Roman"/>
          <w:sz w:val="20"/>
          <w:szCs w:val="20"/>
          <w:lang w:val="en-US"/>
        </w:rPr>
      </w:pPr>
      <w:r w:rsidRPr="00BC0897">
        <w:rPr>
          <w:rFonts w:ascii="Times New Roman" w:hAnsi="Times New Roman" w:cs="Times New Roman"/>
          <w:sz w:val="20"/>
          <w:szCs w:val="20"/>
          <w:lang w:val="en-US"/>
        </w:rPr>
        <w:br w:type="page"/>
      </w:r>
    </w:p>
    <w:tbl>
      <w:tblPr>
        <w:tblStyle w:val="Grigliatabella"/>
        <w:tblW w:w="14626" w:type="dxa"/>
        <w:tblLook w:val="04A0" w:firstRow="1" w:lastRow="0" w:firstColumn="1" w:lastColumn="0" w:noHBand="0" w:noVBand="1"/>
      </w:tblPr>
      <w:tblGrid>
        <w:gridCol w:w="2369"/>
        <w:gridCol w:w="1187"/>
        <w:gridCol w:w="862"/>
        <w:gridCol w:w="1332"/>
        <w:gridCol w:w="965"/>
        <w:gridCol w:w="1095"/>
        <w:gridCol w:w="1050"/>
        <w:gridCol w:w="1170"/>
        <w:gridCol w:w="1153"/>
        <w:gridCol w:w="1153"/>
        <w:gridCol w:w="1185"/>
        <w:gridCol w:w="1105"/>
      </w:tblGrid>
      <w:tr w:rsidR="00646A25" w:rsidRPr="002212C2" w:rsidTr="00C228AD">
        <w:trPr>
          <w:trHeight w:val="900"/>
        </w:trPr>
        <w:tc>
          <w:tcPr>
            <w:tcW w:w="2369" w:type="dxa"/>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lastRenderedPageBreak/>
              <w:t>Clinical sign</w:t>
            </w:r>
          </w:p>
        </w:tc>
        <w:tc>
          <w:tcPr>
            <w:tcW w:w="1187" w:type="dxa"/>
            <w:vAlign w:val="center"/>
            <w:hideMark/>
          </w:tcPr>
          <w:p w:rsidR="00646A25" w:rsidRPr="00BC0897" w:rsidRDefault="00646A25" w:rsidP="00A44008">
            <w:pPr>
              <w:spacing w:after="0"/>
              <w:jc w:val="center"/>
              <w:rPr>
                <w:rFonts w:ascii="Times New Roman" w:hAnsi="Times New Roman" w:cs="Times New Roman"/>
                <w:b/>
                <w:sz w:val="20"/>
                <w:szCs w:val="20"/>
              </w:rPr>
            </w:pPr>
            <w:r w:rsidRPr="00BC0897">
              <w:rPr>
                <w:rFonts w:ascii="Times New Roman" w:hAnsi="Times New Roman" w:cs="Times New Roman"/>
                <w:b/>
                <w:sz w:val="20"/>
                <w:szCs w:val="20"/>
                <w:lang w:val="en-US"/>
              </w:rPr>
              <w:fldChar w:fldCharType="begin"/>
            </w:r>
            <w:r w:rsidR="000F21AB" w:rsidRPr="00BC0897">
              <w:rPr>
                <w:rFonts w:ascii="Times New Roman" w:hAnsi="Times New Roman" w:cs="Times New Roman"/>
                <w:b/>
                <w:sz w:val="20"/>
                <w:szCs w:val="20"/>
              </w:rPr>
              <w:instrText xml:space="preserve"> ADDIN ZOTERO_ITEM CSL_CITATION {"citationID":"P8oWGtER","properties":{"formattedCitation":"(Sheffer-Babila et al. 2008)","plainCitation":"(Sheffer-Babila et al. 2008)","noteIndex":0},"citationItems":[{"id":588,"uris":["http://zotero.org/users/local/jkkvYBSC/items/DDR39TPS"],"uri":["http://zotero.org/users/local/jkkvYBSC/items/DDR39TPS"],"itemData":{"id":588,"type":"article-journal","abstract":"Dent disease, an X-linked recessive renal tubular disease, results from loss-of-function mutations in the CLCN5 chloride channel gene. The effects of Dent disease on growth have not been described. We report siblings who presented with proteinuria, calciuria, and phosphaturia and growth failure who responded to growth hormone (GH) treatment. Genotyping revealed a novel c.2179delG frameshift mutation at codon 727, exon 12 of the CLCNS gene. Two years after initial presentation, linear growth had slowed, and evaluation revealed isolated GH deficiency. GH therapy resulted in more than two-fold increases in height velocity and serum IGF-I levels. There was no net change in estimated glomerular filtration rate, proteinuria or calciuria in response to GH therapy, but there was a delayed improvement in phosphaturia. These cases provide insight into the effects of GH on growth and renal function in Dent disease. Furthermore, we have reported a novel CLCN5 mutation.","container-title":"Journal of pediatric endocrinology &amp; metabolism: JPEM","DOI":"10.1515/jpem.2008.21.3.279","ISSN":"0334-018X","issue":"3","journalAbbreviation":"J. Pediatr. Endocrinol. Metab.","language":"eng","note":"PMID: 18540256","page":"279-286","source":"PubMed","title":"Growth hormone improves growth rate and preserves renal function in Dent disease","volume":"21","author":[{"family":"Sheffer-Babila","given":"Sharone"},{"family":"Chandra","given":"Manju"},{"family":"Speiser","given":"Phyllis W."}],"issued":{"date-parts":[["2008",3]]}}}],"schema":"https://github.com/citation-style-language/schema/raw/master/csl-citation.json"} </w:instrText>
            </w:r>
            <w:r w:rsidRPr="00BC0897">
              <w:rPr>
                <w:rFonts w:ascii="Times New Roman" w:hAnsi="Times New Roman" w:cs="Times New Roman"/>
                <w:b/>
                <w:sz w:val="20"/>
                <w:szCs w:val="20"/>
                <w:lang w:val="en-US"/>
              </w:rPr>
              <w:fldChar w:fldCharType="separate"/>
            </w:r>
            <w:r w:rsidR="000F21AB" w:rsidRPr="00BC0897">
              <w:rPr>
                <w:rFonts w:ascii="Times New Roman" w:hAnsi="Times New Roman" w:cs="Times New Roman"/>
                <w:sz w:val="20"/>
                <w:szCs w:val="20"/>
              </w:rPr>
              <w:t>(Sheffer-Babila et al. 2008)</w:t>
            </w:r>
            <w:r w:rsidRPr="00BC0897">
              <w:rPr>
                <w:rFonts w:ascii="Times New Roman" w:hAnsi="Times New Roman" w:cs="Times New Roman"/>
                <w:b/>
                <w:sz w:val="20"/>
                <w:szCs w:val="20"/>
                <w:lang w:val="en-US"/>
              </w:rPr>
              <w:fldChar w:fldCharType="end"/>
            </w:r>
          </w:p>
        </w:tc>
        <w:tc>
          <w:tcPr>
            <w:tcW w:w="862" w:type="dxa"/>
            <w:vAlign w:val="center"/>
            <w:hideMark/>
          </w:tcPr>
          <w:p w:rsidR="00646A25" w:rsidRPr="00BC0897" w:rsidRDefault="00646A25"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000F21AB" w:rsidRPr="00BC0897">
              <w:rPr>
                <w:rFonts w:ascii="Times New Roman" w:hAnsi="Times New Roman" w:cs="Times New Roman"/>
                <w:b/>
                <w:sz w:val="20"/>
                <w:szCs w:val="20"/>
                <w:lang w:val="en-US"/>
              </w:rPr>
              <w:instrText xml:space="preserve"> ADDIN ZOTERO_ITEM CSL_CITATION {"citationID":"2qYBACUV","properties":{"formattedCitation":"(Cho et al. 2008)","plainCitation":"(Cho et al. 2008)","noteIndex":0},"citationItems":[{"id":1488,"uris":["http://zotero.org/users/local/jkkvYBSC/items/STXMLTSC"],"uri":["http://zotero.org/users/local/jkkvYBSC/items/STXMLTSC"],"itemData":{"id":1488,"type":"article-journal","abstract":"To date, two responsible genes for the development of Dent disease have been identified: CLCN5 and OCRL1. In this study, genotype-phenotype correlations were studied in patients with Dent disease and those with Lowe syndrome. Among the 12 boys with a phenotype typical of Dent disease, nine had a mutation in CLCN5 (Dent disease 1), two had a mutation in OCRL1 (Dent disease 2), and one had no mutations in either gene. All seven boys with a clinical diagnosis of Lowe syndrome had a mutation in OCRL1. Patients with Lowe syndrome showed more frequent hypophosphatemia/rickets and more prominent tubular proteinuria than patients with Dent disease 1, and patients with Dent disease 2 had higher degree of tubular proteinuria and hypercalciuria than patients with Dent disease 1. Additionally, one patient with Dent disease 2 showed a mild degree of developmental delay, elevated serum muscle enzyme levels, and cryptorchidism. In this study, the genetic heterogeneity in Dent disease and the phenotypic heterogeneity in Lowe syndrome were confirmed. In patients with Dent disease, the presence of the above-mentioned extrarenal manifestations indicates that it is more likely that the patient is affected by Dent disease 2 than by Dent disease 1.","container-title":"Pediatric Nephrology (Berlin, Germany)","DOI":"10.1007/s00467-007-0686-9","ISSN":"0931-041X","issue":"2","journalAbbreviation":"Pediatr. Nephrol.","language":"eng","note":"PMID: 18038239","page":"243-249","source":"PubMed","title":"Renal manifestations of Dent disease and Lowe syndrome","volume":"23","author":[{"family":"Cho","given":"Hee Yeon"},{"family":"Lee","given":"Bum Hee"},{"family":"Choi","given":"Hyun Jin"},{"family":"Ha","given":"Il Soo"},{"family":"Choi","given":"Yong"},{"family":"Cheong","given":"Hae Il"}],"issued":{"date-parts":[["2008",2]]}}}],"schema":"https://github.com/citation-style-language/schema/raw/master/csl-citation.json"} </w:instrText>
            </w:r>
            <w:r w:rsidRPr="00BC0897">
              <w:rPr>
                <w:rFonts w:ascii="Times New Roman" w:hAnsi="Times New Roman" w:cs="Times New Roman"/>
                <w:b/>
                <w:sz w:val="20"/>
                <w:szCs w:val="20"/>
                <w:lang w:val="en-US"/>
              </w:rPr>
              <w:fldChar w:fldCharType="separate"/>
            </w:r>
            <w:r w:rsidR="000F21AB" w:rsidRPr="00BC0897">
              <w:rPr>
                <w:rFonts w:ascii="Times New Roman" w:hAnsi="Times New Roman" w:cs="Times New Roman"/>
                <w:sz w:val="20"/>
                <w:szCs w:val="20"/>
              </w:rPr>
              <w:t>(Cho et al. 2008)</w:t>
            </w:r>
            <w:r w:rsidRPr="00BC0897">
              <w:rPr>
                <w:rFonts w:ascii="Times New Roman" w:hAnsi="Times New Roman" w:cs="Times New Roman"/>
                <w:b/>
                <w:sz w:val="20"/>
                <w:szCs w:val="20"/>
                <w:lang w:val="en-US"/>
              </w:rPr>
              <w:fldChar w:fldCharType="end"/>
            </w:r>
          </w:p>
        </w:tc>
        <w:tc>
          <w:tcPr>
            <w:tcW w:w="1332" w:type="dxa"/>
            <w:vAlign w:val="center"/>
            <w:hideMark/>
          </w:tcPr>
          <w:p w:rsidR="00646A25" w:rsidRPr="00BC0897" w:rsidRDefault="00646A25" w:rsidP="000F21AB">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000F21AB" w:rsidRPr="00BC0897">
              <w:rPr>
                <w:rFonts w:ascii="Times New Roman" w:hAnsi="Times New Roman" w:cs="Times New Roman"/>
                <w:b/>
                <w:sz w:val="20"/>
                <w:szCs w:val="20"/>
                <w:lang w:val="en-US"/>
              </w:rPr>
              <w:instrText xml:space="preserve"> ADDIN ZOTERO_ITEM CSL_CITATION {"citationID":"CjWeQkET","properties":{"formattedCitation":"(B\\uc0\\u246{}kenkamp et al. 2009, p. 2009)","plainCitation":"(Bökenkamp et al. 2009, p. 2009)","noteIndex":0},"citationItems":[{"id":112,"uris":["http://zotero.org/users/local/jkkvYBSC/items/WBTTBLPQ"],"uri":["http://zotero.org/users/local/jkkvYBSC/items/WBTTBLPQ"],"itemData":{"id":112,"type":"article-journal","abstract":"Objective\nTo compare the renal and extra-renal phenotypes of patients classified as having Dent disease, Dent-2 disease, or Lowe syndrome.\nStudy design\nChart review of data from 93 patients with identified voltage-gated chloride channel and chloride/proton antiporter 5 gene and oculo-cerebro-renal syndrome of Lowe gene mutations observed by the authors, complemented with published data.\nResults\nThere was a wide overlap of renal symptoms. Nephrocalcinosis was more prevalent in Dent-1 disease, and renal tubular acidosis, aminoaciduria, and renal failure was more prevalent in patients with Lowe syndrome. Patients with Lowe syndrome were shorter than patients with Dent-1 disease, and patients with Dent-2 disease showed an intermediate phenotype. Three patients with Dent-2 disease had mild peripheral cataract, and 9 patients were noted to have some degree of mental retardation.\nConclusion\nThere is a phenotypic continuum within patients with Dent-2 disease and Lowe syndrome, suggesting that there are individual differences in the ability to compensate for loss of oculo-cerebro-renal syndrome of Lowe gene function.","container-title":"The Journal of Pediatrics","DOI":"10.1016/j.jpeds.2009.01.049","ISSN":"0022-3476","issue":"1","journalAbbreviation":"The Journal of Pediatrics","language":"en","page":"94-99","source":"ScienceDirect","title":"Dent-2 Disease: A Mild Variant of Lowe Syndrome","title-short":"Dent-2 Disease","volume":"155","author":[{"family":"Bökenkamp","given":"Arend"},{"family":"Böckenhauer","given":"Detlef"},{"family":"Cheong","given":"Hae Il"},{"family":"Hoppe","given":"Bernd"},{"family":"Tasic","given":"Velibor"},{"family":"Unwin","given":"Robert"},{"family":"Ludwig","given":"Michael"}],"issued":{"date-parts":[["2009",7,1]]}},"locator":"2009"}],"schema":"https://github.com/citation-style-language/schema/raw/master/csl-citation.json"} </w:instrText>
            </w:r>
            <w:r w:rsidRPr="00BC0897">
              <w:rPr>
                <w:rFonts w:ascii="Times New Roman" w:hAnsi="Times New Roman" w:cs="Times New Roman"/>
                <w:b/>
                <w:sz w:val="20"/>
                <w:szCs w:val="20"/>
                <w:lang w:val="en-US"/>
              </w:rPr>
              <w:fldChar w:fldCharType="separate"/>
            </w:r>
            <w:r w:rsidR="000F21AB" w:rsidRPr="00BC0897">
              <w:rPr>
                <w:rFonts w:ascii="Times New Roman" w:hAnsi="Times New Roman" w:cs="Times New Roman"/>
                <w:sz w:val="20"/>
                <w:szCs w:val="20"/>
                <w:lang w:val="en-US"/>
              </w:rPr>
              <w:t>(Bökenkamp et al. 2009, p. 2009)</w:t>
            </w:r>
            <w:r w:rsidRPr="00BC0897">
              <w:rPr>
                <w:rFonts w:ascii="Times New Roman" w:hAnsi="Times New Roman" w:cs="Times New Roman"/>
                <w:b/>
                <w:sz w:val="20"/>
                <w:szCs w:val="20"/>
                <w:lang w:val="en-US"/>
              </w:rPr>
              <w:fldChar w:fldCharType="end"/>
            </w:r>
          </w:p>
        </w:tc>
        <w:tc>
          <w:tcPr>
            <w:tcW w:w="965" w:type="dxa"/>
            <w:vAlign w:val="center"/>
            <w:hideMark/>
          </w:tcPr>
          <w:p w:rsidR="00646A25" w:rsidRPr="00BC0897" w:rsidRDefault="00646A25" w:rsidP="00A44008">
            <w:pPr>
              <w:spacing w:after="0"/>
              <w:jc w:val="center"/>
              <w:rPr>
                <w:rFonts w:ascii="Times New Roman" w:hAnsi="Times New Roman" w:cs="Times New Roman"/>
                <w:b/>
                <w:sz w:val="20"/>
                <w:szCs w:val="20"/>
              </w:rPr>
            </w:pPr>
            <w:r w:rsidRPr="00BC0897">
              <w:rPr>
                <w:rFonts w:ascii="Times New Roman" w:hAnsi="Times New Roman" w:cs="Times New Roman"/>
                <w:b/>
                <w:sz w:val="20"/>
                <w:szCs w:val="20"/>
                <w:lang w:val="en-US"/>
              </w:rPr>
              <w:fldChar w:fldCharType="begin"/>
            </w:r>
            <w:r w:rsidR="002E3128" w:rsidRPr="00BC0897">
              <w:rPr>
                <w:rFonts w:ascii="Times New Roman" w:hAnsi="Times New Roman" w:cs="Times New Roman"/>
                <w:b/>
                <w:sz w:val="20"/>
                <w:szCs w:val="20"/>
              </w:rPr>
              <w:instrText xml:space="preserve"> ADDIN ZOTERO_ITEM CSL_CITATION {"citationID":"vsaGnOWx","properties":{"formattedCitation":"(Li and Huang 2009)","plainCitation":"(Li and Huang 2009)","noteIndex":0},"citationItems":[{"id":1450,"uris":["http://zotero.org/users/local/jkkvYBSC/items/KM6JFIG3"],"uri":["http://zotero.org/users/local/jkkvYBSC/items/KM6JFIG3"],"itemData":{"id":1450,"type":"article-journal","abstract":"AIM: Dent's disease represents a group of hereditary renal tubular disorders mainly characterized by hypercalciuria, nephrocalcinosis and low molecular weight proteinuria. The majority of patients with Dent's disease were found to carry CLCN5 gene mutations, whereas a small fraction of patients carry OCRL1 gene mutations. Up to date, over 100 patients with Dent's disease have been reported to carry CLCN5 gene mutations, but none in Chinese patients. The purpose of this study was to investigate the phenotypes and genotypes of three Chinese boys with Dent's disease.\nMETHODS: Three patients from three unrelated families were studied. Genomic DNA was extracted from peripheral white blood cells using a simple salting out procedure after informed consent. Thirteen pairs of primers were used to amplify all coding exons and exon-intron boundaries of the CLCN5 gene by polymerase chain reaction (PCR). All PCR products were sequenced directly on an autosequencer.\nRESULTS: Low molecular weight proteinuria and hypercalciuria were found in all patients, nephrocalcinosis in two patients and hypophosphataemia in two patients. Three mutations of the CLCN5 gene were revealed, including R467X, L594fsX595 and R637X. Each mutation was inherited from maternal DNA, respectively. The mutation L594fsX595 was never reported before.\nCONCLUSION: Low molecular weight proteinuria and hypercalciuria were the main clinical features of the three Chinese boys with Dent's disease. Our study was the first to demonstrate CLCN5 gene mutations in Chinese patients with Dent's disease and we reported a novel mutation.","container-title":"Nephrology (Carlton, Vic.)","DOI":"10.1111/j.1440-1797.2008.01057.x","ISSN":"1440-1797","issue":"2","journalAbbreviation":"Nephrology (Carlton)","language":"eng","note":"PMID: 19076289","page":"139-142","source":"PubMed","title":"Phenotype and genotype of Dent's disease in three Chinese boys","volume":"14","author":[{"family":"Li","given":"Peng"},{"family":"Huang","given":"Jian-Ping"}],"issued":{"date-parts":[["2009",4]]}}}],"schema":"https://github.com/citation-style-language/schema/raw/master/csl-citation.json"} </w:instrText>
            </w:r>
            <w:r w:rsidRPr="00BC0897">
              <w:rPr>
                <w:rFonts w:ascii="Times New Roman" w:hAnsi="Times New Roman" w:cs="Times New Roman"/>
                <w:b/>
                <w:sz w:val="20"/>
                <w:szCs w:val="20"/>
                <w:lang w:val="en-US"/>
              </w:rPr>
              <w:fldChar w:fldCharType="separate"/>
            </w:r>
            <w:r w:rsidR="002E3128" w:rsidRPr="00BC0897">
              <w:rPr>
                <w:rFonts w:ascii="Times New Roman" w:hAnsi="Times New Roman" w:cs="Times New Roman"/>
                <w:sz w:val="20"/>
              </w:rPr>
              <w:t>(Li and Huang 2009)</w:t>
            </w:r>
            <w:r w:rsidRPr="00BC0897">
              <w:rPr>
                <w:rFonts w:ascii="Times New Roman" w:hAnsi="Times New Roman" w:cs="Times New Roman"/>
                <w:b/>
                <w:sz w:val="20"/>
                <w:szCs w:val="20"/>
                <w:lang w:val="en-US"/>
              </w:rPr>
              <w:fldChar w:fldCharType="end"/>
            </w:r>
          </w:p>
        </w:tc>
        <w:tc>
          <w:tcPr>
            <w:tcW w:w="1095" w:type="dxa"/>
            <w:vAlign w:val="center"/>
            <w:hideMark/>
          </w:tcPr>
          <w:p w:rsidR="00646A25" w:rsidRPr="00BC0897" w:rsidRDefault="00646A25"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000F21AB" w:rsidRPr="00BC0897">
              <w:rPr>
                <w:rFonts w:ascii="Times New Roman" w:hAnsi="Times New Roman" w:cs="Times New Roman"/>
                <w:b/>
                <w:sz w:val="20"/>
                <w:szCs w:val="20"/>
                <w:lang w:val="en-US"/>
              </w:rPr>
              <w:instrText xml:space="preserve"> ADDIN ZOTERO_ITEM CSL_CITATION {"citationID":"3sfa3Nma","properties":{"formattedCitation":"(Frishberg et al. 2009)","plainCitation":"(Frishberg et al. 2009)","noteIndex":0},"citationItems":[{"id":252,"uris":["http://zotero.org/users/local/jkkvYBSC/items/F9K9WMU6"],"uri":["http://zotero.org/users/local/jkkvYBSC/items/F9K9WMU6"],"itemData":{"id":252,"type":"article-journal","abstract":"Dent's disease is an X-linked proximal tubulopathy. It often manifests in childhood with symptoms of Fanconi syndrome and low-molecular-weight proteinuria. We describe four boys from three unrelated families whose only presenting symptoms of Dent's disease were nephrotic-range proteinuria and histological findings of focal segmental and/or global glomerulosclerosis. In all families, a causal mutation in the CLCN5 gene, encoding a voltage-gated chloride transporter and chloride-proton exchanger, was identified. All three mutations are pathogenic: two are novel (p.Asp727fs and p.Trp122X), and one is a recurrent mutation, p.R648X. Given the atypical phenotype of these patients with Dent's disease, it is possible that this clinical entity is markedly underdiagnosed and that our report represents only the tip of the iceberg. The diagnosis of Dent's disease should be considered in all patients with nephrotic-range proteinuria without hypoalbuminemia or edema. Establishing the diagnosis of Dent's disease will prevent the administration of unnecessary immunosuppressive medications with their undesirable side effects.","container-title":"Pediatric Nephrology (Berlin, Germany)","DOI":"10.1007/s00467-009-1299-2","ISSN":"1432-198X","issue":"12","journalAbbreviation":"Pediatr. Nephrol.","language":"eng","note":"PMID: 19806368","page":"2369-2373","source":"PubMed","title":"Dent's disease manifesting as focal glomerulosclerosis: Is it the tip of the iceberg?","title-short":"Dent's disease manifesting as focal glomerulosclerosis","volume":"24","author":[{"family":"Frishberg","given":"Yaacov"},{"family":"Dinour","given":"Dganit"},{"family":"Belostotsky","given":"Ruth"},{"family":"Becker-Cohen","given":"Rachel"},{"family":"Rinat","given":"Choni"},{"family":"Feinstein","given":"Sofia"},{"family":"Navon-Elkan","given":"Paulina"},{"family":"Ben-Shalom","given":"Efrat"}],"issued":{"date-parts":[["2009",12]]}}}],"schema":"https://github.com/citation-style-language/schema/raw/master/csl-citation.json"} </w:instrText>
            </w:r>
            <w:r w:rsidRPr="00BC0897">
              <w:rPr>
                <w:rFonts w:ascii="Times New Roman" w:hAnsi="Times New Roman" w:cs="Times New Roman"/>
                <w:b/>
                <w:sz w:val="20"/>
                <w:szCs w:val="20"/>
                <w:lang w:val="en-US"/>
              </w:rPr>
              <w:fldChar w:fldCharType="separate"/>
            </w:r>
            <w:r w:rsidR="000F21AB" w:rsidRPr="00BC0897">
              <w:rPr>
                <w:rFonts w:ascii="Times New Roman" w:hAnsi="Times New Roman" w:cs="Times New Roman"/>
                <w:sz w:val="20"/>
                <w:szCs w:val="20"/>
              </w:rPr>
              <w:t>(Frishberg et al. 2009)</w:t>
            </w:r>
            <w:r w:rsidRPr="00BC0897">
              <w:rPr>
                <w:rFonts w:ascii="Times New Roman" w:hAnsi="Times New Roman" w:cs="Times New Roman"/>
                <w:b/>
                <w:sz w:val="20"/>
                <w:szCs w:val="20"/>
                <w:lang w:val="en-US"/>
              </w:rPr>
              <w:fldChar w:fldCharType="end"/>
            </w:r>
          </w:p>
        </w:tc>
        <w:tc>
          <w:tcPr>
            <w:tcW w:w="1050" w:type="dxa"/>
            <w:vAlign w:val="center"/>
            <w:hideMark/>
          </w:tcPr>
          <w:p w:rsidR="00646A25" w:rsidRPr="00BC0897" w:rsidRDefault="00646A25"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000F21AB" w:rsidRPr="00BC0897">
              <w:rPr>
                <w:rFonts w:ascii="Times New Roman" w:hAnsi="Times New Roman" w:cs="Times New Roman"/>
                <w:b/>
                <w:sz w:val="20"/>
                <w:szCs w:val="20"/>
                <w:lang w:val="en-US"/>
              </w:rPr>
              <w:instrText xml:space="preserve"> ADDIN ZOTERO_ITEM CSL_CITATION {"citationID":"SE2b45VW","properties":{"formattedCitation":"(Becker-Cohen et al. 2012)","plainCitation":"(Becker-Cohen et al. 2012)","noteIndex":0},"citationItems":[{"id":583,"uris":["http://zotero.org/users/local/jkkvYBSC/items/M5ID4YM7"],"uri":["http://zotero.org/users/local/jkkvYBSC/items/M5ID4YM7"],"itemData":{"id":583,"type":"article-journal","abstract":"BACKGROUND: Three patients with Dent's disease presented with complaints of impaired night vision or xerophthalmia and were found to have severely decreased serum retinol concentrations. Retinol, bound to its carrier retinol-binding protein (RBP), is filtered at the glomerulus and reabsorbed at the proximal tubule. We hypothesized that urinary loss of retinol-RBP complex is responsible for decreased serum retinol.\nOBJECTIVE AND METHODS: The study aim was to investigate vitamin A status and RBP in serum and urine of patients with genetically confirmed Dent's disease.\nRESULTS: Eight patients were studied, three boys had clinical vitamin A deficiency, three had asymptomatic deficiency, and two young men with Dent's disease and impaired renal function had normal retinol values. Serum RBP concentrations were low in patients with vitamin A deficiency and were correlated with vitamin A levels. Urinary RBP concentrations were increased in all patients (2,000-fold), regardless of vitamin A status. This was in contrast to patients with glomerular proteinuria who had only mildly increased urinary RBP with normal serum RBP and vitamin A, and patients with cystinosis with impaired renal function who had massive urinary RBP losses but without a decrease in serum RBP or vitamin A levels. Treatment with vitamin A supplements in patients with retinol deficiency resulted in rapid resolution of ocular symptoms and an increase in serum retinol concentrations.\nCONCLUSIONS: Vitamin A deficiency is common in patients with Dent's disease and preserved renal function. We therefore recommend screening these patients for retinol deficiency and treating them before visual symptoms develop.","container-title":"Pediatric Nephrology (Berlin, Germany)","DOI":"10.1007/s00467-012-2121-0","ISSN":"1432-198X","issue":"7","journalAbbreviation":"Pediatr. Nephrol.","language":"eng","note":"PMID: 22350370","page":"1097-1102","source":"PubMed","title":"Vitamin A deficiency associated with urinary retinol binding protein wasting in Dent's disease","volume":"27","author":[{"family":"Becker-Cohen","given":"Rachel"},{"family":"Rinat","given":"Choni"},{"family":"Ben-Shalom","given":"Efrat"},{"family":"Feinstein","given":"Sofia"},{"family":"Ivgi","given":"Heftziba"},{"family":"Frishberg","given":"Yaacov"}],"issued":{"date-parts":[["2012",7]]}}}],"schema":"https://github.com/citation-style-language/schema/raw/master/csl-citation.json"} </w:instrText>
            </w:r>
            <w:r w:rsidRPr="00BC0897">
              <w:rPr>
                <w:rFonts w:ascii="Times New Roman" w:hAnsi="Times New Roman" w:cs="Times New Roman"/>
                <w:b/>
                <w:sz w:val="20"/>
                <w:szCs w:val="20"/>
                <w:lang w:val="en-US"/>
              </w:rPr>
              <w:fldChar w:fldCharType="separate"/>
            </w:r>
            <w:r w:rsidR="000F21AB" w:rsidRPr="00BC0897">
              <w:rPr>
                <w:rFonts w:ascii="Times New Roman" w:hAnsi="Times New Roman" w:cs="Times New Roman"/>
                <w:sz w:val="20"/>
                <w:szCs w:val="20"/>
                <w:lang w:val="en-US"/>
              </w:rPr>
              <w:t>(Becker-Cohen et al. 2012)</w:t>
            </w:r>
            <w:r w:rsidRPr="00BC0897">
              <w:rPr>
                <w:rFonts w:ascii="Times New Roman" w:hAnsi="Times New Roman" w:cs="Times New Roman"/>
                <w:b/>
                <w:sz w:val="20"/>
                <w:szCs w:val="20"/>
                <w:lang w:val="en-US"/>
              </w:rPr>
              <w:fldChar w:fldCharType="end"/>
            </w:r>
          </w:p>
        </w:tc>
        <w:tc>
          <w:tcPr>
            <w:tcW w:w="1170" w:type="dxa"/>
            <w:vAlign w:val="center"/>
            <w:hideMark/>
          </w:tcPr>
          <w:p w:rsidR="00646A25" w:rsidRPr="00BC0897" w:rsidRDefault="00646A25"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000F21AB" w:rsidRPr="00BC0897">
              <w:rPr>
                <w:rFonts w:ascii="Times New Roman" w:hAnsi="Times New Roman" w:cs="Times New Roman"/>
                <w:b/>
                <w:sz w:val="20"/>
                <w:szCs w:val="20"/>
                <w:lang w:val="en-US"/>
              </w:rPr>
              <w:instrText xml:space="preserve"> ADDIN ZOTERO_ITEM CSL_CITATION {"citationID":"VXenN0Uu","properties":{"formattedCitation":"(Fervenza 2013)","plainCitation":"(Fervenza 2013)","noteIndex":0},"citationItems":[{"id":534,"uris":["http://zotero.org/users/local/jkkvYBSC/items/ZN4T4DWR"],"uri":["http://zotero.org/users/local/jkkvYBSC/items/ZN4T4DWR"],"itemData":{"id":534,"type":"article-journal","abstract":"A young male is evaluated for nephrotic-range proteinuria, hypercalciuria, and an elevated serum creatinine. A renal biopsy is performed and shows focal global glomerulosclerosis. The absence of nephrotic syndrome suggest that glomerulosclerosis was a secondary process. Further analysis of the proteinuria showed it to be due mainly to low-molecular weight proteins. The case illustrates the crucial role of electron microscopy as well as evaluation of the identity of the proteinuria that accompanies a biopsy finding of focal and global or focal and segmental glomerulosclerosis.","container-title":"Clinical journal of the American Society of Nephrology: CJASN","DOI":"10.2215/CJN.03400313","ISSN":"1555-905X","issue":"11","journalAbbreviation":"Clin J Am Soc Nephrol","language":"eng","note":"PMID: 23886564\nPMCID: PMC3817907","page":"1979-1987","source":"PubMed","title":"A patient with nephrotic-range proteinuria and focal global glomerulosclerosis","volume":"8","author":[{"family":"Fervenza","given":"Fernando C."}],"issued":{"date-parts":[["2013",11]]}}}],"schema":"https://github.com/citation-style-language/schema/raw/master/csl-citation.json"} </w:instrText>
            </w:r>
            <w:r w:rsidRPr="00BC0897">
              <w:rPr>
                <w:rFonts w:ascii="Times New Roman" w:hAnsi="Times New Roman" w:cs="Times New Roman"/>
                <w:b/>
                <w:sz w:val="20"/>
                <w:szCs w:val="20"/>
                <w:lang w:val="en-US"/>
              </w:rPr>
              <w:fldChar w:fldCharType="separate"/>
            </w:r>
            <w:r w:rsidR="000F21AB" w:rsidRPr="00BC0897">
              <w:rPr>
                <w:rFonts w:ascii="Times New Roman" w:hAnsi="Times New Roman" w:cs="Times New Roman"/>
                <w:sz w:val="20"/>
                <w:szCs w:val="20"/>
              </w:rPr>
              <w:t>(Fervenza 2013)</w:t>
            </w:r>
            <w:r w:rsidRPr="00BC0897">
              <w:rPr>
                <w:rFonts w:ascii="Times New Roman" w:hAnsi="Times New Roman" w:cs="Times New Roman"/>
                <w:b/>
                <w:sz w:val="20"/>
                <w:szCs w:val="20"/>
                <w:lang w:val="en-US"/>
              </w:rPr>
              <w:fldChar w:fldCharType="end"/>
            </w:r>
          </w:p>
        </w:tc>
        <w:tc>
          <w:tcPr>
            <w:tcW w:w="1153" w:type="dxa"/>
            <w:vAlign w:val="center"/>
          </w:tcPr>
          <w:p w:rsidR="00646A25" w:rsidRPr="00BC0897" w:rsidRDefault="00646A25" w:rsidP="00A44008">
            <w:pPr>
              <w:spacing w:after="0"/>
              <w:jc w:val="center"/>
              <w:rPr>
                <w:rFonts w:ascii="Times New Roman" w:hAnsi="Times New Roman" w:cs="Times New Roman"/>
                <w:b/>
                <w:sz w:val="20"/>
                <w:szCs w:val="20"/>
              </w:rPr>
            </w:pPr>
            <w:r w:rsidRPr="00BC0897">
              <w:rPr>
                <w:rFonts w:ascii="Times New Roman" w:hAnsi="Times New Roman" w:cs="Times New Roman"/>
                <w:b/>
                <w:sz w:val="20"/>
                <w:szCs w:val="20"/>
                <w:lang w:val="en-US"/>
              </w:rPr>
              <w:fldChar w:fldCharType="begin"/>
            </w:r>
            <w:r w:rsidR="00040F98" w:rsidRPr="00BC0897">
              <w:rPr>
                <w:rFonts w:ascii="Times New Roman" w:hAnsi="Times New Roman" w:cs="Times New Roman"/>
                <w:b/>
                <w:sz w:val="20"/>
                <w:szCs w:val="20"/>
              </w:rPr>
              <w:instrText xml:space="preserve"> ADDIN ZOTERO_ITEM CSL_CITATION {"citationID":"gPSv83Bs","properties":{"formattedCitation":"(Valina et al. 2013)","plainCitation":"(Valina et al. 2013)","noteIndex":0},"citationItems":[{"id":"p7ATYret/8PgpKyQ8","uris":["http://zotero.org/users/local/jkkvYBSC/items/8E47ZZQD"],"uri":["http://zotero.org/users/local/jkkvYBSC/items/8E47ZZQD"],"itemData":{"id":"p7ATYret/8PgpKyQ8","type":"article-journal","abstract":"Dent disease is an X-linked proximal tubulopathy that typically presents with hypercalciuria, low-molecular-weight proteinuria and slow progression to endstage renal disease. We report the case of a 5-year-old boy who presented with asymptomatic nephrotic range proteinuria and was later diagnosed with Dent disease. Absence of specific glomerular pathology in the first kidney biopsy led to erroneous treatment for presumably unsampled primary focal segmental glomerulosclerosis. Aggressive angiotensin blockade and immunosuppression resulted in significant side effects with marginal benefit. The continued nonspecific findings after a second kidney biopsy 2 years later led to the suspicion of a congenital tubulopathy. We detected a novel CLCN5 gene mutation, c.1396G &gt; C, that creates a G466R missense change in the ClC-5 protein. Dent disease should be considered in the differential diagnosis of asymptomatic proteinuria for male patients. Profiling proteinuria in these patients by spot urine albumin/creatinine ratio may give the first clue to a tubulopathy. Determining the extent to which the clinical work-up should proceed for females with Dent phenotype or asymptomatic proteinuria remains to be a challenging clinical dilemma.","container-title":"Clinical Nephrology","DOI":"10.5414/CN107429","ISSN":"0301-0430","issue":"5","journalAbbreviation":"Clin. Nephrol.","language":"eng","note":"PMID: 22735364","page":"377-384","source":"PubMed","title":"A novel CLCN5 mutation in a boy with asymptomatic proteinuria and focal global glomerulosclerosis","volume":"80","author":[{"family":"Valina","given":"Mary Rose"},{"family":"Larsen","given":"Christopher P."},{"family":"Kanosky","given":"Sherry"},{"family":"Suchy","given":"Sharon F."},{"family":"Nield","given":"Linda S."},{"family":"Onder","given":"Ali Mirza"}],"issued":{"date-parts":[["2013",11]]}}}],"schema":"https://github.com/citation-style-language/schema/raw/master/csl-citation.json"} </w:instrText>
            </w:r>
            <w:r w:rsidRPr="00BC0897">
              <w:rPr>
                <w:rFonts w:ascii="Times New Roman" w:hAnsi="Times New Roman" w:cs="Times New Roman"/>
                <w:b/>
                <w:sz w:val="20"/>
                <w:szCs w:val="20"/>
                <w:lang w:val="en-US"/>
              </w:rPr>
              <w:fldChar w:fldCharType="separate"/>
            </w:r>
            <w:r w:rsidR="00040F98" w:rsidRPr="00BC0897">
              <w:rPr>
                <w:rFonts w:ascii="Times New Roman" w:hAnsi="Times New Roman" w:cs="Times New Roman"/>
                <w:sz w:val="20"/>
              </w:rPr>
              <w:t>(Valina et al. 2013)</w:t>
            </w:r>
            <w:r w:rsidRPr="00BC0897">
              <w:rPr>
                <w:rFonts w:ascii="Times New Roman" w:hAnsi="Times New Roman" w:cs="Times New Roman"/>
                <w:b/>
                <w:sz w:val="20"/>
                <w:szCs w:val="20"/>
                <w:lang w:val="en-US"/>
              </w:rPr>
              <w:fldChar w:fldCharType="end"/>
            </w:r>
          </w:p>
        </w:tc>
        <w:tc>
          <w:tcPr>
            <w:tcW w:w="1153" w:type="dxa"/>
            <w:vAlign w:val="center"/>
            <w:hideMark/>
          </w:tcPr>
          <w:p w:rsidR="00646A25" w:rsidRPr="00BC0897" w:rsidRDefault="00646A25"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005C2768" w:rsidRPr="00BC0897">
              <w:rPr>
                <w:rFonts w:ascii="Times New Roman" w:hAnsi="Times New Roman" w:cs="Times New Roman"/>
                <w:b/>
                <w:sz w:val="20"/>
                <w:szCs w:val="20"/>
                <w:lang w:val="en-US"/>
              </w:rPr>
              <w:instrText xml:space="preserve"> ADDIN ZOTERO_ITEM CSL_CITATION {"citationID":"oAlSCVkW","properties":{"formattedCitation":"(Sekine et al. 2014)","plainCitation":"(Sekine et al. 2014)","noteIndex":0},"citationItems":[{"id":1485,"uris":["http://zotero.org/users/local/jkkvYBSC/items/GQWJH34Y"],"uri":["http://zotero.org/users/local/jkkvYBSC/items/GQWJH34Y"],"itemData":{"id":1485,"type":"article-journal","abstract":"Dent disease is an X-linked disorder characterized by low-molecular-weight (LMW) proteinuria, hypercalciuria, nephrocalcinosis, urolithiasis and renal dysfunction. Dent disease is caused by mutations in at least two genes, i.e. CLCN5 and OCRL1, and its genetic background and phenotypes are common among European countries and the USA. However, only few studies on Dent disease in Japan, which was originally called 'low-molecular-weight proteinuric disease', have been reported thus far. In this study, we analysed genetic background and clinical phenotype and laboratory data of 86 unrelated Japanese Dent disease patients. The results demonstrated that the genetic basis of Japanese Dent disease was nearly identical to those of Dent disease in other countries. Of 86 unrelated Japanese Dent patients, 61 possessed mutations in CLCN5 (Dent-1), of which 27 were novel mutations; 11 showed mutations in OCRL1 (Dent-2), six of which were novel, and the remaining 14 patients showed no mutations in CLCN5 or OCRL1 (Dent-NI). Despite the similarity in genetic background, hypercalciuria was detected in only 51%, rickets in 2% and nephrocalcinosis in 35%. Although the patients were relatively young, six patients (8%) showed apparent renal dysfunction. Japanese Dent disease has a wider clinical spectrum than Dent disease in Europe and the USA.","container-title":"Nephrology Dialysis Transplantation","DOI":"10.1093/ndt/gft394","ISSN":"1460-2385","issue":"2","journalAbbreviation":"Nephrol. Dial. Transplant.","language":"eng","note":"PMID: 24081861","page":"376-384","source":"PubMed","title":"Japanese Dent disease has a wider clinical spectrum than Dent disease in Europe/USA: genetic and clinical studies of 86 unrelated patients with low-molecular-weight proteinuria","title-short":"Japanese Dent disease has a wider clinical spectrum than Dent disease in Europe/USA","volume":"29","author":[{"family":"Sekine","given":"Takashi"},{"family":"Komoda","given":"Fusako"},{"family":"Miura","given":"Kenichiro"},{"family":"Takita","given":"Junko"},{"family":"Shimadzu","given":"Mitsunobu"},{"family":"Matsuyama","given":"Takeshi"},{"family":"Ashida","given":"Akira"},{"family":"Igarashi","given":"Takashi"}],"issued":{"date-parts":[["2014",2]]}}}],"schema":"https://github.com/citation-style-language/schema/raw/master/csl-citation.json"} </w:instrText>
            </w:r>
            <w:r w:rsidRPr="00BC0897">
              <w:rPr>
                <w:rFonts w:ascii="Times New Roman" w:hAnsi="Times New Roman" w:cs="Times New Roman"/>
                <w:b/>
                <w:sz w:val="20"/>
                <w:szCs w:val="20"/>
                <w:lang w:val="en-US"/>
              </w:rPr>
              <w:fldChar w:fldCharType="separate"/>
            </w:r>
            <w:r w:rsidR="000F21AB" w:rsidRPr="00BC0897">
              <w:rPr>
                <w:rFonts w:ascii="Times New Roman" w:hAnsi="Times New Roman" w:cs="Times New Roman"/>
                <w:sz w:val="20"/>
                <w:szCs w:val="20"/>
              </w:rPr>
              <w:t>(Sekine et al. 2014)</w:t>
            </w:r>
            <w:r w:rsidRPr="00BC0897">
              <w:rPr>
                <w:rFonts w:ascii="Times New Roman" w:hAnsi="Times New Roman" w:cs="Times New Roman"/>
                <w:b/>
                <w:sz w:val="20"/>
                <w:szCs w:val="20"/>
                <w:lang w:val="en-US"/>
              </w:rPr>
              <w:fldChar w:fldCharType="end"/>
            </w:r>
          </w:p>
        </w:tc>
        <w:tc>
          <w:tcPr>
            <w:tcW w:w="1185" w:type="dxa"/>
            <w:vAlign w:val="center"/>
            <w:hideMark/>
          </w:tcPr>
          <w:p w:rsidR="00646A25" w:rsidRPr="00BC0897" w:rsidRDefault="00646A25"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000F21AB" w:rsidRPr="00BC0897">
              <w:rPr>
                <w:rFonts w:ascii="Times New Roman" w:hAnsi="Times New Roman" w:cs="Times New Roman"/>
                <w:b/>
                <w:sz w:val="20"/>
                <w:szCs w:val="20"/>
                <w:lang w:val="en-US"/>
              </w:rPr>
              <w:instrText xml:space="preserve"> ADDIN ZOTERO_ITEM CSL_CITATION {"citationID":"MYGWOxOU","properties":{"formattedCitation":"(Cramer et al. 2014)","plainCitation":"(Cramer et al. 2014)","noteIndex":0},"citationItems":[{"id":247,"uris":["http://zotero.org/users/local/jkkvYBSC/items/3MVPSS8G"],"uri":["http://zotero.org/users/local/jkkvYBSC/items/3MVPSS8G"],"itemData":{"id":247,"type":"article-journal","abstract":"BACKGROUND: Dent disease is an X-linked recessive renal tubular disorder characterized by low molecular weight proteinuria, hypercalciuria, nephrocalcinosis, nephrolithiasis, and progressive renal failure (MIM 300009). A recent case series identified four patients with CLCN5 mutations who presented with nephrotic-range proteinuria, histologic evidence of focal segmental and/or global sclerosis, and low molecular weight proteinuria.\nCASE-DIAGNOSIS/TREATMENT: We characterize the clinical, genetic, and histopathological features of seven unrelated adolescent males with nephrotic-range proteinuria and CLCN5 mutations. Six patients underwent renal biopsy prior to assessing tubular proteinuria. All biopsied patients had either segmental sclerosis (3/6) or segmental increase in mesangial matrix (3/6). Five patients revealed some degree of foot process effacement, but only one patient biopsy revealed &gt;50 % foot process effacement. The attenuated foot process effacement suggests the glomerulosclerosis is not due to a primary podocytopathy.\nCONCLUSIONS: These data suggest that clinicians should consider a diagnostic evaluation for Dent disease in young males presenting with high-grade proteinuria.","container-title":"Pediatric Nephrology (Berlin, Germany)","DOI":"10.1007/s00467-014-2824-5","ISSN":"1432-198X","issue":"10","journalAbbreviation":"Pediatr. Nephrol.","language":"eng","note":"PMID: 24810952","page":"2051-2054","source":"PubMed","title":"Expanding the phenotype of proteinuria in Dent disease. A case series","volume":"29","author":[{"family":"Cramer","given":"Monica T."},{"family":"Charlton","given":"Jennifer R."},{"family":"Fogo","given":"Agnes B."},{"family":"Fathallah-Shaykh","given":"Sahar A."},{"family":"Askenazi","given":"David J."},{"family":"Guay-Woodford","given":"Lisa M."}],"issued":{"date-parts":[["2014",10]]}}}],"schema":"https://github.com/citation-style-language/schema/raw/master/csl-citation.json"} </w:instrText>
            </w:r>
            <w:r w:rsidRPr="00BC0897">
              <w:rPr>
                <w:rFonts w:ascii="Times New Roman" w:hAnsi="Times New Roman" w:cs="Times New Roman"/>
                <w:b/>
                <w:sz w:val="20"/>
                <w:szCs w:val="20"/>
                <w:lang w:val="en-US"/>
              </w:rPr>
              <w:fldChar w:fldCharType="separate"/>
            </w:r>
            <w:r w:rsidR="000F21AB" w:rsidRPr="00BC0897">
              <w:rPr>
                <w:rFonts w:ascii="Times New Roman" w:hAnsi="Times New Roman" w:cs="Times New Roman"/>
                <w:sz w:val="20"/>
                <w:szCs w:val="20"/>
              </w:rPr>
              <w:t>(Cramer et al. 2014)</w:t>
            </w:r>
            <w:r w:rsidRPr="00BC0897">
              <w:rPr>
                <w:rFonts w:ascii="Times New Roman" w:hAnsi="Times New Roman" w:cs="Times New Roman"/>
                <w:b/>
                <w:sz w:val="20"/>
                <w:szCs w:val="20"/>
                <w:lang w:val="en-US"/>
              </w:rPr>
              <w:fldChar w:fldCharType="end"/>
            </w:r>
          </w:p>
        </w:tc>
        <w:tc>
          <w:tcPr>
            <w:tcW w:w="1105" w:type="dxa"/>
            <w:vAlign w:val="center"/>
            <w:hideMark/>
          </w:tcPr>
          <w:p w:rsidR="00646A25" w:rsidRPr="00BC0897" w:rsidRDefault="00646A25"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000F21AB" w:rsidRPr="00BC0897">
              <w:rPr>
                <w:rFonts w:ascii="Times New Roman" w:hAnsi="Times New Roman" w:cs="Times New Roman"/>
                <w:b/>
                <w:sz w:val="20"/>
                <w:szCs w:val="20"/>
                <w:lang w:val="en-US"/>
              </w:rPr>
              <w:instrText xml:space="preserve"> ADDIN ZOTERO_ITEM CSL_CITATION {"citationID":"8sWgIs9z","properties":{"formattedCitation":"(Mansour-Hendili et al. 2015)","plainCitation":"(Mansour-Hendili et al. 2015)","noteIndex":0},"citationItems":[{"id":324,"uris":["http://zotero.org/users/local/jkkvYBSC/items/IFJKAIZ5"],"uri":["http://zotero.org/users/local/jkkvYBSC/items/IFJKAIZ5"],"itemData":{"id":324,"type":"article-journal","abstract":"Dent disease is a rare X-linked tubulopathy characterized by low molecular weight proteinuria, hypercalciuria, nephrocalcinosis and/or nephrolithiasis, progressive renal failure, and variable manifestations of other proximal tubule dysfunctions. It often progresses over a few decades to chronic renal insufficiency, and therefore molecular characterization is important to allow appropriate genetic counseling. Two genetic subtypes have been described to date: Dent disease 1 is caused by mutations of the CLCN5 gene, coding for the chloride/proton exchanger ClC-5; and Dent disease 2 by mutations of the OCRL gene, coding for the inositol polyphosphate 5-phosphatase OCRL-1. Herein, we review previously reported mutations (n = 192) and their associated phenotype in 377 male patients with Dent disease 1 and describe phenotype and novel (n = 42) and recurrent mutations (n = 24) in a large cohort of 117 Dent disease 1 patients belonging to 90 families. The novel missense and in-frame mutations described were mapped onto a three-dimensional homology model of the ClC-5 protein. This analysis suggests that these mutations affect the dimerization process, helix stability, or transport. The phenotype of our cohort patients supports and extends the phenotype that has been reported in smaller studies.","container-title":"Human Mutation","DOI":"10.1002/humu.22804","ISSN":"1098-1004","issue":"8","journalAbbreviation":"Hum. Mutat.","language":"eng","note":"PMID: 25907713","page":"743-752","source":"PubMed","title":"Mutation Update of the CLCN5 Gene Responsible for Dent Disease 1","volume":"36","author":[{"family":"Mansour-Hendili","given":"Lamisse"},{"family":"Blanchard","given":"Anne"},{"family":"Le Pottier","given":"Nelly"},{"family":"Roncelin","given":"Isabelle"},{"family":"Lourdel","given":"Stéphane"},{"family":"Treard","given":"Cyrielle"},{"family":"González","given":"Wendy"},{"family":"Vergara-Jaque","given":"Ariela"},{"family":"Morin","given":"Gilles"},{"family":"Colin","given":"Estelle"},{"family":"Holder-Espinasse","given":"Muriel"},{"family":"Bacchetta","given":"Justine"},{"family":"Baudouin","given":"Véronique"},{"family":"Benoit","given":"Stéphane"},{"family":"Bérard","given":"Etienne"},{"family":"Bourdat-Michel","given":"Guylhène"},{"family":"Bouchireb","given":"Karim"},{"family":"Burtey","given":"Stéphane"},{"family":"Cailliez","given":"Mathilde"},{"family":"Cardon","given":"Gérard"},{"family":"Cartery","given":"Claire"},{"family":"Champion","given":"Gerard"},{"family":"Chauveau","given":"Dominique"},{"family":"Cochat","given":"Pierre"},{"family":"Dahan","given":"Karin"},{"family":"De la Faille","given":"Renaud"},{"family":"Debray","given":"François-Guillaume"},{"family":"Dehoux","given":"Laurenne"},{"family":"Deschenes","given":"Georges"},{"family":"Desport","given":"Estelle"},{"family":"Devuyst","given":"Olivier"},{"family":"Dieguez","given":"Stella"},{"family":"Emma","given":"Francesco"},{"family":"Fischbach","given":"Michel"},{"family":"Fouque","given":"Denis"},{"family":"Fourcade","given":"Jacques"},{"family":"François","given":"Hélène"},{"family":"Gilbert-Dussardier","given":"Brigitte"},{"family":"Hannedouche","given":"Thierry"},{"family":"Houillier","given":"Pascal"},{"family":"Izzedine","given":"Hassan"},{"family":"Janner","given":"Marco"},{"family":"Karras","given":"Alexandre"},{"family":"Knebelmann","given":"Bertrand"},{"family":"Lavocat","given":"Marie-Pierre"},{"family":"Lemoine","given":"Sandrine"},{"family":"Leroy","given":"Valérie"},{"family":"Loirat","given":"Chantal"},{"family":"Macher","given":"Marie-Alice"},{"family":"Martin-Coignard","given":"Dominique"},{"family":"Morin","given":"Denis"},{"family":"Niaudet","given":"Patrick"},{"family":"Nivet","given":"Hubert"},{"family":"Nobili","given":"François"},{"family":"Novo","given":"Robert"},{"family":"Faivre","given":"Laurence"},{"family":"Rigothier","given":"Claire"},{"family":"Roussey-Kesler","given":"Gwenaëlle"},{"family":"Salomon","given":"Remi"},{"family":"Schleich","given":"Andreas"},{"family":"Sellier-Leclerc","given":"Anne-Laure"},{"family":"Soulami","given":"Kenza"},{"family":"Tiple","given":"Aurélien"},{"family":"Ulinski","given":"Tim"},{"family":"Vanhille","given":"Philippe"},{"family":"Van Regemorter","given":"Nicole"},{"family":"Jeunemaître","given":"Xavier"},{"family":"Vargas-Poussou","given":"Rosa"}],"issued":{"date-parts":[["2015",8]]}}}],"schema":"https://github.com/citation-style-language/schema/raw/master/csl-citation.json"} </w:instrText>
            </w:r>
            <w:r w:rsidRPr="00BC0897">
              <w:rPr>
                <w:rFonts w:ascii="Times New Roman" w:hAnsi="Times New Roman" w:cs="Times New Roman"/>
                <w:b/>
                <w:sz w:val="20"/>
                <w:szCs w:val="20"/>
                <w:lang w:val="en-US"/>
              </w:rPr>
              <w:fldChar w:fldCharType="separate"/>
            </w:r>
            <w:r w:rsidR="000F21AB" w:rsidRPr="00BC0897">
              <w:rPr>
                <w:rFonts w:ascii="Times New Roman" w:hAnsi="Times New Roman" w:cs="Times New Roman"/>
                <w:sz w:val="20"/>
                <w:szCs w:val="20"/>
                <w:lang w:val="en-US"/>
              </w:rPr>
              <w:t>(Mansour-Hendili et al. 2015)</w:t>
            </w:r>
            <w:r w:rsidRPr="00BC0897">
              <w:rPr>
                <w:rFonts w:ascii="Times New Roman" w:hAnsi="Times New Roman" w:cs="Times New Roman"/>
                <w:b/>
                <w:sz w:val="20"/>
                <w:szCs w:val="20"/>
                <w:lang w:val="en-US"/>
              </w:rPr>
              <w:fldChar w:fldCharType="end"/>
            </w:r>
          </w:p>
        </w:tc>
      </w:tr>
      <w:tr w:rsidR="00646A25" w:rsidRPr="002212C2" w:rsidTr="00C228AD">
        <w:trPr>
          <w:trHeight w:val="300"/>
        </w:trPr>
        <w:tc>
          <w:tcPr>
            <w:tcW w:w="2369"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n</w:t>
            </w:r>
          </w:p>
        </w:tc>
        <w:tc>
          <w:tcPr>
            <w:tcW w:w="1187"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w:t>
            </w:r>
          </w:p>
        </w:tc>
        <w:tc>
          <w:tcPr>
            <w:tcW w:w="86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9</w:t>
            </w:r>
          </w:p>
        </w:tc>
        <w:tc>
          <w:tcPr>
            <w:tcW w:w="133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212</w:t>
            </w:r>
          </w:p>
        </w:tc>
        <w:tc>
          <w:tcPr>
            <w:tcW w:w="96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w:t>
            </w:r>
          </w:p>
        </w:tc>
        <w:tc>
          <w:tcPr>
            <w:tcW w:w="109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w:t>
            </w:r>
          </w:p>
        </w:tc>
        <w:tc>
          <w:tcPr>
            <w:tcW w:w="1050"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7</w:t>
            </w:r>
          </w:p>
        </w:tc>
        <w:tc>
          <w:tcPr>
            <w:tcW w:w="1170"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153"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153"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61</w:t>
            </w:r>
          </w:p>
        </w:tc>
        <w:tc>
          <w:tcPr>
            <w:tcW w:w="118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7</w:t>
            </w:r>
          </w:p>
        </w:tc>
        <w:tc>
          <w:tcPr>
            <w:tcW w:w="110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103</w:t>
            </w:r>
          </w:p>
        </w:tc>
      </w:tr>
      <w:tr w:rsidR="00646A25" w:rsidRPr="002212C2" w:rsidTr="00C228AD">
        <w:trPr>
          <w:trHeight w:val="600"/>
        </w:trPr>
        <w:tc>
          <w:tcPr>
            <w:tcW w:w="2369"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Population</w:t>
            </w:r>
          </w:p>
        </w:tc>
        <w:tc>
          <w:tcPr>
            <w:tcW w:w="1187"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American</w:t>
            </w:r>
          </w:p>
        </w:tc>
        <w:tc>
          <w:tcPr>
            <w:tcW w:w="86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Korean</w:t>
            </w:r>
          </w:p>
        </w:tc>
        <w:tc>
          <w:tcPr>
            <w:tcW w:w="133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Global</w:t>
            </w:r>
          </w:p>
        </w:tc>
        <w:tc>
          <w:tcPr>
            <w:tcW w:w="96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Chinese</w:t>
            </w:r>
          </w:p>
        </w:tc>
        <w:tc>
          <w:tcPr>
            <w:tcW w:w="109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Israeli</w:t>
            </w:r>
          </w:p>
        </w:tc>
        <w:tc>
          <w:tcPr>
            <w:tcW w:w="1050"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Israeli</w:t>
            </w:r>
          </w:p>
        </w:tc>
        <w:tc>
          <w:tcPr>
            <w:tcW w:w="1170"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American</w:t>
            </w:r>
          </w:p>
        </w:tc>
        <w:tc>
          <w:tcPr>
            <w:tcW w:w="1153"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American</w:t>
            </w:r>
          </w:p>
        </w:tc>
        <w:tc>
          <w:tcPr>
            <w:tcW w:w="1153"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Japanese</w:t>
            </w:r>
          </w:p>
        </w:tc>
        <w:tc>
          <w:tcPr>
            <w:tcW w:w="118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American</w:t>
            </w:r>
          </w:p>
        </w:tc>
        <w:tc>
          <w:tcPr>
            <w:tcW w:w="110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French</w:t>
            </w:r>
          </w:p>
        </w:tc>
      </w:tr>
      <w:tr w:rsidR="00646A25" w:rsidRPr="002212C2" w:rsidTr="00C228AD">
        <w:trPr>
          <w:trHeight w:val="300"/>
        </w:trPr>
        <w:tc>
          <w:tcPr>
            <w:tcW w:w="2369"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Age (years, range)</w:t>
            </w:r>
          </w:p>
        </w:tc>
        <w:tc>
          <w:tcPr>
            <w:tcW w:w="1187"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8-11.5</w:t>
            </w:r>
          </w:p>
        </w:tc>
        <w:tc>
          <w:tcPr>
            <w:tcW w:w="86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0.2-13</w:t>
            </w:r>
          </w:p>
        </w:tc>
        <w:tc>
          <w:tcPr>
            <w:tcW w:w="133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96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11-12</w:t>
            </w:r>
          </w:p>
        </w:tc>
        <w:tc>
          <w:tcPr>
            <w:tcW w:w="109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3-11</w:t>
            </w:r>
          </w:p>
        </w:tc>
        <w:tc>
          <w:tcPr>
            <w:tcW w:w="1050"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7-35</w:t>
            </w:r>
          </w:p>
        </w:tc>
        <w:tc>
          <w:tcPr>
            <w:tcW w:w="1170"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18</w:t>
            </w:r>
          </w:p>
        </w:tc>
        <w:tc>
          <w:tcPr>
            <w:tcW w:w="1153"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w:t>
            </w:r>
          </w:p>
        </w:tc>
        <w:tc>
          <w:tcPr>
            <w:tcW w:w="1153"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0.3-66</w:t>
            </w:r>
          </w:p>
        </w:tc>
        <w:tc>
          <w:tcPr>
            <w:tcW w:w="118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3-9</w:t>
            </w:r>
          </w:p>
        </w:tc>
        <w:tc>
          <w:tcPr>
            <w:tcW w:w="110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0.1-55</w:t>
            </w:r>
          </w:p>
        </w:tc>
      </w:tr>
      <w:tr w:rsidR="00646A25" w:rsidRPr="002212C2" w:rsidTr="00473D63">
        <w:trPr>
          <w:trHeight w:val="300"/>
        </w:trPr>
        <w:tc>
          <w:tcPr>
            <w:tcW w:w="2369"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Proteinuria</w:t>
            </w:r>
          </w:p>
        </w:tc>
        <w:tc>
          <w:tcPr>
            <w:tcW w:w="1187"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2/2</w:t>
            </w:r>
          </w:p>
        </w:tc>
        <w:tc>
          <w:tcPr>
            <w:tcW w:w="862"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332"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96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3/3</w:t>
            </w:r>
          </w:p>
        </w:tc>
        <w:tc>
          <w:tcPr>
            <w:tcW w:w="109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4/4</w:t>
            </w:r>
          </w:p>
        </w:tc>
        <w:tc>
          <w:tcPr>
            <w:tcW w:w="1050"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3/7</w:t>
            </w:r>
          </w:p>
        </w:tc>
        <w:tc>
          <w:tcPr>
            <w:tcW w:w="1170"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c>
          <w:tcPr>
            <w:tcW w:w="1153"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c>
          <w:tcPr>
            <w:tcW w:w="1153"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8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7/7</w:t>
            </w:r>
          </w:p>
        </w:tc>
        <w:tc>
          <w:tcPr>
            <w:tcW w:w="1105" w:type="dxa"/>
            <w:vAlign w:val="center"/>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2212C2" w:rsidTr="00473D63">
        <w:trPr>
          <w:trHeight w:val="300"/>
        </w:trPr>
        <w:tc>
          <w:tcPr>
            <w:tcW w:w="2369"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Nephrotic range proteinuria</w:t>
            </w:r>
          </w:p>
        </w:tc>
        <w:tc>
          <w:tcPr>
            <w:tcW w:w="1187"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2/2</w:t>
            </w:r>
          </w:p>
        </w:tc>
        <w:tc>
          <w:tcPr>
            <w:tcW w:w="862"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332"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96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09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4/4</w:t>
            </w:r>
          </w:p>
        </w:tc>
        <w:tc>
          <w:tcPr>
            <w:tcW w:w="1050"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70"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c>
          <w:tcPr>
            <w:tcW w:w="1153"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c>
          <w:tcPr>
            <w:tcW w:w="1153"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8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7/7</w:t>
            </w:r>
          </w:p>
        </w:tc>
        <w:tc>
          <w:tcPr>
            <w:tcW w:w="1105" w:type="dxa"/>
            <w:vAlign w:val="center"/>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2212C2" w:rsidTr="00C228AD">
        <w:trPr>
          <w:trHeight w:val="300"/>
        </w:trPr>
        <w:tc>
          <w:tcPr>
            <w:tcW w:w="2369"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LMWP</w:t>
            </w:r>
          </w:p>
        </w:tc>
        <w:tc>
          <w:tcPr>
            <w:tcW w:w="1187"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86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9/9</w:t>
            </w:r>
          </w:p>
        </w:tc>
        <w:tc>
          <w:tcPr>
            <w:tcW w:w="133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212/212</w:t>
            </w:r>
          </w:p>
        </w:tc>
        <w:tc>
          <w:tcPr>
            <w:tcW w:w="96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3/3</w:t>
            </w:r>
          </w:p>
        </w:tc>
        <w:tc>
          <w:tcPr>
            <w:tcW w:w="109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4/4</w:t>
            </w:r>
          </w:p>
        </w:tc>
        <w:tc>
          <w:tcPr>
            <w:tcW w:w="105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7/7</w:t>
            </w:r>
          </w:p>
        </w:tc>
        <w:tc>
          <w:tcPr>
            <w:tcW w:w="117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c>
          <w:tcPr>
            <w:tcW w:w="1153"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c>
          <w:tcPr>
            <w:tcW w:w="115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61/61</w:t>
            </w:r>
          </w:p>
        </w:tc>
        <w:tc>
          <w:tcPr>
            <w:tcW w:w="118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4/4</w:t>
            </w:r>
          </w:p>
        </w:tc>
        <w:tc>
          <w:tcPr>
            <w:tcW w:w="110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99/99</w:t>
            </w:r>
          </w:p>
        </w:tc>
      </w:tr>
      <w:tr w:rsidR="00646A25" w:rsidRPr="002212C2" w:rsidTr="00C228AD">
        <w:trPr>
          <w:trHeight w:val="300"/>
        </w:trPr>
        <w:tc>
          <w:tcPr>
            <w:tcW w:w="2369"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Hypercalciuria</w:t>
            </w:r>
          </w:p>
        </w:tc>
        <w:tc>
          <w:tcPr>
            <w:tcW w:w="1187"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86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9/9</w:t>
            </w:r>
          </w:p>
        </w:tc>
        <w:tc>
          <w:tcPr>
            <w:tcW w:w="133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180/200</w:t>
            </w:r>
          </w:p>
        </w:tc>
        <w:tc>
          <w:tcPr>
            <w:tcW w:w="96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3/3</w:t>
            </w:r>
          </w:p>
        </w:tc>
        <w:tc>
          <w:tcPr>
            <w:tcW w:w="109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1/3</w:t>
            </w:r>
          </w:p>
        </w:tc>
        <w:tc>
          <w:tcPr>
            <w:tcW w:w="105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5/7</w:t>
            </w:r>
          </w:p>
        </w:tc>
        <w:tc>
          <w:tcPr>
            <w:tcW w:w="117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c>
          <w:tcPr>
            <w:tcW w:w="1153"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c>
          <w:tcPr>
            <w:tcW w:w="115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25/54</w:t>
            </w:r>
          </w:p>
        </w:tc>
        <w:tc>
          <w:tcPr>
            <w:tcW w:w="118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0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89/95</w:t>
            </w:r>
          </w:p>
        </w:tc>
      </w:tr>
      <w:tr w:rsidR="00646A25" w:rsidRPr="002212C2" w:rsidTr="00C228AD">
        <w:trPr>
          <w:trHeight w:val="300"/>
        </w:trPr>
        <w:tc>
          <w:tcPr>
            <w:tcW w:w="2369"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Hyperphosphaturia</w:t>
            </w:r>
          </w:p>
        </w:tc>
        <w:tc>
          <w:tcPr>
            <w:tcW w:w="1187"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86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33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35/156</w:t>
            </w:r>
          </w:p>
        </w:tc>
        <w:tc>
          <w:tcPr>
            <w:tcW w:w="96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09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105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3/7</w:t>
            </w:r>
          </w:p>
        </w:tc>
        <w:tc>
          <w:tcPr>
            <w:tcW w:w="117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53"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5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8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0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2212C2" w:rsidTr="00C228AD">
        <w:trPr>
          <w:trHeight w:val="300"/>
        </w:trPr>
        <w:tc>
          <w:tcPr>
            <w:tcW w:w="2369"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Aminoaciduria</w:t>
            </w:r>
          </w:p>
        </w:tc>
        <w:tc>
          <w:tcPr>
            <w:tcW w:w="1187"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86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33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31/75</w:t>
            </w:r>
          </w:p>
        </w:tc>
        <w:tc>
          <w:tcPr>
            <w:tcW w:w="96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09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0/3</w:t>
            </w:r>
          </w:p>
        </w:tc>
        <w:tc>
          <w:tcPr>
            <w:tcW w:w="105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7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1153"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5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8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0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23/34</w:t>
            </w:r>
          </w:p>
        </w:tc>
      </w:tr>
      <w:tr w:rsidR="00646A25" w:rsidRPr="002212C2" w:rsidTr="00C228AD">
        <w:trPr>
          <w:trHeight w:val="300"/>
        </w:trPr>
        <w:tc>
          <w:tcPr>
            <w:tcW w:w="2369"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Glycosuria</w:t>
            </w:r>
          </w:p>
        </w:tc>
        <w:tc>
          <w:tcPr>
            <w:tcW w:w="1187"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86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1/9</w:t>
            </w:r>
          </w:p>
        </w:tc>
        <w:tc>
          <w:tcPr>
            <w:tcW w:w="133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18/108</w:t>
            </w:r>
          </w:p>
        </w:tc>
        <w:tc>
          <w:tcPr>
            <w:tcW w:w="96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1/3</w:t>
            </w:r>
          </w:p>
        </w:tc>
        <w:tc>
          <w:tcPr>
            <w:tcW w:w="109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0/4</w:t>
            </w:r>
          </w:p>
        </w:tc>
        <w:tc>
          <w:tcPr>
            <w:tcW w:w="105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7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1153"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5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8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0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27/62</w:t>
            </w:r>
          </w:p>
        </w:tc>
      </w:tr>
      <w:tr w:rsidR="00646A25" w:rsidRPr="002212C2" w:rsidTr="00C228AD">
        <w:trPr>
          <w:trHeight w:val="300"/>
        </w:trPr>
        <w:tc>
          <w:tcPr>
            <w:tcW w:w="2369"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Nephrocalcinosis</w:t>
            </w:r>
          </w:p>
        </w:tc>
        <w:tc>
          <w:tcPr>
            <w:tcW w:w="1187"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86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33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137/182</w:t>
            </w:r>
          </w:p>
        </w:tc>
        <w:tc>
          <w:tcPr>
            <w:tcW w:w="96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2/3</w:t>
            </w:r>
          </w:p>
        </w:tc>
        <w:tc>
          <w:tcPr>
            <w:tcW w:w="109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3/4</w:t>
            </w:r>
          </w:p>
        </w:tc>
        <w:tc>
          <w:tcPr>
            <w:tcW w:w="105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6/7</w:t>
            </w:r>
          </w:p>
        </w:tc>
        <w:tc>
          <w:tcPr>
            <w:tcW w:w="117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53"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115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20/53</w:t>
            </w:r>
          </w:p>
        </w:tc>
        <w:tc>
          <w:tcPr>
            <w:tcW w:w="118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2/7</w:t>
            </w:r>
          </w:p>
        </w:tc>
        <w:tc>
          <w:tcPr>
            <w:tcW w:w="110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59/91</w:t>
            </w:r>
          </w:p>
        </w:tc>
      </w:tr>
      <w:tr w:rsidR="00646A25" w:rsidRPr="002212C2" w:rsidTr="00C228AD">
        <w:trPr>
          <w:trHeight w:val="300"/>
        </w:trPr>
        <w:tc>
          <w:tcPr>
            <w:tcW w:w="2369"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Renal failure</w:t>
            </w:r>
          </w:p>
        </w:tc>
        <w:tc>
          <w:tcPr>
            <w:tcW w:w="1187"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86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0/9</w:t>
            </w:r>
          </w:p>
        </w:tc>
        <w:tc>
          <w:tcPr>
            <w:tcW w:w="133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60/203</w:t>
            </w:r>
          </w:p>
        </w:tc>
        <w:tc>
          <w:tcPr>
            <w:tcW w:w="96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0/3</w:t>
            </w:r>
          </w:p>
        </w:tc>
        <w:tc>
          <w:tcPr>
            <w:tcW w:w="109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0/4</w:t>
            </w:r>
          </w:p>
        </w:tc>
        <w:tc>
          <w:tcPr>
            <w:tcW w:w="105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7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53"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5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4/53</w:t>
            </w:r>
          </w:p>
        </w:tc>
        <w:tc>
          <w:tcPr>
            <w:tcW w:w="118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4/7</w:t>
            </w:r>
          </w:p>
        </w:tc>
        <w:tc>
          <w:tcPr>
            <w:tcW w:w="110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52/97</w:t>
            </w:r>
          </w:p>
        </w:tc>
      </w:tr>
      <w:tr w:rsidR="00646A25" w:rsidRPr="002212C2" w:rsidTr="00C228AD">
        <w:trPr>
          <w:trHeight w:val="300"/>
        </w:trPr>
        <w:tc>
          <w:tcPr>
            <w:tcW w:w="2369"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Hypokalemia</w:t>
            </w:r>
          </w:p>
        </w:tc>
        <w:tc>
          <w:tcPr>
            <w:tcW w:w="1187"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86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33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10/67</w:t>
            </w:r>
          </w:p>
        </w:tc>
        <w:tc>
          <w:tcPr>
            <w:tcW w:w="96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09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05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2/7</w:t>
            </w:r>
          </w:p>
        </w:tc>
        <w:tc>
          <w:tcPr>
            <w:tcW w:w="117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53"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5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8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2/7</w:t>
            </w:r>
          </w:p>
        </w:tc>
        <w:tc>
          <w:tcPr>
            <w:tcW w:w="110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33/75</w:t>
            </w:r>
          </w:p>
        </w:tc>
      </w:tr>
      <w:tr w:rsidR="00646A25" w:rsidRPr="002212C2" w:rsidTr="00C228AD">
        <w:trPr>
          <w:trHeight w:val="300"/>
        </w:trPr>
        <w:tc>
          <w:tcPr>
            <w:tcW w:w="2369" w:type="dxa"/>
            <w:noWrap/>
            <w:vAlign w:val="center"/>
            <w:hideMark/>
          </w:tcPr>
          <w:p w:rsidR="00646A25" w:rsidRPr="00BC0897" w:rsidRDefault="00646A25" w:rsidP="00C228AD">
            <w:pPr>
              <w:spacing w:after="0"/>
              <w:rPr>
                <w:rFonts w:ascii="Times New Roman" w:hAnsi="Times New Roman" w:cs="Times New Roman"/>
                <w:b/>
                <w:sz w:val="20"/>
                <w:szCs w:val="20"/>
                <w:lang w:val="en-US"/>
              </w:rPr>
            </w:pPr>
            <w:proofErr w:type="spellStart"/>
            <w:r w:rsidRPr="00BC0897">
              <w:rPr>
                <w:rFonts w:ascii="Times New Roman" w:hAnsi="Times New Roman" w:cs="Times New Roman"/>
                <w:b/>
                <w:sz w:val="20"/>
                <w:szCs w:val="20"/>
                <w:lang w:val="en-US"/>
              </w:rPr>
              <w:t>Fanconi</w:t>
            </w:r>
            <w:proofErr w:type="spellEnd"/>
            <w:r w:rsidRPr="00BC0897">
              <w:rPr>
                <w:rFonts w:ascii="Times New Roman" w:hAnsi="Times New Roman" w:cs="Times New Roman"/>
                <w:b/>
                <w:sz w:val="20"/>
                <w:szCs w:val="20"/>
                <w:lang w:val="en-US"/>
              </w:rPr>
              <w:t xml:space="preserve"> incomplete</w:t>
            </w:r>
          </w:p>
        </w:tc>
        <w:tc>
          <w:tcPr>
            <w:tcW w:w="1187"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86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33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6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09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05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7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53"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5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8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0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2212C2" w:rsidTr="00C228AD">
        <w:trPr>
          <w:trHeight w:val="300"/>
        </w:trPr>
        <w:tc>
          <w:tcPr>
            <w:tcW w:w="2369" w:type="dxa"/>
            <w:noWrap/>
            <w:vAlign w:val="center"/>
            <w:hideMark/>
          </w:tcPr>
          <w:p w:rsidR="00646A25" w:rsidRPr="00BC0897" w:rsidRDefault="00646A25" w:rsidP="00C228AD">
            <w:pPr>
              <w:spacing w:after="0"/>
              <w:rPr>
                <w:rFonts w:ascii="Times New Roman" w:hAnsi="Times New Roman" w:cs="Times New Roman"/>
                <w:b/>
                <w:sz w:val="20"/>
                <w:szCs w:val="20"/>
                <w:lang w:val="en-US"/>
              </w:rPr>
            </w:pPr>
            <w:proofErr w:type="spellStart"/>
            <w:r w:rsidRPr="00BC0897">
              <w:rPr>
                <w:rFonts w:ascii="Times New Roman" w:hAnsi="Times New Roman" w:cs="Times New Roman"/>
                <w:b/>
                <w:sz w:val="20"/>
                <w:szCs w:val="20"/>
                <w:lang w:val="en-US"/>
              </w:rPr>
              <w:t>Fanconi</w:t>
            </w:r>
            <w:proofErr w:type="spellEnd"/>
            <w:r w:rsidRPr="00BC0897">
              <w:rPr>
                <w:rFonts w:ascii="Times New Roman" w:hAnsi="Times New Roman" w:cs="Times New Roman"/>
                <w:b/>
                <w:sz w:val="20"/>
                <w:szCs w:val="20"/>
                <w:lang w:val="en-US"/>
              </w:rPr>
              <w:t xml:space="preserve"> complete</w:t>
            </w:r>
          </w:p>
        </w:tc>
        <w:tc>
          <w:tcPr>
            <w:tcW w:w="1187"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86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33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6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09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05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7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53"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5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0/61</w:t>
            </w:r>
          </w:p>
        </w:tc>
        <w:tc>
          <w:tcPr>
            <w:tcW w:w="118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0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2212C2" w:rsidTr="00C228AD">
        <w:trPr>
          <w:trHeight w:val="300"/>
        </w:trPr>
        <w:tc>
          <w:tcPr>
            <w:tcW w:w="2369"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Hyperuricosuria</w:t>
            </w:r>
          </w:p>
        </w:tc>
        <w:tc>
          <w:tcPr>
            <w:tcW w:w="1187"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86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5/9</w:t>
            </w:r>
          </w:p>
        </w:tc>
        <w:tc>
          <w:tcPr>
            <w:tcW w:w="133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6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09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105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7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1153"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5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8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0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2212C2" w:rsidTr="00C228AD">
        <w:trPr>
          <w:trHeight w:val="300"/>
        </w:trPr>
        <w:tc>
          <w:tcPr>
            <w:tcW w:w="2369"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Hematuria</w:t>
            </w:r>
          </w:p>
        </w:tc>
        <w:tc>
          <w:tcPr>
            <w:tcW w:w="1187"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c>
          <w:tcPr>
            <w:tcW w:w="86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6/9</w:t>
            </w:r>
          </w:p>
        </w:tc>
        <w:tc>
          <w:tcPr>
            <w:tcW w:w="133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6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2/3</w:t>
            </w:r>
          </w:p>
        </w:tc>
        <w:tc>
          <w:tcPr>
            <w:tcW w:w="109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1/2</w:t>
            </w:r>
          </w:p>
        </w:tc>
        <w:tc>
          <w:tcPr>
            <w:tcW w:w="105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7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c>
          <w:tcPr>
            <w:tcW w:w="1153"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115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8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0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2212C2" w:rsidTr="00C228AD">
        <w:trPr>
          <w:trHeight w:val="300"/>
        </w:trPr>
        <w:tc>
          <w:tcPr>
            <w:tcW w:w="2369"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Hypophosphatemia</w:t>
            </w:r>
          </w:p>
        </w:tc>
        <w:tc>
          <w:tcPr>
            <w:tcW w:w="1187"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0/2</w:t>
            </w:r>
          </w:p>
        </w:tc>
        <w:tc>
          <w:tcPr>
            <w:tcW w:w="86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0/9</w:t>
            </w:r>
          </w:p>
        </w:tc>
        <w:tc>
          <w:tcPr>
            <w:tcW w:w="133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6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2/3</w:t>
            </w:r>
          </w:p>
        </w:tc>
        <w:tc>
          <w:tcPr>
            <w:tcW w:w="109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05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7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1153"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115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8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2/7</w:t>
            </w:r>
          </w:p>
        </w:tc>
        <w:tc>
          <w:tcPr>
            <w:tcW w:w="110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39/65</w:t>
            </w:r>
          </w:p>
        </w:tc>
      </w:tr>
      <w:tr w:rsidR="00646A25" w:rsidRPr="002212C2" w:rsidTr="00C228AD">
        <w:trPr>
          <w:trHeight w:val="300"/>
        </w:trPr>
        <w:tc>
          <w:tcPr>
            <w:tcW w:w="2369"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Hypocalcemia</w:t>
            </w:r>
          </w:p>
        </w:tc>
        <w:tc>
          <w:tcPr>
            <w:tcW w:w="1187"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86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33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6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0/3</w:t>
            </w:r>
          </w:p>
        </w:tc>
        <w:tc>
          <w:tcPr>
            <w:tcW w:w="109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05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7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1153"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5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8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0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2212C2" w:rsidTr="00C228AD">
        <w:trPr>
          <w:trHeight w:val="300"/>
        </w:trPr>
        <w:tc>
          <w:tcPr>
            <w:tcW w:w="2369"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Hypomagnesemia</w:t>
            </w:r>
          </w:p>
        </w:tc>
        <w:tc>
          <w:tcPr>
            <w:tcW w:w="1187"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86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33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6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09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05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7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53"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5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8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0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2212C2" w:rsidTr="00C228AD">
        <w:trPr>
          <w:trHeight w:val="300"/>
        </w:trPr>
        <w:tc>
          <w:tcPr>
            <w:tcW w:w="2369"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Failure to thrive</w:t>
            </w:r>
          </w:p>
        </w:tc>
        <w:tc>
          <w:tcPr>
            <w:tcW w:w="1187"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2/2</w:t>
            </w:r>
          </w:p>
        </w:tc>
        <w:tc>
          <w:tcPr>
            <w:tcW w:w="86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33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6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1/3</w:t>
            </w:r>
          </w:p>
        </w:tc>
        <w:tc>
          <w:tcPr>
            <w:tcW w:w="109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0/4</w:t>
            </w:r>
          </w:p>
        </w:tc>
        <w:tc>
          <w:tcPr>
            <w:tcW w:w="105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7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53"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115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8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0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2212C2" w:rsidTr="00C228AD">
        <w:trPr>
          <w:trHeight w:val="300"/>
        </w:trPr>
        <w:tc>
          <w:tcPr>
            <w:tcW w:w="2369" w:type="dxa"/>
            <w:noWrap/>
            <w:vAlign w:val="center"/>
            <w:hideMark/>
          </w:tcPr>
          <w:p w:rsidR="00646A25" w:rsidRPr="00BC0897" w:rsidRDefault="00345414"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Nephrolithiasis</w:t>
            </w:r>
          </w:p>
        </w:tc>
        <w:tc>
          <w:tcPr>
            <w:tcW w:w="1187"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86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33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6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0/3</w:t>
            </w:r>
          </w:p>
        </w:tc>
        <w:tc>
          <w:tcPr>
            <w:tcW w:w="109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05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7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c>
          <w:tcPr>
            <w:tcW w:w="1153"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115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8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0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27/81</w:t>
            </w:r>
          </w:p>
        </w:tc>
      </w:tr>
      <w:tr w:rsidR="00646A25" w:rsidRPr="002212C2" w:rsidTr="00C228AD">
        <w:trPr>
          <w:trHeight w:val="300"/>
        </w:trPr>
        <w:tc>
          <w:tcPr>
            <w:tcW w:w="2369"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Hyponatremia</w:t>
            </w:r>
          </w:p>
        </w:tc>
        <w:tc>
          <w:tcPr>
            <w:tcW w:w="1187"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86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33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6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09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05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7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53"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5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8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0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2212C2" w:rsidTr="00C228AD">
        <w:trPr>
          <w:trHeight w:val="300"/>
        </w:trPr>
        <w:tc>
          <w:tcPr>
            <w:tcW w:w="2369" w:type="dxa"/>
            <w:noWrap/>
            <w:vAlign w:val="center"/>
            <w:hideMark/>
          </w:tcPr>
          <w:p w:rsidR="00646A25" w:rsidRPr="00BC0897" w:rsidRDefault="00646A25" w:rsidP="00C228AD">
            <w:pPr>
              <w:spacing w:after="0"/>
              <w:rPr>
                <w:rFonts w:ascii="Times New Roman" w:hAnsi="Times New Roman" w:cs="Times New Roman"/>
                <w:b/>
                <w:sz w:val="20"/>
                <w:szCs w:val="20"/>
                <w:lang w:val="en-US"/>
              </w:rPr>
            </w:pPr>
            <w:proofErr w:type="spellStart"/>
            <w:r w:rsidRPr="00BC0897">
              <w:rPr>
                <w:rFonts w:ascii="Times New Roman" w:hAnsi="Times New Roman" w:cs="Times New Roman"/>
                <w:b/>
                <w:sz w:val="20"/>
                <w:szCs w:val="20"/>
                <w:lang w:val="en-US"/>
              </w:rPr>
              <w:t>Hypochloremia</w:t>
            </w:r>
            <w:proofErr w:type="spellEnd"/>
          </w:p>
        </w:tc>
        <w:tc>
          <w:tcPr>
            <w:tcW w:w="1187"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86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33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6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09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05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7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53"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5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8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0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2212C2" w:rsidTr="00C228AD">
        <w:trPr>
          <w:trHeight w:val="300"/>
        </w:trPr>
        <w:tc>
          <w:tcPr>
            <w:tcW w:w="2369"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Hypouricemia</w:t>
            </w:r>
          </w:p>
        </w:tc>
        <w:tc>
          <w:tcPr>
            <w:tcW w:w="1187"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86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33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6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09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05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7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1153"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5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8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0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2212C2" w:rsidTr="00C228AD">
        <w:trPr>
          <w:trHeight w:val="300"/>
        </w:trPr>
        <w:tc>
          <w:tcPr>
            <w:tcW w:w="2369"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 xml:space="preserve">Metabolic </w:t>
            </w:r>
            <w:r w:rsidR="00345414" w:rsidRPr="00BC0897">
              <w:rPr>
                <w:rFonts w:ascii="Times New Roman" w:hAnsi="Times New Roman" w:cs="Times New Roman"/>
                <w:b/>
                <w:sz w:val="20"/>
                <w:szCs w:val="20"/>
                <w:lang w:val="en-US"/>
              </w:rPr>
              <w:t>alkalosis</w:t>
            </w:r>
          </w:p>
        </w:tc>
        <w:tc>
          <w:tcPr>
            <w:tcW w:w="1187"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86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33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6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09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05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7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53"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5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8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0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2212C2" w:rsidTr="00C228AD">
        <w:trPr>
          <w:trHeight w:val="300"/>
        </w:trPr>
        <w:tc>
          <w:tcPr>
            <w:tcW w:w="2369"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lastRenderedPageBreak/>
              <w:t>Metabolic acidosis</w:t>
            </w:r>
          </w:p>
        </w:tc>
        <w:tc>
          <w:tcPr>
            <w:tcW w:w="1187"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86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0/9</w:t>
            </w:r>
          </w:p>
        </w:tc>
        <w:tc>
          <w:tcPr>
            <w:tcW w:w="133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2/68</w:t>
            </w:r>
          </w:p>
        </w:tc>
        <w:tc>
          <w:tcPr>
            <w:tcW w:w="96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09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05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7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53"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5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8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0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9/60</w:t>
            </w:r>
          </w:p>
        </w:tc>
      </w:tr>
      <w:tr w:rsidR="00646A25" w:rsidRPr="002212C2" w:rsidTr="00C228AD">
        <w:trPr>
          <w:trHeight w:val="300"/>
        </w:trPr>
        <w:tc>
          <w:tcPr>
            <w:tcW w:w="2369"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Bone disorders</w:t>
            </w:r>
          </w:p>
        </w:tc>
        <w:tc>
          <w:tcPr>
            <w:tcW w:w="1187"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86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0/9</w:t>
            </w:r>
          </w:p>
        </w:tc>
        <w:tc>
          <w:tcPr>
            <w:tcW w:w="133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6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0/3</w:t>
            </w:r>
          </w:p>
        </w:tc>
        <w:tc>
          <w:tcPr>
            <w:tcW w:w="109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105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4/7</w:t>
            </w:r>
          </w:p>
        </w:tc>
        <w:tc>
          <w:tcPr>
            <w:tcW w:w="117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53"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115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0/61</w:t>
            </w:r>
          </w:p>
        </w:tc>
        <w:tc>
          <w:tcPr>
            <w:tcW w:w="118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0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14/81</w:t>
            </w:r>
          </w:p>
        </w:tc>
      </w:tr>
      <w:tr w:rsidR="00646A25" w:rsidRPr="002212C2" w:rsidTr="00C228AD">
        <w:trPr>
          <w:trHeight w:val="300"/>
        </w:trPr>
        <w:tc>
          <w:tcPr>
            <w:tcW w:w="2369"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Hypertension</w:t>
            </w:r>
          </w:p>
        </w:tc>
        <w:tc>
          <w:tcPr>
            <w:tcW w:w="1187"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862"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33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96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09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050"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70"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53"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53"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8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0/7</w:t>
            </w:r>
          </w:p>
        </w:tc>
        <w:tc>
          <w:tcPr>
            <w:tcW w:w="1105"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1441D9" w:rsidRPr="002212C2" w:rsidTr="00C228AD">
        <w:trPr>
          <w:trHeight w:val="300"/>
        </w:trPr>
        <w:tc>
          <w:tcPr>
            <w:tcW w:w="2369" w:type="dxa"/>
            <w:noWrap/>
            <w:vAlign w:val="center"/>
          </w:tcPr>
          <w:p w:rsidR="001441D9" w:rsidRPr="00BC0897" w:rsidRDefault="00284980" w:rsidP="001441D9">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Intellectual disability</w:t>
            </w:r>
          </w:p>
        </w:tc>
        <w:tc>
          <w:tcPr>
            <w:tcW w:w="1187" w:type="dxa"/>
            <w:vAlign w:val="center"/>
          </w:tcPr>
          <w:p w:rsidR="001441D9" w:rsidRPr="00BC0897" w:rsidRDefault="001441D9" w:rsidP="001441D9">
            <w:pPr>
              <w:spacing w:after="0"/>
              <w:jc w:val="center"/>
              <w:rPr>
                <w:rFonts w:ascii="Times New Roman" w:hAnsi="Times New Roman" w:cs="Times New Roman"/>
                <w:sz w:val="20"/>
                <w:szCs w:val="20"/>
                <w:lang w:val="en-US"/>
              </w:rPr>
            </w:pPr>
          </w:p>
        </w:tc>
        <w:tc>
          <w:tcPr>
            <w:tcW w:w="862" w:type="dxa"/>
            <w:noWrap/>
            <w:vAlign w:val="center"/>
          </w:tcPr>
          <w:p w:rsidR="001441D9" w:rsidRPr="00BC0897" w:rsidRDefault="001441D9" w:rsidP="001441D9">
            <w:pPr>
              <w:spacing w:after="0"/>
              <w:jc w:val="center"/>
              <w:rPr>
                <w:rFonts w:ascii="Times New Roman" w:hAnsi="Times New Roman" w:cs="Times New Roman"/>
                <w:sz w:val="20"/>
                <w:szCs w:val="20"/>
                <w:lang w:val="en-US"/>
              </w:rPr>
            </w:pPr>
          </w:p>
        </w:tc>
        <w:tc>
          <w:tcPr>
            <w:tcW w:w="1332" w:type="dxa"/>
            <w:vAlign w:val="center"/>
          </w:tcPr>
          <w:p w:rsidR="001441D9" w:rsidRPr="00BC0897" w:rsidRDefault="001441D9" w:rsidP="001441D9">
            <w:pPr>
              <w:spacing w:after="0"/>
              <w:jc w:val="center"/>
              <w:rPr>
                <w:rFonts w:ascii="Times New Roman" w:hAnsi="Times New Roman" w:cs="Times New Roman"/>
                <w:sz w:val="20"/>
                <w:szCs w:val="20"/>
                <w:lang w:val="en-US"/>
              </w:rPr>
            </w:pPr>
          </w:p>
        </w:tc>
        <w:tc>
          <w:tcPr>
            <w:tcW w:w="965" w:type="dxa"/>
            <w:vAlign w:val="center"/>
          </w:tcPr>
          <w:p w:rsidR="001441D9" w:rsidRPr="00BC0897" w:rsidRDefault="001441D9" w:rsidP="001441D9">
            <w:pPr>
              <w:spacing w:after="0"/>
              <w:jc w:val="center"/>
              <w:rPr>
                <w:rFonts w:ascii="Times New Roman" w:hAnsi="Times New Roman" w:cs="Times New Roman"/>
                <w:sz w:val="20"/>
                <w:szCs w:val="20"/>
                <w:lang w:val="en-US"/>
              </w:rPr>
            </w:pPr>
          </w:p>
        </w:tc>
        <w:tc>
          <w:tcPr>
            <w:tcW w:w="1095" w:type="dxa"/>
            <w:vAlign w:val="center"/>
          </w:tcPr>
          <w:p w:rsidR="001441D9" w:rsidRPr="00BC0897" w:rsidRDefault="001441D9" w:rsidP="001441D9">
            <w:pPr>
              <w:spacing w:after="0"/>
              <w:jc w:val="center"/>
              <w:rPr>
                <w:rFonts w:ascii="Times New Roman" w:hAnsi="Times New Roman" w:cs="Times New Roman"/>
                <w:sz w:val="20"/>
                <w:szCs w:val="20"/>
                <w:lang w:val="en-US"/>
              </w:rPr>
            </w:pPr>
          </w:p>
        </w:tc>
        <w:tc>
          <w:tcPr>
            <w:tcW w:w="1050" w:type="dxa"/>
            <w:vAlign w:val="center"/>
          </w:tcPr>
          <w:p w:rsidR="001441D9" w:rsidRPr="00BC0897" w:rsidRDefault="001441D9" w:rsidP="001441D9">
            <w:pPr>
              <w:spacing w:after="0"/>
              <w:jc w:val="center"/>
              <w:rPr>
                <w:rFonts w:ascii="Times New Roman" w:hAnsi="Times New Roman" w:cs="Times New Roman"/>
                <w:sz w:val="20"/>
                <w:szCs w:val="20"/>
                <w:lang w:val="en-US"/>
              </w:rPr>
            </w:pPr>
          </w:p>
        </w:tc>
        <w:tc>
          <w:tcPr>
            <w:tcW w:w="1170" w:type="dxa"/>
            <w:vAlign w:val="center"/>
          </w:tcPr>
          <w:p w:rsidR="001441D9" w:rsidRPr="00BC0897" w:rsidRDefault="001441D9" w:rsidP="001441D9">
            <w:pPr>
              <w:spacing w:after="0"/>
              <w:jc w:val="center"/>
              <w:rPr>
                <w:rFonts w:ascii="Times New Roman" w:hAnsi="Times New Roman" w:cs="Times New Roman"/>
                <w:sz w:val="20"/>
                <w:szCs w:val="20"/>
                <w:lang w:val="en-US"/>
              </w:rPr>
            </w:pPr>
          </w:p>
        </w:tc>
        <w:tc>
          <w:tcPr>
            <w:tcW w:w="1153" w:type="dxa"/>
            <w:vAlign w:val="center"/>
          </w:tcPr>
          <w:p w:rsidR="001441D9" w:rsidRPr="00BC0897" w:rsidRDefault="001441D9" w:rsidP="001441D9">
            <w:pPr>
              <w:spacing w:after="0"/>
              <w:jc w:val="center"/>
              <w:rPr>
                <w:rFonts w:ascii="Times New Roman" w:hAnsi="Times New Roman" w:cs="Times New Roman"/>
                <w:sz w:val="20"/>
                <w:szCs w:val="20"/>
                <w:lang w:val="en-US"/>
              </w:rPr>
            </w:pPr>
          </w:p>
        </w:tc>
        <w:tc>
          <w:tcPr>
            <w:tcW w:w="1153" w:type="dxa"/>
            <w:noWrap/>
            <w:vAlign w:val="center"/>
          </w:tcPr>
          <w:p w:rsidR="001441D9" w:rsidRPr="00BC0897" w:rsidRDefault="001441D9" w:rsidP="001441D9">
            <w:pPr>
              <w:spacing w:after="0"/>
              <w:jc w:val="center"/>
              <w:rPr>
                <w:rFonts w:ascii="Times New Roman" w:hAnsi="Times New Roman" w:cs="Times New Roman"/>
                <w:sz w:val="20"/>
                <w:szCs w:val="20"/>
                <w:lang w:val="en-US"/>
              </w:rPr>
            </w:pPr>
          </w:p>
        </w:tc>
        <w:tc>
          <w:tcPr>
            <w:tcW w:w="1185" w:type="dxa"/>
            <w:noWrap/>
            <w:vAlign w:val="center"/>
          </w:tcPr>
          <w:p w:rsidR="001441D9" w:rsidRPr="00BC0897" w:rsidRDefault="001441D9" w:rsidP="001441D9">
            <w:pPr>
              <w:spacing w:after="0"/>
              <w:jc w:val="center"/>
              <w:rPr>
                <w:rFonts w:ascii="Times New Roman" w:hAnsi="Times New Roman" w:cs="Times New Roman"/>
                <w:sz w:val="20"/>
                <w:szCs w:val="20"/>
                <w:lang w:val="en-US"/>
              </w:rPr>
            </w:pPr>
          </w:p>
        </w:tc>
        <w:tc>
          <w:tcPr>
            <w:tcW w:w="1105" w:type="dxa"/>
            <w:noWrap/>
            <w:vAlign w:val="center"/>
          </w:tcPr>
          <w:p w:rsidR="001441D9" w:rsidRPr="00BC0897" w:rsidRDefault="001441D9" w:rsidP="001441D9">
            <w:pPr>
              <w:spacing w:after="0"/>
              <w:jc w:val="center"/>
              <w:rPr>
                <w:rFonts w:ascii="Times New Roman" w:hAnsi="Times New Roman" w:cs="Times New Roman"/>
                <w:sz w:val="20"/>
                <w:szCs w:val="20"/>
                <w:lang w:val="en-US"/>
              </w:rPr>
            </w:pPr>
          </w:p>
        </w:tc>
      </w:tr>
      <w:tr w:rsidR="001441D9" w:rsidRPr="002212C2" w:rsidTr="00C228AD">
        <w:trPr>
          <w:trHeight w:val="300"/>
        </w:trPr>
        <w:tc>
          <w:tcPr>
            <w:tcW w:w="2369" w:type="dxa"/>
            <w:noWrap/>
            <w:vAlign w:val="center"/>
          </w:tcPr>
          <w:p w:rsidR="001441D9" w:rsidRPr="00BC0897" w:rsidRDefault="001441D9" w:rsidP="001441D9">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Cataract</w:t>
            </w:r>
          </w:p>
        </w:tc>
        <w:tc>
          <w:tcPr>
            <w:tcW w:w="1187" w:type="dxa"/>
            <w:vAlign w:val="center"/>
          </w:tcPr>
          <w:p w:rsidR="001441D9" w:rsidRPr="00BC0897" w:rsidRDefault="001441D9" w:rsidP="001441D9">
            <w:pPr>
              <w:spacing w:after="0"/>
              <w:jc w:val="center"/>
              <w:rPr>
                <w:rFonts w:ascii="Times New Roman" w:hAnsi="Times New Roman" w:cs="Times New Roman"/>
                <w:sz w:val="20"/>
                <w:szCs w:val="20"/>
                <w:lang w:val="en-US"/>
              </w:rPr>
            </w:pPr>
          </w:p>
        </w:tc>
        <w:tc>
          <w:tcPr>
            <w:tcW w:w="862" w:type="dxa"/>
            <w:noWrap/>
            <w:vAlign w:val="center"/>
          </w:tcPr>
          <w:p w:rsidR="001441D9" w:rsidRPr="00BC0897" w:rsidRDefault="001441D9" w:rsidP="001441D9">
            <w:pPr>
              <w:spacing w:after="0"/>
              <w:jc w:val="center"/>
              <w:rPr>
                <w:rFonts w:ascii="Times New Roman" w:hAnsi="Times New Roman" w:cs="Times New Roman"/>
                <w:sz w:val="20"/>
                <w:szCs w:val="20"/>
                <w:lang w:val="en-US"/>
              </w:rPr>
            </w:pPr>
          </w:p>
        </w:tc>
        <w:tc>
          <w:tcPr>
            <w:tcW w:w="1332" w:type="dxa"/>
            <w:vAlign w:val="center"/>
          </w:tcPr>
          <w:p w:rsidR="001441D9" w:rsidRPr="00BC0897" w:rsidRDefault="001441D9" w:rsidP="001441D9">
            <w:pPr>
              <w:spacing w:after="0"/>
              <w:jc w:val="center"/>
              <w:rPr>
                <w:rFonts w:ascii="Times New Roman" w:hAnsi="Times New Roman" w:cs="Times New Roman"/>
                <w:sz w:val="20"/>
                <w:szCs w:val="20"/>
                <w:lang w:val="en-US"/>
              </w:rPr>
            </w:pPr>
          </w:p>
        </w:tc>
        <w:tc>
          <w:tcPr>
            <w:tcW w:w="965" w:type="dxa"/>
            <w:vAlign w:val="center"/>
          </w:tcPr>
          <w:p w:rsidR="001441D9" w:rsidRPr="00BC0897" w:rsidRDefault="001441D9" w:rsidP="001441D9">
            <w:pPr>
              <w:spacing w:after="0"/>
              <w:jc w:val="center"/>
              <w:rPr>
                <w:rFonts w:ascii="Times New Roman" w:hAnsi="Times New Roman" w:cs="Times New Roman"/>
                <w:sz w:val="20"/>
                <w:szCs w:val="20"/>
                <w:lang w:val="en-US"/>
              </w:rPr>
            </w:pPr>
          </w:p>
        </w:tc>
        <w:tc>
          <w:tcPr>
            <w:tcW w:w="1095" w:type="dxa"/>
            <w:vAlign w:val="center"/>
          </w:tcPr>
          <w:p w:rsidR="001441D9" w:rsidRPr="00BC0897" w:rsidRDefault="001441D9" w:rsidP="001441D9">
            <w:pPr>
              <w:spacing w:after="0"/>
              <w:jc w:val="center"/>
              <w:rPr>
                <w:rFonts w:ascii="Times New Roman" w:hAnsi="Times New Roman" w:cs="Times New Roman"/>
                <w:sz w:val="20"/>
                <w:szCs w:val="20"/>
                <w:lang w:val="en-US"/>
              </w:rPr>
            </w:pPr>
          </w:p>
        </w:tc>
        <w:tc>
          <w:tcPr>
            <w:tcW w:w="1050" w:type="dxa"/>
            <w:vAlign w:val="center"/>
          </w:tcPr>
          <w:p w:rsidR="001441D9" w:rsidRPr="00BC0897" w:rsidRDefault="001441D9" w:rsidP="001441D9">
            <w:pPr>
              <w:spacing w:after="0"/>
              <w:jc w:val="center"/>
              <w:rPr>
                <w:rFonts w:ascii="Times New Roman" w:hAnsi="Times New Roman" w:cs="Times New Roman"/>
                <w:sz w:val="20"/>
                <w:szCs w:val="20"/>
                <w:lang w:val="en-US"/>
              </w:rPr>
            </w:pPr>
          </w:p>
        </w:tc>
        <w:tc>
          <w:tcPr>
            <w:tcW w:w="1170" w:type="dxa"/>
            <w:vAlign w:val="center"/>
          </w:tcPr>
          <w:p w:rsidR="001441D9" w:rsidRPr="00BC0897" w:rsidRDefault="001441D9" w:rsidP="001441D9">
            <w:pPr>
              <w:spacing w:after="0"/>
              <w:jc w:val="center"/>
              <w:rPr>
                <w:rFonts w:ascii="Times New Roman" w:hAnsi="Times New Roman" w:cs="Times New Roman"/>
                <w:sz w:val="20"/>
                <w:szCs w:val="20"/>
                <w:lang w:val="en-US"/>
              </w:rPr>
            </w:pPr>
          </w:p>
        </w:tc>
        <w:tc>
          <w:tcPr>
            <w:tcW w:w="1153" w:type="dxa"/>
            <w:vAlign w:val="center"/>
          </w:tcPr>
          <w:p w:rsidR="001441D9" w:rsidRPr="00BC0897" w:rsidRDefault="001441D9" w:rsidP="001441D9">
            <w:pPr>
              <w:spacing w:after="0"/>
              <w:jc w:val="center"/>
              <w:rPr>
                <w:rFonts w:ascii="Times New Roman" w:hAnsi="Times New Roman" w:cs="Times New Roman"/>
                <w:sz w:val="20"/>
                <w:szCs w:val="20"/>
                <w:lang w:val="en-US"/>
              </w:rPr>
            </w:pPr>
          </w:p>
        </w:tc>
        <w:tc>
          <w:tcPr>
            <w:tcW w:w="1153" w:type="dxa"/>
            <w:noWrap/>
            <w:vAlign w:val="center"/>
          </w:tcPr>
          <w:p w:rsidR="001441D9" w:rsidRPr="00BC0897" w:rsidRDefault="001441D9" w:rsidP="001441D9">
            <w:pPr>
              <w:spacing w:after="0"/>
              <w:jc w:val="center"/>
              <w:rPr>
                <w:rFonts w:ascii="Times New Roman" w:hAnsi="Times New Roman" w:cs="Times New Roman"/>
                <w:sz w:val="20"/>
                <w:szCs w:val="20"/>
                <w:lang w:val="en-US"/>
              </w:rPr>
            </w:pPr>
          </w:p>
        </w:tc>
        <w:tc>
          <w:tcPr>
            <w:tcW w:w="1185" w:type="dxa"/>
            <w:noWrap/>
            <w:vAlign w:val="center"/>
          </w:tcPr>
          <w:p w:rsidR="001441D9" w:rsidRPr="00BC0897" w:rsidRDefault="001441D9" w:rsidP="001441D9">
            <w:pPr>
              <w:spacing w:after="0"/>
              <w:jc w:val="center"/>
              <w:rPr>
                <w:rFonts w:ascii="Times New Roman" w:hAnsi="Times New Roman" w:cs="Times New Roman"/>
                <w:sz w:val="20"/>
                <w:szCs w:val="20"/>
                <w:lang w:val="en-US"/>
              </w:rPr>
            </w:pPr>
          </w:p>
        </w:tc>
        <w:tc>
          <w:tcPr>
            <w:tcW w:w="1105" w:type="dxa"/>
            <w:noWrap/>
            <w:vAlign w:val="center"/>
          </w:tcPr>
          <w:p w:rsidR="001441D9" w:rsidRPr="00BC0897" w:rsidRDefault="001441D9" w:rsidP="001441D9">
            <w:pPr>
              <w:spacing w:after="0"/>
              <w:jc w:val="center"/>
              <w:rPr>
                <w:rFonts w:ascii="Times New Roman" w:hAnsi="Times New Roman" w:cs="Times New Roman"/>
                <w:sz w:val="20"/>
                <w:szCs w:val="20"/>
                <w:lang w:val="en-US"/>
              </w:rPr>
            </w:pPr>
          </w:p>
        </w:tc>
      </w:tr>
    </w:tbl>
    <w:p w:rsidR="00646A25" w:rsidRPr="00BC0897" w:rsidRDefault="00646A25" w:rsidP="00C228AD">
      <w:pPr>
        <w:spacing w:after="0" w:line="240" w:lineRule="auto"/>
        <w:rPr>
          <w:rFonts w:ascii="Times New Roman" w:hAnsi="Times New Roman" w:cs="Times New Roman"/>
          <w:sz w:val="20"/>
          <w:szCs w:val="20"/>
          <w:lang w:val="en-US"/>
        </w:rPr>
      </w:pPr>
      <w:r w:rsidRPr="00BC0897">
        <w:rPr>
          <w:rFonts w:ascii="Times New Roman" w:hAnsi="Times New Roman" w:cs="Times New Roman"/>
          <w:sz w:val="20"/>
          <w:szCs w:val="20"/>
          <w:lang w:val="en-US"/>
        </w:rPr>
        <w:t xml:space="preserve">LMWP: Low-molecular-weight proteinuria; *already reported in </w:t>
      </w:r>
      <w:proofErr w:type="spellStart"/>
      <w:r w:rsidRPr="00BC0897">
        <w:rPr>
          <w:rFonts w:ascii="Times New Roman" w:hAnsi="Times New Roman" w:cs="Times New Roman"/>
          <w:sz w:val="20"/>
          <w:szCs w:val="20"/>
          <w:lang w:val="en-US"/>
        </w:rPr>
        <w:t>B</w:t>
      </w:r>
      <w:r w:rsidR="000B4585" w:rsidRPr="00BC0897">
        <w:rPr>
          <w:rFonts w:ascii="Times New Roman" w:hAnsi="Times New Roman" w:cs="Times New Roman"/>
          <w:sz w:val="20"/>
          <w:szCs w:val="20"/>
          <w:lang w:val="en-US"/>
        </w:rPr>
        <w:t>ö</w:t>
      </w:r>
      <w:r w:rsidRPr="00BC0897">
        <w:rPr>
          <w:rFonts w:ascii="Times New Roman" w:hAnsi="Times New Roman" w:cs="Times New Roman"/>
          <w:sz w:val="20"/>
          <w:szCs w:val="20"/>
          <w:lang w:val="en-US"/>
        </w:rPr>
        <w:t>kenkamp</w:t>
      </w:r>
      <w:proofErr w:type="spellEnd"/>
    </w:p>
    <w:p w:rsidR="00646A25" w:rsidRPr="00BC0897" w:rsidRDefault="00646A25" w:rsidP="00646A25">
      <w:pPr>
        <w:rPr>
          <w:rFonts w:ascii="Times New Roman" w:hAnsi="Times New Roman" w:cs="Times New Roman"/>
          <w:sz w:val="20"/>
          <w:szCs w:val="20"/>
          <w:lang w:val="en-US"/>
        </w:rPr>
      </w:pPr>
      <w:r w:rsidRPr="00BC0897">
        <w:rPr>
          <w:rFonts w:ascii="Times New Roman" w:hAnsi="Times New Roman" w:cs="Times New Roman"/>
          <w:sz w:val="20"/>
          <w:szCs w:val="20"/>
          <w:lang w:val="en-US"/>
        </w:rPr>
        <w:br w:type="page"/>
      </w:r>
    </w:p>
    <w:tbl>
      <w:tblPr>
        <w:tblStyle w:val="Grigliatabella"/>
        <w:tblW w:w="0" w:type="auto"/>
        <w:tblLook w:val="04A0" w:firstRow="1" w:lastRow="0" w:firstColumn="1" w:lastColumn="0" w:noHBand="0" w:noVBand="1"/>
      </w:tblPr>
      <w:tblGrid>
        <w:gridCol w:w="2760"/>
        <w:gridCol w:w="1087"/>
        <w:gridCol w:w="1087"/>
        <w:gridCol w:w="1148"/>
        <w:gridCol w:w="960"/>
        <w:gridCol w:w="960"/>
        <w:gridCol w:w="960"/>
        <w:gridCol w:w="960"/>
        <w:gridCol w:w="960"/>
        <w:gridCol w:w="960"/>
        <w:gridCol w:w="960"/>
        <w:gridCol w:w="1172"/>
      </w:tblGrid>
      <w:tr w:rsidR="00576945" w:rsidRPr="002212C2" w:rsidTr="00576945">
        <w:trPr>
          <w:trHeight w:val="900"/>
        </w:trPr>
        <w:tc>
          <w:tcPr>
            <w:tcW w:w="2760" w:type="dxa"/>
            <w:vAlign w:val="center"/>
            <w:hideMark/>
          </w:tcPr>
          <w:p w:rsidR="00576945" w:rsidRPr="00BC0897" w:rsidRDefault="0057694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lastRenderedPageBreak/>
              <w:t>Clinical sign</w:t>
            </w:r>
          </w:p>
        </w:tc>
        <w:tc>
          <w:tcPr>
            <w:tcW w:w="1087" w:type="dxa"/>
            <w:vAlign w:val="center"/>
          </w:tcPr>
          <w:p w:rsidR="00576945" w:rsidRPr="00BC0897" w:rsidRDefault="00576945"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Pr="00BC0897">
              <w:rPr>
                <w:rFonts w:ascii="Times New Roman" w:hAnsi="Times New Roman" w:cs="Times New Roman"/>
                <w:b/>
                <w:sz w:val="20"/>
                <w:szCs w:val="20"/>
                <w:lang w:val="en-US"/>
              </w:rPr>
              <w:instrText xml:space="preserve"> ADDIN ZOTERO_ITEM CSL_CITATION {"citationID":"0YBTMIjB","properties":{"formattedCitation":"(Anglani et al. 2015)","plainCitation":"(Anglani et al. 2015)","noteIndex":0},"citationItems":[{"id":504,"uris":["http://zotero.org/users/local/jkkvYBSC/items/KW642SUV"],"uri":["http://zotero.org/users/local/jkkvYBSC/items/KW642SUV"],"itemData":{"id":504,"type":"article-journal","abstract":"Dent disease (DD) is a rare X-linked recessive renal tubulopathy characterised by low-molecular-weight proteinuria (LMWP), hypercalciuria, nephrocalcinosis and/or nephrolithiasis. DD is caused by mutations in both the CLCN5 and OCRL genes. CLCN5 encodes the electrogenic chloride/proton exchanger ClC-5 which is involved in the tubular reabsorption of albumin and LMW proteins, OCRL encodes the inositol polyphosphate 5-phosphatase, and was initially associated with Lowe syndrome. In approximately 25 % of patients, no CLCN5 and OCRL mutations were detected. The aim of our study was to evaluate whether calcium phosphate metabolism disorders and their clinical complications are differently distributed among DD patients with and without CLCN5 mutations. Sixty-four male subjects were studied and classified into three groups: Group I (with CLCN5 mutations), Group II (without CLCN5 mutations) and Group III (family members with the same CLCN5 mutation). LMWP, hypercalciuria and phosphaturic tubulopathy and the consequent clinical complications nephrocalcinosis, nephrolithiasis, bone disorders, and chronic kidney disease (CKD) were considered present or absent in each patient. We found that the distribution of nephrolithiasis, bone disorders and CKD differs among patients with and without CLCN5 mutations. Only in patients harbouring CLCN5 mutations was age-independent nephrolithiasis associated with hypercalciuria, suggesting that nephrolithiasis is linked to altered proximal tubular function caused by a loss of ClC-5 function, in agreement with ClC-5 KO animal models. Similarly, only in patients harbouring CLCN5 mutations was age-independent kidney failure associated with nephrocalcinosis, suggesting that kidney failure is the consequence of a ClC-5 dysfunction, as in ClC-5 KO animal models. Bone disorders are a relevant feature of DD phenotype, as patients were mainly young males and this complication occurred independently of age. The triad of symptoms, LMWP, hypercalciuria, and nephrocalcinosis, was present in almost all patients with CLCN5 mutations but not in those without CLCN5 mutations. This lack of homogeneity of clinical manifestations suggests that the difference in phenotypes between the two groups might reflect different pathophysiological mechanisms, probably depending on the diverse genes involved. Overall, our results might suggest that in patients without CLCN5 mutations several genes instead of the prospected third DD underpin patients' phenotypes.","container-title":"SpringerPlus","DOI":"10.1186/s40064-015-1294-y","ISSN":"2193-1801","journalAbbreviation":"Springerplus","language":"eng","note":"PMID: 26389017\nPMCID: PMC4571032","page":"492","source":"PubMed","title":"Nephrolithiasis, kidney failure and bone disorders in Dent disease patients with and without CLCN5 mutations","volume":"4","author":[{"family":"Anglani","given":"Franca"},{"family":"D'Angelo","given":"Angela"},{"family":"Bertizzolo","given":"Luisa Maria"},{"family":"Tosetto","given":"Enrica"},{"family":"Ceol","given":"Monica"},{"family":"Cremasco","given":"Daniela"},{"family":"Bonfante","given":"Luciana"},{"family":"Addis","given":"Maria Antonietta"},{"family":"Del Prete","given":"Dorella"},{"literal":"Dent Disease Italian Network"}],"issued":{"date-parts":[["2015"]]}}}],"schema":"https://github.com/citation-style-language/schema/raw/master/csl-citation.json"} </w:instrText>
            </w:r>
            <w:r w:rsidRPr="00BC0897">
              <w:rPr>
                <w:rFonts w:ascii="Times New Roman" w:hAnsi="Times New Roman" w:cs="Times New Roman"/>
                <w:b/>
                <w:sz w:val="20"/>
                <w:szCs w:val="20"/>
                <w:lang w:val="en-US"/>
              </w:rPr>
              <w:fldChar w:fldCharType="separate"/>
            </w:r>
            <w:r w:rsidRPr="00BC0897">
              <w:rPr>
                <w:rFonts w:ascii="Times New Roman" w:hAnsi="Times New Roman" w:cs="Times New Roman"/>
                <w:sz w:val="20"/>
                <w:szCs w:val="20"/>
              </w:rPr>
              <w:t>(Anglani et al. 2015)</w:t>
            </w:r>
            <w:r w:rsidRPr="00BC0897">
              <w:rPr>
                <w:rFonts w:ascii="Times New Roman" w:hAnsi="Times New Roman" w:cs="Times New Roman"/>
                <w:b/>
                <w:sz w:val="20"/>
                <w:szCs w:val="20"/>
                <w:lang w:val="en-US"/>
              </w:rPr>
              <w:fldChar w:fldCharType="end"/>
            </w:r>
          </w:p>
        </w:tc>
        <w:tc>
          <w:tcPr>
            <w:tcW w:w="1087" w:type="dxa"/>
            <w:vAlign w:val="center"/>
            <w:hideMark/>
          </w:tcPr>
          <w:p w:rsidR="00576945" w:rsidRPr="00BC0897" w:rsidRDefault="00576945"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Pr="00BC0897">
              <w:rPr>
                <w:rFonts w:ascii="Times New Roman" w:hAnsi="Times New Roman" w:cs="Times New Roman"/>
                <w:b/>
                <w:sz w:val="20"/>
                <w:szCs w:val="20"/>
                <w:lang w:val="en-US"/>
              </w:rPr>
              <w:instrText xml:space="preserve"> ADDIN ZOTERO_ITEM CSL_CITATION {"citationID":"mApdjVK6","properties":{"formattedCitation":"(Wang et al. 2016)","plainCitation":"(Wang et al. 2016)","noteIndex":0},"citationItems":[{"id":256,"uris":["http://zotero.org/users/local/jkkvYBSC/items/68BYVDJ6"],"uri":["http://zotero.org/users/local/jkkvYBSC/items/68BYVDJ6"],"itemData":{"id":256,"type":"article-journal","abstract":"BACKGROUND AND OBJECTIVES: Dent disease is a rare X-linked disorder characterized by low molecular weight proteinuria and often considered a renal tubular disease. However, glomerulosclerosis was recently reported in several patients. Thus, Dent disease renal histopathologic features were characterized and assessed, and their association with kidney function was assessed.\nDESIGN, SETTING, PARTICIPANTS, &amp; MEASUREMENTS: Clinical renal pathology reports and slides (where available) were collected from 30 boys and men in eight countries who had undergone clinical renal biopsy between 1995 and 2014.\nRESULTS: Median (25th, 75th percentiles) age at biopsy was 7.5 (5, 19) years with an eGFR of 69 (44, 94) ml/min per 1.73 m2 and a 24-hour urine protein of 2000 (1325, 2936) mg. A repeat biopsy for steroid-resistant proteinuria was performed in 13% (four of 30) of the patients. Prominent histologic findings included focal global glomerulosclerosis in 83% (25 of 30; affecting 16%±19% glomeruli), mild segmental foot process effacement in 57% (13 of 23), focal interstitial fibrosis in 60% (18 of 30), interstitial lymphocytic infiltration in 53% (16 of 30), and tubular damage in 70% (21 of 30). Higher percentages of globally sclerotic glomeruli, foot process effacement, and interstitial inflammation were associated with lower eGFR at biopsy, whereas foot process effacement was associated with steeper annual eGFR decline.\nCONCLUSIONS: These associations suggest a potential role for glomerular pathology, specifically involving the podocyte, in disease progression, which deserves further study. Furthermore, Dent disease should be suspected in boys and men who have unexplained proteinuria with focal global glomerulosclerosis and segmental foot process effacement on renal biopsy.","container-title":"Clinical journal of the American Society of Nephrology: CJASN","DOI":"10.2215/CJN.03710416","ISSN":"1555-905X","issue":"12","journalAbbreviation":"Clin J Am Soc Nephrol","language":"eng","note":"PMID: 27697782\nPMCID: PMC5142066","page":"2168-2176","source":"PubMed","title":"Glomerular Pathology in Dent Disease and Its Association with Kidney Function","volume":"11","author":[{"family":"Wang","given":"Xiangling"},{"family":"Anglani","given":"Franca"},{"family":"Beara-Lasic","given":"Lada"},{"family":"Mehta","given":"Anila J."},{"family":"Vaughan","given":"Lisa E."},{"family":"Herrera Hernandez","given":"Loren"},{"family":"Cogal","given":"Andrea"},{"family":"Scheinman","given":"Steven J."},{"family":"Ariceta","given":"Gema"},{"family":"Isom","given":"Robert"},{"family":"Copelovitch","given":"Lawrence"},{"family":"Enders","given":"Felicity T."},{"family":"Del Prete","given":"Dorella"},{"family":"Vezzoli","given":"Giuseppe"},{"family":"Paglialonga","given":"Fabio"},{"family":"Harris","given":"Peter C."},{"family":"Lieske","given":"John C."},{"literal":"Investigators of the Rare Kidney Stone Consortium"}],"issued":{"date-parts":[["2016"]],"season":"07"}}}],"schema":"https://github.com/citation-style-language/schema/raw/master/csl-citation.json"} </w:instrText>
            </w:r>
            <w:r w:rsidRPr="00BC0897">
              <w:rPr>
                <w:rFonts w:ascii="Times New Roman" w:hAnsi="Times New Roman" w:cs="Times New Roman"/>
                <w:b/>
                <w:sz w:val="20"/>
                <w:szCs w:val="20"/>
                <w:lang w:val="en-US"/>
              </w:rPr>
              <w:fldChar w:fldCharType="separate"/>
            </w:r>
            <w:r w:rsidRPr="00BC0897">
              <w:rPr>
                <w:rFonts w:ascii="Times New Roman" w:hAnsi="Times New Roman" w:cs="Times New Roman"/>
                <w:sz w:val="20"/>
                <w:szCs w:val="20"/>
              </w:rPr>
              <w:t>(Wang et al. 2016)</w:t>
            </w:r>
            <w:r w:rsidRPr="00BC0897">
              <w:rPr>
                <w:rFonts w:ascii="Times New Roman" w:hAnsi="Times New Roman" w:cs="Times New Roman"/>
                <w:b/>
                <w:sz w:val="20"/>
                <w:szCs w:val="20"/>
                <w:lang w:val="en-US"/>
              </w:rPr>
              <w:fldChar w:fldCharType="end"/>
            </w:r>
          </w:p>
        </w:tc>
        <w:tc>
          <w:tcPr>
            <w:tcW w:w="1148" w:type="dxa"/>
            <w:vAlign w:val="center"/>
            <w:hideMark/>
          </w:tcPr>
          <w:p w:rsidR="00576945" w:rsidRPr="00BC0897" w:rsidRDefault="00576945"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Pr="00BC0897">
              <w:rPr>
                <w:rFonts w:ascii="Times New Roman" w:hAnsi="Times New Roman" w:cs="Times New Roman"/>
                <w:b/>
                <w:sz w:val="20"/>
                <w:szCs w:val="20"/>
                <w:lang w:val="en-US"/>
              </w:rPr>
              <w:instrText xml:space="preserve"> ADDIN ZOTERO_ITEM CSL_CITATION {"citationID":"76gkYIe9","properties":{"formattedCitation":"(Blanchard et al. 2016)","plainCitation":"(Blanchard et al. 2016)","noteIndex":0},"citationItems":[{"id":105,"uris":["http://zotero.org/users/local/jkkvYBSC/items/RIYE8UG8"],"uri":["http://zotero.org/users/local/jkkvYBSC/items/RIYE8UG8"],"itemData":{"id":105,"type":"article-journal","abstract":"Dent disease classically combines low-molecular-weight proteinuria, hypercalciuria with nephrocalcinosis, and renal failure. Nephrotic range proteinuria, normal calciuria, and hypokalemia have been rarely reported. It is unknown whether the changes in phenotype observed over time are explained by a decrease in glomerular filtration rate (GFR) or whether there is any phenotype-genotype relationship. To answer this we retrospectively analyzed data from 109 male patients with CLCN5 mutations (Dent-1) and 9 patients with mutation of the OCRL gene (Dent-2). In Dent-1 disease, the estimated GFR decreased with age, by 1.0 to 1.6 ml/min per 1.73 m2/yr in the absence and presence of nephrocalcinosis, respectively, with no significant difference. Median values of low-molecular-weight proteinuria were in the nephrotic range and remained at the same level even in late renal disease. End-stage renal disease occurred in 12 patients, at a median age of 40 years. Hypercalciuria decreased with glomerular filtration and was absent in 40% of the patients under 30 and 85% of those over the age of 30. Hypophosphatemia did not resolve with age and calcitriol concentrations were in the upper normal range. Kalemia decreased with age, with half of the patients over the age of 18 presenting with hypokalemia. Thus, no phenotype/genotype correlation was observed in this cohort of patients with Dent disease.","container-title":"Kidney International","DOI":"10.1016/j.kint.2016.04.022","ISSN":"0085-2538","issue":"2","journalAbbreviation":"Kidney International","language":"en","page":"430-439","source":"ScienceDirect","title":"Observations of a large Dent disease cohort","volume":"90","author":[{"family":"Blanchard","given":"Anne"},{"family":"Curis","given":"Emmanuel"},{"family":"Guyon-Roger","given":"Tiphaine"},{"family":"Kahila","given":"Diana"},{"family":"Treard","given":"Cyrielle"},{"family":"Baudouin","given":"Véronique"},{"family":"Bérard","given":"Etienne"},{"family":"Champion","given":"Gérard"},{"family":"Cochat","given":"Pierre"},{"family":"Dubourg","given":"Julie"},{"family":"Faille","given":"Renaud","non-dropping-particle":"de la"},{"family":"Devuyst","given":"Olivier"},{"family":"Deschenes","given":"Georges"},{"family":"Fischbach","given":"Michel"},{"family":"Harambat","given":"Jérôme"},{"family":"Houillier","given":"Pascal"},{"family":"Karras","given":"Alexandre"},{"family":"Knebelmann","given":"Bertrand"},{"family":"Lavocat","given":"Marie-Pierre"},{"family":"Loirat","given":"Chantal"},{"family":"Merieau","given":"Elodie"},{"family":"Niaudet","given":"Patrick"},{"family":"Nobili","given":"François"},{"family":"Novo","given":"Robert"},{"family":"Salomon","given":"Rémi"},{"family":"Ulinski","given":"Tim"},{"family":"Jeunemaître","given":"Xavier"},{"family":"Vargas-Poussou","given":"Rosa"}],"issued":{"date-parts":[["2016",8,1]]}}}],"schema":"https://github.com/citation-style-language/schema/raw/master/csl-citation.json"} </w:instrText>
            </w:r>
            <w:r w:rsidRPr="00BC0897">
              <w:rPr>
                <w:rFonts w:ascii="Times New Roman" w:hAnsi="Times New Roman" w:cs="Times New Roman"/>
                <w:b/>
                <w:sz w:val="20"/>
                <w:szCs w:val="20"/>
                <w:lang w:val="en-US"/>
              </w:rPr>
              <w:fldChar w:fldCharType="separate"/>
            </w:r>
            <w:r w:rsidRPr="00BC0897">
              <w:rPr>
                <w:rFonts w:ascii="Times New Roman" w:hAnsi="Times New Roman" w:cs="Times New Roman"/>
                <w:sz w:val="20"/>
                <w:szCs w:val="20"/>
              </w:rPr>
              <w:t>(Blanchard et al. 2016)</w:t>
            </w:r>
            <w:r w:rsidRPr="00BC0897">
              <w:rPr>
                <w:rFonts w:ascii="Times New Roman" w:hAnsi="Times New Roman" w:cs="Times New Roman"/>
                <w:b/>
                <w:sz w:val="20"/>
                <w:szCs w:val="20"/>
                <w:lang w:val="en-US"/>
              </w:rPr>
              <w:fldChar w:fldCharType="end"/>
            </w:r>
          </w:p>
        </w:tc>
        <w:tc>
          <w:tcPr>
            <w:tcW w:w="960" w:type="dxa"/>
            <w:vAlign w:val="center"/>
            <w:hideMark/>
          </w:tcPr>
          <w:p w:rsidR="00576945" w:rsidRPr="00BC0897" w:rsidRDefault="00576945"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Pr="00BC0897">
              <w:rPr>
                <w:rFonts w:ascii="Times New Roman" w:hAnsi="Times New Roman" w:cs="Times New Roman"/>
                <w:b/>
                <w:sz w:val="20"/>
                <w:szCs w:val="20"/>
                <w:lang w:val="en-US"/>
              </w:rPr>
              <w:instrText xml:space="preserve"> ADDIN ZOTERO_ITEM CSL_CITATION {"citationID":"MSMqR2OI","properties":{"formattedCitation":"(Li et al. 2016)","plainCitation":"(Li et al. 2016)","noteIndex":0},"citationItems":[{"id":67,"uris":["http://zotero.org/users/local/jkkvYBSC/items/33KRH6XP"],"uri":["http://zotero.org/users/local/jkkvYBSC/items/33KRH6XP"],"itemData":{"id":67,"type":"article-journal","abstract":"OBJECTIVE: To characterize the phenotypes of Dent disease in Chinese children and their heterozygous mothers and to establish genetic diagnoses.\nSTUDY DESIGN: Using a modified protocol, we screened 1288 individuals with proteinuria. A diagnosis of Dent disease was established in 19 boys from 16 families by the presence of loss of function/deleterious mutations in CLCN5 or OCRL1. We also analyzed 16 available patients' mothers and examined their pregnancy records.\nRESULTS: We detected 14 loss of function/deleterious mutations of CLCN5 in 15 boys and 2 mutations of OCRL1 in 4 boys. Of the patients, 16 of 19 had been wrongly diagnosed with other diseases and 11 of 19 had incorrect or unnecessary treatment. None of the patients, but 6 of 14 mothers, had nephrocalcinosis or nephrolithiasis at diagnosis. Of the patients, 8 of 14 with Dent disease 1 were large for gestational age (&gt;90th percentile); 8 of 15 (53.3%) had rickets. We also present predicted structural changes for 4 mutant proteins.\nCONCLUSIONS: Pediatric Dent disease often is misdiagnosed; genetic testing achieves a correct diagnosis. Nephrocalcinosis or nephrolithiasis may not be sensitive diagnostic criteria. We identified 10 novel mutations in CLCN5 and OCRL1. The possibility that altered CLCN5 function could affect fetal growth and a possible link between a high rate of rickets and low calcium intake are discussed.","container-title":"The Journal of Pediatrics","DOI":"10.1016/j.jpeds.2016.04.007","ISSN":"1097-6833","journalAbbreviation":"J. Pediatr.","language":"eng","note":"PMID: 27174143","page":"204-210.e1","source":"PubMed","title":"Dent Disease in Chinese Children and Findings from Heterozygous Mothers: Phenotypic Heterogeneity, Fetal Growth, and 10 Novel Mutations","title-short":"Dent Disease in Chinese Children and Findings from Heterozygous Mothers","volume":"174","author":[{"family":"Li","given":"Fucheng"},{"family":"Yue","given":"Zhihui"},{"family":"Xu","given":"Tingting"},{"family":"Chen","given":"Minghui"},{"family":"Zhong","given":"Liangying"},{"family":"Liu","given":"Ting"},{"family":"Jing","given":"Xiangyi"},{"family":"Deng","given":"Jia"},{"family":"Hu","given":"Bin"},{"family":"Liu","given":"Yuling"},{"family":"Wang","given":"Haiyan"},{"family":"Lai","given":"Kar N."},{"family":"Sun","given":"Liangzhong"},{"family":"Liu","given":"Jinsong"},{"family":"Maxwell","given":"Patrick H."},{"family":"Wang","given":"Yiming"}],"issued":{"date-parts":[["2016"]]}}}],"schema":"https://github.com/citation-style-language/schema/raw/master/csl-citation.json"} </w:instrText>
            </w:r>
            <w:r w:rsidRPr="00BC0897">
              <w:rPr>
                <w:rFonts w:ascii="Times New Roman" w:hAnsi="Times New Roman" w:cs="Times New Roman"/>
                <w:b/>
                <w:sz w:val="20"/>
                <w:szCs w:val="20"/>
                <w:lang w:val="en-US"/>
              </w:rPr>
              <w:fldChar w:fldCharType="separate"/>
            </w:r>
            <w:r w:rsidRPr="00BC0897">
              <w:rPr>
                <w:rFonts w:ascii="Times New Roman" w:hAnsi="Times New Roman" w:cs="Times New Roman"/>
                <w:sz w:val="20"/>
              </w:rPr>
              <w:t>(Li et al. 2016)</w:t>
            </w:r>
            <w:r w:rsidRPr="00BC0897">
              <w:rPr>
                <w:rFonts w:ascii="Times New Roman" w:hAnsi="Times New Roman" w:cs="Times New Roman"/>
                <w:b/>
                <w:sz w:val="20"/>
                <w:szCs w:val="20"/>
                <w:lang w:val="en-US"/>
              </w:rPr>
              <w:fldChar w:fldCharType="end"/>
            </w:r>
          </w:p>
        </w:tc>
        <w:tc>
          <w:tcPr>
            <w:tcW w:w="960" w:type="dxa"/>
            <w:vAlign w:val="center"/>
            <w:hideMark/>
          </w:tcPr>
          <w:p w:rsidR="00576945" w:rsidRPr="00BC0897" w:rsidRDefault="00576945"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Pr="00BC0897">
              <w:rPr>
                <w:rFonts w:ascii="Times New Roman" w:hAnsi="Times New Roman" w:cs="Times New Roman"/>
                <w:b/>
                <w:sz w:val="20"/>
                <w:szCs w:val="20"/>
                <w:lang w:val="en-US"/>
              </w:rPr>
              <w:instrText xml:space="preserve"> ADDIN ZOTERO_ITEM CSL_CITATION {"citationID":"WULn1Mv8","properties":{"formattedCitation":"(Zaniew et al. 2017)","plainCitation":"(Zaniew et al. 2017)","noteIndex":0},"citationItems":[{"id":542,"uris":["http://zotero.org/users/local/jkkvYBSC/items/4G4P2PVC"],"uri":["http://zotero.org/users/local/jkkvYBSC/items/4G4P2PVC"],"itemData":{"id":542,"type":"article-journal","abstract":"PURPOSE: Dent disease (DD) is a rare tubulopathy characterized by proximal tubular dysfunction leading to chronic kidney disease (CKD). The aim of the study was to characterize patients with DD in Poland.\nMETHODS: A retrospective analysis of a national cohort with genetically confirmed diagnosis.\nRESULTS: Of 24 males, all patients except one carried mutations in the CLCN5 gene; in one patient a mutation in the OCRL gene was disclosed. Molecular diagnosis was delayed 1 year on average (range 0-21 years). The most common features were tubular proteinuria (100%), hypercalciuria (87%), and nephrocalcinosis (56%). CKD (≤stage II) and growth deficiency were found in 45 and 22% of patients, respectively. Over time, a progression of CKD and persistence of growth impairment was noted. Subnephrotic and nephrotic proteinuria (20%) was found in most patients, but tubular proteinuria was assessed in only 67% of patients. In one family steroid-resistant nephrotic syndrome prompted a genetic testing, and reverse phenotyping. Five children (20%) underwent kidney biopsy, and two of them were treated with immunosuppressants. Hydrochlorothiazide and angiotensin-converting enzyme inhibitors were prescribed for a significant proportion of patients (42 and 37.5%, respectively), while supplemental therapy with phosphate, potassium, vitamin D (12.5% each), and alkali (4.2%) was insufficient, when compared to the percentages of patients requiring repletion.\nCONCLUSIONS: We found CLCN5 mutations in the vast majority of Polish patients with DD. Proteinuria was the most constant finding; however, tubular proteins were not assessed commonly, likely leading to delayed molecular diagnosis and misdiagnosis in some patients. More consideration should be given to optimize the therapy.","container-title":"International Urology and Nephrology","DOI":"10.1007/s11255-017-1676-x","ISSN":"1573-2584","issue":"11","journalAbbreviation":"Int Urol Nephrol","language":"eng","note":"PMID: 28815356","page":"2005-2017","source":"PubMed","title":"Dent disease in Poland: what we have learned so far?","title-short":"Dent disease in Poland","volume":"49","author":[{"family":"Zaniew","given":"Marcin"},{"family":"Mizerska-Wasiak","given":"Małgorzata"},{"family":"Załuska-Leśniewska","given":"Iga"},{"family":"Adamczyk","given":"Piotr"},{"family":"Kiliś-Pstrusińska","given":"Katarzyna"},{"family":"Haliński","given":"Adam"},{"family":"Zawadzki","given":"Jan"},{"family":"Lipska-Ziętkiewicz","given":"Beata S."},{"family":"Pawlaczyk","given":"Krzysztof"},{"family":"Sikora","given":"Przemysław"},{"family":"Ludwig","given":"Michael"},{"family":"Szczepańska","given":"Maria"}],"issued":{"date-parts":[["2017",11]]}}}],"schema":"https://github.com/citation-style-language/schema/raw/master/csl-citation.json"} </w:instrText>
            </w:r>
            <w:r w:rsidRPr="00BC0897">
              <w:rPr>
                <w:rFonts w:ascii="Times New Roman" w:hAnsi="Times New Roman" w:cs="Times New Roman"/>
                <w:b/>
                <w:sz w:val="20"/>
                <w:szCs w:val="20"/>
                <w:lang w:val="en-US"/>
              </w:rPr>
              <w:fldChar w:fldCharType="separate"/>
            </w:r>
            <w:r w:rsidRPr="00BC0897">
              <w:rPr>
                <w:rFonts w:ascii="Times New Roman" w:hAnsi="Times New Roman" w:cs="Times New Roman"/>
                <w:sz w:val="20"/>
                <w:szCs w:val="20"/>
              </w:rPr>
              <w:t>(Zaniew et al. 2017)</w:t>
            </w:r>
            <w:r w:rsidRPr="00BC0897">
              <w:rPr>
                <w:rFonts w:ascii="Times New Roman" w:hAnsi="Times New Roman" w:cs="Times New Roman"/>
                <w:b/>
                <w:sz w:val="20"/>
                <w:szCs w:val="20"/>
                <w:lang w:val="en-US"/>
              </w:rPr>
              <w:fldChar w:fldCharType="end"/>
            </w:r>
          </w:p>
        </w:tc>
        <w:tc>
          <w:tcPr>
            <w:tcW w:w="960" w:type="dxa"/>
            <w:vAlign w:val="center"/>
            <w:hideMark/>
          </w:tcPr>
          <w:p w:rsidR="00576945" w:rsidRPr="00BC0897" w:rsidRDefault="00576945"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Pr="00BC0897">
              <w:rPr>
                <w:rFonts w:ascii="Times New Roman" w:hAnsi="Times New Roman" w:cs="Times New Roman"/>
                <w:b/>
                <w:sz w:val="20"/>
                <w:szCs w:val="20"/>
                <w:lang w:val="en-US"/>
              </w:rPr>
              <w:instrText xml:space="preserve"> ADDIN ZOTERO_ITEM CSL_CITATION {"citationID":"tFRGkuUc","properties":{"formattedCitation":"(Zhang et al. 2017)","plainCitation":"(Zhang et al. 2017)","noteIndex":0},"citationItems":[{"id":27,"uris":["http://zotero.org/users/local/jkkvYBSC/items/WAC5SMPK"],"uri":["http://zotero.org/users/local/jkkvYBSC/items/WAC5SMPK"],"itemData":{"id":27,"type":"article-journal","abstract":"Dent's disease is an X-linked inherited renal disease. Patients with Dent's disease often carry mutations in genes encoding the Cl-/H+ exchanger ClC-5 and/or inositol polyphosphate 5-phosphatase (OCRL1). However, the mutations involved and the biochemical effects of these mutations are not fully understood. To characterize genetic changes in Dent's disease patients, in this study, samples from nine Chinese patients were subjected to genetic analysis. Among the nine patients, six were classified as having Dent-1 disease, one had Dent-2 disease, and two could not be classified. Expression of ClC-5 carrying Dent's disease-associated mutations in HEK293 cells had varying effects: (1) no detectable expression of mutant protein; (2) retention of a truncated protein in the endoplasmic reticulum; or (3) diminished protein expression with normal distribution in early endosomes. Dent's disease patients showed genetic heterogeneity and over 20% of patients did not have CLCN5 or OCRL1 mutations, suggesting the existence of other genetic factors. Using next-generation sequencing, we identified possible modifier genes that have not been previously reported in Dent's disease patients. Heterozygous variants in CFTR, SCNN1A, and SCNN1B genes associated with cystic fibrosis (CF) or CF-like disease were detected in four of our nine patients. These results may form the basis for future characterization of Dent's disease and genetic counseling approaches.","container-title":"DNA and cell biology","DOI":"10.1089/dna.2017.3731","ISSN":"1557-7430","issue":"12","journalAbbreviation":"DNA Cell Biol.","language":"eng","note":"PMID: 29058463","page":"1151-1158","source":"PubMed","title":"Genetic Analysis of Dent's Disease and Functional Research of CLCN5 Mutations","volume":"36","author":[{"family":"Zhang","given":"Ya"},{"family":"Fang","given":"Xiaoyan"},{"family":"Xu","given":"Hong"},{"family":"Shen","given":"Qian"}],"issued":{"date-parts":[["2017",12]]}}}],"schema":"https://github.com/citation-style-language/schema/raw/master/csl-citation.json"} </w:instrText>
            </w:r>
            <w:r w:rsidRPr="00BC0897">
              <w:rPr>
                <w:rFonts w:ascii="Times New Roman" w:hAnsi="Times New Roman" w:cs="Times New Roman"/>
                <w:b/>
                <w:sz w:val="20"/>
                <w:szCs w:val="20"/>
                <w:lang w:val="en-US"/>
              </w:rPr>
              <w:fldChar w:fldCharType="separate"/>
            </w:r>
            <w:r w:rsidRPr="00BC0897">
              <w:rPr>
                <w:rFonts w:ascii="Times New Roman" w:hAnsi="Times New Roman" w:cs="Times New Roman"/>
                <w:sz w:val="20"/>
                <w:szCs w:val="20"/>
              </w:rPr>
              <w:t>(Zhang et al. 2017)</w:t>
            </w:r>
            <w:r w:rsidRPr="00BC0897">
              <w:rPr>
                <w:rFonts w:ascii="Times New Roman" w:hAnsi="Times New Roman" w:cs="Times New Roman"/>
                <w:b/>
                <w:sz w:val="20"/>
                <w:szCs w:val="20"/>
                <w:lang w:val="en-US"/>
              </w:rPr>
              <w:fldChar w:fldCharType="end"/>
            </w:r>
          </w:p>
        </w:tc>
        <w:tc>
          <w:tcPr>
            <w:tcW w:w="960" w:type="dxa"/>
            <w:vAlign w:val="center"/>
            <w:hideMark/>
          </w:tcPr>
          <w:p w:rsidR="00576945" w:rsidRPr="00BC0897" w:rsidRDefault="00576945"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Pr="00BC0897">
              <w:rPr>
                <w:rFonts w:ascii="Times New Roman" w:hAnsi="Times New Roman" w:cs="Times New Roman"/>
                <w:b/>
                <w:sz w:val="20"/>
                <w:szCs w:val="20"/>
                <w:lang w:val="en-US"/>
              </w:rPr>
              <w:instrText xml:space="preserve"> ADDIN ZOTERO_ITEM CSL_CITATION {"citationID":"UC1RZG5Y","properties":{"formattedCitation":"(Wen et al. 2018)","plainCitation":"(Wen et al. 2018)","noteIndex":0},"citationItems":[{"id":9,"uris":["http://zotero.org/users/local/jkkvYBSC/items/3BMCSQ3B"],"uri":["http://zotero.org/users/local/jkkvYBSC/items/3BMCSQ3B"],"itemData":{"id":9,"type":"article-journal","abstract":"Dent disease 1 is a rare X-linked recessive inherited disease, caused by pathogenic variants in the chloride voltage-gated channel 5 (CLCN5) gene. Dent disease 1 is characterized by low molecular weight (LMW) proteinuria, hypercalciuria, nephrocalcinosis, and chronic kidney disease. Infants may manifest only asymptomatic LMW proteinuria, which increases the difficulty of early diagnosis. We describe two male infants presenting only with nephrotic-range LMW proteinuria observed on examination using urine protein electrophoresis. Hereditary renal tubular diseases were highly suspected based on early onset age and LMW proteinuria. Thus, next-generation sequencing (NGS) was performed and pathogenic mutations in CLCN5 were identified in both patients. A diagnosis of Dent disease 1 was established based on the above informations. The two patients developed hypercalciuria during late follow-up, which verified the diagnosis. These two cases highlight the importance of next-generation sequencing in the early diagnosis of Dent disease 1 with only LMW proteinuria.","container-title":"Frontiers in Medicine","DOI":"10.3389/fmed.2018.00347","ISSN":"2296-858X","journalAbbreviation":"Front Med (Lausanne)","language":"eng","note":"PMID: 30581818\nPMCID: PMC6292867","page":"347","source":"PubMed","title":"Next-Generation Sequencing in Early Diagnosis of Dent Disease 1: Two Case Reports","title-short":"Next-Generation Sequencing in Early Diagnosis of Dent Disease 1","volume":"5","author":[{"family":"Wen","given":"Min"},{"family":"Shen","given":"Tian"},{"family":"Wang","given":"Ying"},{"family":"Li","given":"Yongzhen"},{"family":"Shi","given":"Xiaoliu"},{"family":"Dang","given":"Xiqiang"}],"issued":{"date-parts":[["2018"]]}}}],"schema":"https://github.com/citation-style-language/schema/raw/master/csl-citation.json"} </w:instrText>
            </w:r>
            <w:r w:rsidRPr="00BC0897">
              <w:rPr>
                <w:rFonts w:ascii="Times New Roman" w:hAnsi="Times New Roman" w:cs="Times New Roman"/>
                <w:b/>
                <w:sz w:val="20"/>
                <w:szCs w:val="20"/>
                <w:lang w:val="en-US"/>
              </w:rPr>
              <w:fldChar w:fldCharType="separate"/>
            </w:r>
            <w:r w:rsidRPr="00BC0897">
              <w:rPr>
                <w:rFonts w:ascii="Times New Roman" w:hAnsi="Times New Roman" w:cs="Times New Roman"/>
                <w:sz w:val="20"/>
                <w:szCs w:val="20"/>
              </w:rPr>
              <w:t>(Wen et al. 2018)</w:t>
            </w:r>
            <w:r w:rsidRPr="00BC0897">
              <w:rPr>
                <w:rFonts w:ascii="Times New Roman" w:hAnsi="Times New Roman" w:cs="Times New Roman"/>
                <w:b/>
                <w:sz w:val="20"/>
                <w:szCs w:val="20"/>
                <w:lang w:val="en-US"/>
              </w:rPr>
              <w:fldChar w:fldCharType="end"/>
            </w:r>
          </w:p>
        </w:tc>
        <w:tc>
          <w:tcPr>
            <w:tcW w:w="960" w:type="dxa"/>
            <w:vAlign w:val="center"/>
            <w:hideMark/>
          </w:tcPr>
          <w:p w:rsidR="00576945" w:rsidRPr="00BC0897" w:rsidRDefault="00576945"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Pr="00BC0897">
              <w:rPr>
                <w:rFonts w:ascii="Times New Roman" w:hAnsi="Times New Roman" w:cs="Times New Roman"/>
                <w:b/>
                <w:sz w:val="20"/>
                <w:szCs w:val="20"/>
                <w:lang w:val="en-US"/>
              </w:rPr>
              <w:instrText xml:space="preserve"> ADDIN ZOTERO_ITEM CSL_CITATION {"citationID":"VtSm2bLt","properties":{"formattedCitation":"(Ye et al. 2020)","plainCitation":"(Ye et al. 2020)","noteIndex":0},"citationItems":[{"id":21,"uris":["http://zotero.org/users/local/jkkvYBSC/items/N4XWEW3F"],"uri":["http://zotero.org/users/local/jkkvYBSC/items/N4XWEW3F"],"itemData":{"id":21,"type":"article-journal","abstract":"Dent disease is a rare X-linked recessive inherited tubular disease. In this multicenter study, the clinical presentation and genetic background of Chinese children with Dent disease are studied to improve the cognition and diagnostic ability of pediatricians. In this prospective cohort, we described the genotype and phenotype of a national cohort composed of 45 pediatric probands with Dent disease belonging to 45 families from 12 different regions of China recruited from 2014 to 2018 by building up the multicenter registration system. The CLCN5 gene from 32 affected families revealed 28 different mutations. The OCRL gene from 13 affected families revealed 13 different mutations. The incidence of low-molecular-weight proteinuria (LMWP) in both Dent disease type 1 populations and Dent disease type 2 populations was 100.0%; however, the incidence of other manifestations was not high, which was similar to previously reported data. Therefore, LMWP is a key clinical feature that should alert clinicians to the possibility of Dent disease. A high amount of LMWP combined with positive gene test results can be used as the diagnostic criteria for this disease. The diagnostic criteria are helpful in reducing the missed diagnosis of this disease and are beneficial for protecting the renal function of these patients through early diagnosis and early intervention. This article is protected by copyright. All rights reserved.","container-title":"Clinical Genetics","DOI":"10.1111/cge.13663","ISSN":"1399-0004","issue":"3","journalAbbreviation":"Clin. Genet.","language":"eng","note":"PMID: 31674016","page":"407-417","source":"PubMed","title":"Multicenter study of the clinical features and mutation gene spectrum of Chinese children with Dent disease","volume":"97","author":[{"family":"Ye","given":"Qing"},{"family":"Shen","given":"Qian"},{"family":"Rao","given":"Jia"},{"family":"Zhang","given":"Aihua"},{"family":"Zheng","given":"Bixia"},{"family":"Liu","given":"Xiaorong"},{"family":"Shen","given":"Ying"},{"family":"Chen","given":"Zhi"},{"family":"Wu","given":"Yubing"},{"family":"Hou","given":"Ling"},{"family":"Jian","given":"Shan"},{"family":"Wei","given":"Min"},{"family":"Ma","given":"Shengming"},{"family":"Sun","given":"Shuzhen"},{"family":"Li","given":"Qian"},{"family":"Dang","given":"Xiqiang"},{"family":"Wang","given":"Ying"},{"family":"Xu","given":"Hong"},{"family":"Mao","given":"Jianhua"},{"literal":"for Chinese Children Genetic Kidney Disease Database (CCGKDD), “Internet Plus” Nephrology Alliance of National Center for Children's Care"}],"issued":{"date-parts":[["2020",3]]}}}],"schema":"https://github.com/citation-style-language/schema/raw/master/csl-citation.json"} </w:instrText>
            </w:r>
            <w:r w:rsidRPr="00BC0897">
              <w:rPr>
                <w:rFonts w:ascii="Times New Roman" w:hAnsi="Times New Roman" w:cs="Times New Roman"/>
                <w:b/>
                <w:sz w:val="20"/>
                <w:szCs w:val="20"/>
                <w:lang w:val="en-US"/>
              </w:rPr>
              <w:fldChar w:fldCharType="separate"/>
            </w:r>
            <w:r w:rsidRPr="00BC0897">
              <w:rPr>
                <w:rFonts w:ascii="Times New Roman" w:hAnsi="Times New Roman" w:cs="Times New Roman"/>
                <w:sz w:val="20"/>
              </w:rPr>
              <w:t>(Ye et al. 2020)</w:t>
            </w:r>
            <w:r w:rsidRPr="00BC0897">
              <w:rPr>
                <w:rFonts w:ascii="Times New Roman" w:hAnsi="Times New Roman" w:cs="Times New Roman"/>
                <w:b/>
                <w:sz w:val="20"/>
                <w:szCs w:val="20"/>
                <w:lang w:val="en-US"/>
              </w:rPr>
              <w:fldChar w:fldCharType="end"/>
            </w:r>
          </w:p>
        </w:tc>
        <w:tc>
          <w:tcPr>
            <w:tcW w:w="960" w:type="dxa"/>
            <w:vAlign w:val="center"/>
            <w:hideMark/>
          </w:tcPr>
          <w:p w:rsidR="00576945" w:rsidRPr="00BC0897" w:rsidRDefault="00576945"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Pr="00BC0897">
              <w:rPr>
                <w:rFonts w:ascii="Times New Roman" w:hAnsi="Times New Roman" w:cs="Times New Roman"/>
                <w:b/>
                <w:sz w:val="20"/>
                <w:szCs w:val="20"/>
                <w:lang w:val="en-US"/>
              </w:rPr>
              <w:instrText xml:space="preserve"> ADDIN ZOTERO_ITEM CSL_CITATION {"citationID":"IEIbyuRm","properties":{"formattedCitation":"(Bao et al. 2019)","plainCitation":"(Bao et al. 2019)","noteIndex":0},"citationItems":[{"id":259,"uris":["http://zotero.org/users/local/jkkvYBSC/items/A2LVT5AF"],"uri":["http://zotero.org/users/local/jkkvYBSC/items/A2LVT5AF"],"itemData":{"id":259,"type":"article-journal","container-title":"Science China. Life Sciences","DOI":"10.1007/s11427-018-9829-0","ISSN":"1869-1889","issue":"12","journalAbbreviation":"Sci China Life Sci","language":"eng","note":"PMID: 31701402","page":"1590-1593","source":"PubMed","title":"Clinical and genetic analysis of Dent disease with nephrotic range albuminuria in Shaanxi, China","volume":"62","author":[{"family":"Bao","given":"Ying"},{"family":"Suo","given":"Lei"},{"family":"Qian","given":"Pei"},{"family":"Huang","given":"Huimei"},{"family":"Yang","given":"Ying"},{"family":"Tang","given":"Jun"},{"family":"Zhang","given":"Min"},{"family":"Li","given":"Zhijuan"},{"family":"Wang","given":"Ying"},{"family":"Liang","given":"Nan"},{"family":"Wang","given":"Yili"}],"issued":{"date-parts":[["2019",12]]}}}],"schema":"https://github.com/citation-style-language/schema/raw/master/csl-citation.json"} </w:instrText>
            </w:r>
            <w:r w:rsidRPr="00BC0897">
              <w:rPr>
                <w:rFonts w:ascii="Times New Roman" w:hAnsi="Times New Roman" w:cs="Times New Roman"/>
                <w:b/>
                <w:sz w:val="20"/>
                <w:szCs w:val="20"/>
                <w:lang w:val="en-US"/>
              </w:rPr>
              <w:fldChar w:fldCharType="separate"/>
            </w:r>
            <w:r w:rsidRPr="00BC0897">
              <w:rPr>
                <w:rFonts w:ascii="Times New Roman" w:hAnsi="Times New Roman" w:cs="Times New Roman"/>
                <w:sz w:val="20"/>
                <w:szCs w:val="20"/>
                <w:lang w:val="en-US"/>
              </w:rPr>
              <w:t>(Bao et al. 2019)</w:t>
            </w:r>
            <w:r w:rsidRPr="00BC0897">
              <w:rPr>
                <w:rFonts w:ascii="Times New Roman" w:hAnsi="Times New Roman" w:cs="Times New Roman"/>
                <w:b/>
                <w:sz w:val="20"/>
                <w:szCs w:val="20"/>
                <w:lang w:val="en-US"/>
              </w:rPr>
              <w:fldChar w:fldCharType="end"/>
            </w:r>
          </w:p>
        </w:tc>
        <w:tc>
          <w:tcPr>
            <w:tcW w:w="960" w:type="dxa"/>
            <w:vAlign w:val="center"/>
          </w:tcPr>
          <w:p w:rsidR="00576945" w:rsidRPr="00BC0897" w:rsidRDefault="00576945" w:rsidP="005C276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Pr="00BC0897">
              <w:rPr>
                <w:rFonts w:ascii="Times New Roman" w:hAnsi="Times New Roman" w:cs="Times New Roman"/>
                <w:b/>
                <w:sz w:val="20"/>
                <w:szCs w:val="20"/>
                <w:lang w:val="en-US"/>
              </w:rPr>
              <w:instrText xml:space="preserve"> ADDIN ZOTERO_ITEM CSL_CITATION {"citationID":"VYW5CMc0","properties":{"formattedCitation":"(Deng et al. 2020)","plainCitation":"(Deng et al. 2020)","noteIndex":0},"citationItems":[{"id":2533,"uris":["http://zotero.org/users/local/jkkvYBSC/items/5ERYPQ5M"],"uri":["http://zotero.org/users/local/jkkvYBSC/items/5ERYPQ5M"],"itemData":{"id":2533,"type":"article-journal","abstract":"BACKGROUND: To characterize the phenotypic spectrum and assess the antialbuminuric response to angiotensin converting enzyme (ACE) inhibitor and/or angiotensin receptor blocker (ARB) therapy in a cohort of children with Dent disease.\nMETHODS: The patients' clinical findings, renal biopsy results, genetic and follow-up data were analyzed retrospectively. Mutations in CLCN5 or OCRL were detected by next-generation sequencing or Sanger sequencing.\nRESULTS: Of 31 Dent disease boys, 24 carried CLCN5 and 7 carried OCRL mutations. Low molecular weight proteinuria and albuminuria were detected in all cases. Nephrotic-range proteinuria and severe albuminuria were identified in 52% and 62% of cases, respectively; by 7 years of age, 6 patients had hematuria and nephrotic-range proteinuria, and 7 patients had hematuria and moderate to severe albuminuria. In addition to disease-related renal features, patients with Dent-1 disease also presented with congenital cataract (1/9) and developmental delay (2/7). Seventeen of 31 patients underwent renal biopsy. Glomerular changes included mild glomerular lesions, mesangial proliferative glomerulonephritis and focal segmental glomerular sclerosis. Thirteen of the 31 patients had follow-up records and received ACE inhibitor and/or ARB treatment for more than 3 months. After a median 1.7 (range 0.3-8.5) years of treatment, a reduction in the urinary microalbumin-to-creatinine ratio was observed in 54% of children.\nCONCLUSIONS: Hematuria with nephrotic-range proteinuria or moderate to severe albuminuria was common in Dent disease patients. Extrarenal manifestations were observed in Dent-1 patients, which extends the phenotypic spectrum. In addition, ACE inhibitors and ARBs are well tolerated, and they are partially effective in controlling albuminuria.","container-title":"Molecular Genetics &amp; Genomic Medicine","DOI":"10.1002/mgg3.1306","ISSN":"2324-9269","journalAbbreviation":"Mol Genet Genomic Med","language":"eng","note":"PMID: 32495484","page":"e1306","source":"PubMed","title":"Phenotypic spectrum and antialbuminuric response to angiotensin converting enzyme inhibitor and angiotensin receptor blocker therapy in pediatric Dent disease","author":[{"family":"Deng","given":"Haiyue"},{"family":"Zhang","given":"Yanqin"},{"family":"Xiao","given":"Huijie"},{"family":"Yao","given":"Yong"},{"family":"Zhang","given":"Hongwen"},{"family":"Liu","given":"Xiaoyu"},{"family":"Su","given":"Baige"},{"family":"Guan","given":"Na"},{"family":"Zhong","given":"Xuhui"},{"family":"Wang","given":"Suxia"},{"family":"Ding","given":"Jie"},{"family":"Wang","given":"Fang"}],"issued":{"date-parts":[["2020",6,3]]}}}],"schema":"https://github.com/citation-style-language/schema/raw/master/csl-citation.json"} </w:instrText>
            </w:r>
            <w:r w:rsidRPr="00BC0897">
              <w:rPr>
                <w:rFonts w:ascii="Times New Roman" w:hAnsi="Times New Roman" w:cs="Times New Roman"/>
                <w:b/>
                <w:sz w:val="20"/>
                <w:szCs w:val="20"/>
                <w:lang w:val="en-US"/>
              </w:rPr>
              <w:fldChar w:fldCharType="separate"/>
            </w:r>
            <w:r w:rsidRPr="00BC0897">
              <w:rPr>
                <w:rFonts w:ascii="Times New Roman" w:hAnsi="Times New Roman" w:cs="Times New Roman"/>
                <w:sz w:val="20"/>
                <w:lang w:val="en-US"/>
              </w:rPr>
              <w:t>(Deng et al. 2020)</w:t>
            </w:r>
            <w:r w:rsidRPr="00BC0897">
              <w:rPr>
                <w:rFonts w:ascii="Times New Roman" w:hAnsi="Times New Roman" w:cs="Times New Roman"/>
                <w:b/>
                <w:sz w:val="20"/>
                <w:szCs w:val="20"/>
                <w:lang w:val="en-US"/>
              </w:rPr>
              <w:fldChar w:fldCharType="end"/>
            </w:r>
          </w:p>
        </w:tc>
        <w:tc>
          <w:tcPr>
            <w:tcW w:w="960" w:type="dxa"/>
            <w:vAlign w:val="center"/>
          </w:tcPr>
          <w:p w:rsidR="00576945" w:rsidRPr="00BC0897" w:rsidRDefault="00576945" w:rsidP="00576945">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Pr="00BC0897">
              <w:rPr>
                <w:rFonts w:ascii="Times New Roman" w:hAnsi="Times New Roman" w:cs="Times New Roman"/>
                <w:b/>
                <w:sz w:val="20"/>
                <w:szCs w:val="20"/>
                <w:lang w:val="en-US"/>
              </w:rPr>
              <w:instrText xml:space="preserve"> ADDIN ZOTERO_ITEM CSL_CITATION {"citationID":"Fn68V2VE","properties":{"formattedCitation":"(Sakakibara et al. 2020)","plainCitation":"(Sakakibara et al. 2020)","noteIndex":0},"citationItems":[{"id":2562,"uris":["http://zotero.org/users/local/jkkvYBSC/items/A553IMF9"],"uri":["http://zotero.org/users/local/jkkvYBSC/items/A553IMF9"],"itemData":{"id":2562,"type":"article-journal","abstract":"BACKGROUND: Dent disease is associated with low molecular weight proteinuria and hypercalciuria and caused by pathogenic variants in either of two genes: CLCN5 (Dent disease 1) and OCRL (Dent disease 2). It is generally not accompanied by extrarenal manifestations and it is difficult to distinguish Dent disease 1 from Dent disease 2 without gene testing. We retrospectively compared the characteristics of these two diseases using one of the largest cohorts to date.\nMETHODS: We performed gene testing for clinically suspected Dent disease, leading to the genetic diagnosis of 85 males: 72 with Dent disease 1 and 13 with Dent disease 2. A retrospective review of the clinical findings and laboratory data obtained from questionnaires submitted in association with the gene testing was conducted for these cases.\nRESULTS: The following variables had significantly higher levels in Dent disease 2 than in Dent disease 1: height standard deviation score (height SDS), serum creatinine-based estimated GFR (Cr-eGFR) (median: 84 vs. 127 mL/min/1.73 m2, p &lt; 0.01), serum aspartate aminotransferase (AST), serum alanine aminotransferase (ALT), serum lactate dehydrogenase (LDH), serum creatine phosphokinase (CK), serum potassium, serum inorganic phosphorus, serum uric acid, urine protein/creatinine ratio (median: 3.5 vs. 1.6 mg/mg, p &lt; 0.01), and urine calcium/creatinine ratio. There were no significant differences in serum sodium, serum calcium, alkaline phosphatase (ALP), urine β2-microglobulin, incidence of nephrocalcinosis, and prevalence of intellectual disability or autism spectrum disorder.\nCONCLUSIONS: The clinical and laboratory features of Dent disease 1 and Dent disease 2 were shown in this study. Notably, patients with Dent disease 2 showed kidney dysfunction at a younger age, which should provide a clue for the differential diagnosis of these diseases.","container-title":"Pediatric Nephrology (Berlin, Germany)","DOI":"10.1007/s00467-020-04701-5","ISSN":"1432-198X","journalAbbreviation":"Pediatr. Nephrol.","language":"eng","note":"PMID: 32683654","source":"PubMed","title":"Comparison of clinical and genetic characteristics between Dent disease 1 and Dent disease 2","author":[{"family":"Sakakibara","given":"Nana"},{"family":"Nagano","given":"China"},{"family":"Ishiko","given":"Shinya"},{"family":"Horinouchi","given":"Tomoko"},{"family":"Yamamura","given":"Tomohiko"},{"family":"Minamikawa","given":"Shogo"},{"family":"Shima","given":"Yuko"},{"family":"Nakanishi","given":"Koichi"},{"family":"Ishimori","given":"Shingo"},{"family":"Morisada","given":"Naoya"},{"family":"Iijima","given":"Kazumoto"},{"family":"Nozu","given":"Kandai"}],"issued":{"date-parts":[["2020",7,18]]}}}],"schema":"https://github.com/citation-style-language/schema/raw/master/csl-citation.json"} </w:instrText>
            </w:r>
            <w:r w:rsidRPr="00BC0897">
              <w:rPr>
                <w:rFonts w:ascii="Times New Roman" w:hAnsi="Times New Roman" w:cs="Times New Roman"/>
                <w:b/>
                <w:sz w:val="20"/>
                <w:szCs w:val="20"/>
                <w:lang w:val="en-US"/>
              </w:rPr>
              <w:fldChar w:fldCharType="separate"/>
            </w:r>
            <w:r w:rsidRPr="00BC0897">
              <w:rPr>
                <w:rFonts w:ascii="Times New Roman" w:hAnsi="Times New Roman" w:cs="Times New Roman"/>
                <w:sz w:val="20"/>
                <w:lang w:val="en-US"/>
              </w:rPr>
              <w:t>(Sakakibara et al. 2020)</w:t>
            </w:r>
            <w:r w:rsidRPr="00BC0897">
              <w:rPr>
                <w:rFonts w:ascii="Times New Roman" w:hAnsi="Times New Roman" w:cs="Times New Roman"/>
                <w:b/>
                <w:sz w:val="20"/>
                <w:szCs w:val="20"/>
                <w:lang w:val="en-US"/>
              </w:rPr>
              <w:fldChar w:fldCharType="end"/>
            </w:r>
          </w:p>
        </w:tc>
      </w:tr>
      <w:tr w:rsidR="00576945" w:rsidRPr="002212C2" w:rsidTr="00576945">
        <w:trPr>
          <w:trHeight w:val="300"/>
        </w:trPr>
        <w:tc>
          <w:tcPr>
            <w:tcW w:w="2760" w:type="dxa"/>
            <w:noWrap/>
            <w:vAlign w:val="center"/>
            <w:hideMark/>
          </w:tcPr>
          <w:p w:rsidR="00576945" w:rsidRPr="00BC0897" w:rsidRDefault="0057694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n</w:t>
            </w:r>
          </w:p>
        </w:tc>
        <w:tc>
          <w:tcPr>
            <w:tcW w:w="1087" w:type="dxa"/>
            <w:vAlign w:val="center"/>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47</w:t>
            </w:r>
          </w:p>
        </w:tc>
        <w:tc>
          <w:tcPr>
            <w:tcW w:w="1087" w:type="dxa"/>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26</w:t>
            </w:r>
          </w:p>
        </w:tc>
        <w:tc>
          <w:tcPr>
            <w:tcW w:w="1148" w:type="dxa"/>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108</w:t>
            </w:r>
          </w:p>
        </w:tc>
        <w:tc>
          <w:tcPr>
            <w:tcW w:w="960" w:type="dxa"/>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15</w:t>
            </w:r>
          </w:p>
        </w:tc>
        <w:tc>
          <w:tcPr>
            <w:tcW w:w="960" w:type="dxa"/>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23</w:t>
            </w:r>
          </w:p>
        </w:tc>
        <w:tc>
          <w:tcPr>
            <w:tcW w:w="960" w:type="dxa"/>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6</w:t>
            </w:r>
          </w:p>
        </w:tc>
        <w:tc>
          <w:tcPr>
            <w:tcW w:w="960" w:type="dxa"/>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w:t>
            </w:r>
          </w:p>
        </w:tc>
        <w:tc>
          <w:tcPr>
            <w:tcW w:w="960" w:type="dxa"/>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32</w:t>
            </w:r>
          </w:p>
        </w:tc>
        <w:tc>
          <w:tcPr>
            <w:tcW w:w="960" w:type="dxa"/>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w:t>
            </w:r>
          </w:p>
        </w:tc>
        <w:tc>
          <w:tcPr>
            <w:tcW w:w="960" w:type="dxa"/>
            <w:vAlign w:val="center"/>
          </w:tcPr>
          <w:p w:rsidR="00576945" w:rsidRPr="00BC0897" w:rsidRDefault="00576945" w:rsidP="005C2768">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24</w:t>
            </w:r>
          </w:p>
        </w:tc>
        <w:tc>
          <w:tcPr>
            <w:tcW w:w="960" w:type="dxa"/>
            <w:vAlign w:val="center"/>
          </w:tcPr>
          <w:p w:rsidR="00576945" w:rsidRPr="00BC0897" w:rsidRDefault="00576945" w:rsidP="00576945">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72</w:t>
            </w:r>
          </w:p>
        </w:tc>
      </w:tr>
      <w:tr w:rsidR="00576945" w:rsidRPr="002212C2" w:rsidTr="00576945">
        <w:trPr>
          <w:trHeight w:val="600"/>
        </w:trPr>
        <w:tc>
          <w:tcPr>
            <w:tcW w:w="2760" w:type="dxa"/>
            <w:noWrap/>
            <w:vAlign w:val="center"/>
            <w:hideMark/>
          </w:tcPr>
          <w:p w:rsidR="00576945" w:rsidRPr="00BC0897" w:rsidRDefault="0057694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Population</w:t>
            </w:r>
          </w:p>
        </w:tc>
        <w:tc>
          <w:tcPr>
            <w:tcW w:w="1087" w:type="dxa"/>
            <w:vAlign w:val="center"/>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Italian</w:t>
            </w:r>
          </w:p>
        </w:tc>
        <w:tc>
          <w:tcPr>
            <w:tcW w:w="1087" w:type="dxa"/>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American</w:t>
            </w:r>
          </w:p>
        </w:tc>
        <w:tc>
          <w:tcPr>
            <w:tcW w:w="1148" w:type="dxa"/>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French</w:t>
            </w:r>
          </w:p>
        </w:tc>
        <w:tc>
          <w:tcPr>
            <w:tcW w:w="960" w:type="dxa"/>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Chinese</w:t>
            </w:r>
          </w:p>
        </w:tc>
        <w:tc>
          <w:tcPr>
            <w:tcW w:w="960" w:type="dxa"/>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Polish</w:t>
            </w:r>
          </w:p>
        </w:tc>
        <w:tc>
          <w:tcPr>
            <w:tcW w:w="960" w:type="dxa"/>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Chinese</w:t>
            </w:r>
          </w:p>
        </w:tc>
        <w:tc>
          <w:tcPr>
            <w:tcW w:w="960" w:type="dxa"/>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Chinese</w:t>
            </w:r>
          </w:p>
        </w:tc>
        <w:tc>
          <w:tcPr>
            <w:tcW w:w="960" w:type="dxa"/>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Chinese</w:t>
            </w:r>
          </w:p>
        </w:tc>
        <w:tc>
          <w:tcPr>
            <w:tcW w:w="960" w:type="dxa"/>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Chinese</w:t>
            </w:r>
          </w:p>
        </w:tc>
        <w:tc>
          <w:tcPr>
            <w:tcW w:w="960" w:type="dxa"/>
            <w:vAlign w:val="center"/>
          </w:tcPr>
          <w:p w:rsidR="00576945" w:rsidRPr="00BC0897" w:rsidRDefault="00576945" w:rsidP="005C2768">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Chinese</w:t>
            </w:r>
          </w:p>
        </w:tc>
        <w:tc>
          <w:tcPr>
            <w:tcW w:w="960" w:type="dxa"/>
            <w:vAlign w:val="center"/>
          </w:tcPr>
          <w:p w:rsidR="00576945" w:rsidRPr="00BC0897" w:rsidRDefault="00576945" w:rsidP="00576945">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Japanese</w:t>
            </w:r>
          </w:p>
        </w:tc>
      </w:tr>
      <w:tr w:rsidR="00576945" w:rsidRPr="002212C2" w:rsidTr="00576945">
        <w:trPr>
          <w:trHeight w:val="300"/>
        </w:trPr>
        <w:tc>
          <w:tcPr>
            <w:tcW w:w="2760" w:type="dxa"/>
            <w:noWrap/>
            <w:vAlign w:val="center"/>
            <w:hideMark/>
          </w:tcPr>
          <w:p w:rsidR="00576945" w:rsidRPr="00BC0897" w:rsidRDefault="0057694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Age (years, range)</w:t>
            </w:r>
          </w:p>
        </w:tc>
        <w:tc>
          <w:tcPr>
            <w:tcW w:w="1087" w:type="dxa"/>
            <w:vAlign w:val="center"/>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1-46</w:t>
            </w:r>
          </w:p>
        </w:tc>
        <w:tc>
          <w:tcPr>
            <w:tcW w:w="1087" w:type="dxa"/>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1-40</w:t>
            </w:r>
          </w:p>
        </w:tc>
        <w:tc>
          <w:tcPr>
            <w:tcW w:w="1148" w:type="dxa"/>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5-21</w:t>
            </w:r>
          </w:p>
        </w:tc>
        <w:tc>
          <w:tcPr>
            <w:tcW w:w="960" w:type="dxa"/>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3.4-30.6</w:t>
            </w:r>
          </w:p>
        </w:tc>
        <w:tc>
          <w:tcPr>
            <w:tcW w:w="960" w:type="dxa"/>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0.3-12.4</w:t>
            </w:r>
          </w:p>
        </w:tc>
        <w:tc>
          <w:tcPr>
            <w:tcW w:w="960" w:type="dxa"/>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5-9</w:t>
            </w:r>
          </w:p>
        </w:tc>
        <w:tc>
          <w:tcPr>
            <w:tcW w:w="960" w:type="dxa"/>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0.75-1.6</w:t>
            </w:r>
          </w:p>
        </w:tc>
        <w:tc>
          <w:tcPr>
            <w:tcW w:w="960" w:type="dxa"/>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0.58-12</w:t>
            </w:r>
          </w:p>
        </w:tc>
        <w:tc>
          <w:tcPr>
            <w:tcW w:w="960" w:type="dxa"/>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vAlign w:val="center"/>
          </w:tcPr>
          <w:p w:rsidR="00576945" w:rsidRPr="00BC0897" w:rsidRDefault="00576945" w:rsidP="005C2768">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0.3-12.3</w:t>
            </w:r>
          </w:p>
        </w:tc>
        <w:tc>
          <w:tcPr>
            <w:tcW w:w="960" w:type="dxa"/>
            <w:vAlign w:val="center"/>
          </w:tcPr>
          <w:p w:rsidR="00576945" w:rsidRPr="00BC0897" w:rsidRDefault="00576945" w:rsidP="00576945">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3.0-9.0</w:t>
            </w:r>
          </w:p>
        </w:tc>
      </w:tr>
      <w:tr w:rsidR="00576945" w:rsidRPr="002212C2" w:rsidTr="00473D63">
        <w:trPr>
          <w:trHeight w:val="300"/>
        </w:trPr>
        <w:tc>
          <w:tcPr>
            <w:tcW w:w="2760" w:type="dxa"/>
            <w:noWrap/>
            <w:vAlign w:val="center"/>
            <w:hideMark/>
          </w:tcPr>
          <w:p w:rsidR="00576945" w:rsidRPr="00BC0897" w:rsidRDefault="0057694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Proteinuria</w:t>
            </w:r>
          </w:p>
        </w:tc>
        <w:tc>
          <w:tcPr>
            <w:tcW w:w="1087" w:type="dxa"/>
            <w:vAlign w:val="center"/>
          </w:tcPr>
          <w:p w:rsidR="00576945" w:rsidRPr="00BC0897" w:rsidRDefault="00576945" w:rsidP="00C228AD">
            <w:pPr>
              <w:spacing w:after="0"/>
              <w:jc w:val="center"/>
              <w:rPr>
                <w:rFonts w:ascii="Times New Roman" w:hAnsi="Times New Roman" w:cs="Times New Roman"/>
                <w:sz w:val="20"/>
                <w:szCs w:val="20"/>
                <w:lang w:val="en-US"/>
              </w:rPr>
            </w:pPr>
          </w:p>
        </w:tc>
        <w:tc>
          <w:tcPr>
            <w:tcW w:w="1087" w:type="dxa"/>
            <w:vAlign w:val="center"/>
          </w:tcPr>
          <w:p w:rsidR="00576945" w:rsidRPr="00BC0897" w:rsidRDefault="00576945" w:rsidP="00C228AD">
            <w:pPr>
              <w:spacing w:after="0"/>
              <w:jc w:val="center"/>
              <w:rPr>
                <w:rFonts w:ascii="Times New Roman" w:hAnsi="Times New Roman" w:cs="Times New Roman"/>
                <w:sz w:val="20"/>
                <w:szCs w:val="20"/>
                <w:lang w:val="en-US"/>
              </w:rPr>
            </w:pPr>
          </w:p>
        </w:tc>
        <w:tc>
          <w:tcPr>
            <w:tcW w:w="1148" w:type="dxa"/>
            <w:vAlign w:val="center"/>
          </w:tcPr>
          <w:p w:rsidR="00576945" w:rsidRPr="00BC0897" w:rsidRDefault="00576945" w:rsidP="00C228AD">
            <w:pPr>
              <w:spacing w:after="0"/>
              <w:jc w:val="center"/>
              <w:rPr>
                <w:rFonts w:ascii="Times New Roman" w:hAnsi="Times New Roman" w:cs="Times New Roman"/>
                <w:sz w:val="20"/>
                <w:szCs w:val="20"/>
                <w:lang w:val="en-US"/>
              </w:rPr>
            </w:pPr>
          </w:p>
        </w:tc>
        <w:tc>
          <w:tcPr>
            <w:tcW w:w="960" w:type="dxa"/>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11/13</w:t>
            </w:r>
          </w:p>
        </w:tc>
        <w:tc>
          <w:tcPr>
            <w:tcW w:w="960" w:type="dxa"/>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20/20</w:t>
            </w:r>
          </w:p>
        </w:tc>
        <w:tc>
          <w:tcPr>
            <w:tcW w:w="960" w:type="dxa"/>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2/2</w:t>
            </w:r>
          </w:p>
        </w:tc>
        <w:tc>
          <w:tcPr>
            <w:tcW w:w="960" w:type="dxa"/>
            <w:vAlign w:val="center"/>
          </w:tcPr>
          <w:p w:rsidR="00576945" w:rsidRPr="00BC0897" w:rsidRDefault="00576945" w:rsidP="00C228AD">
            <w:pPr>
              <w:spacing w:after="0"/>
              <w:jc w:val="center"/>
              <w:rPr>
                <w:rFonts w:ascii="Times New Roman" w:hAnsi="Times New Roman" w:cs="Times New Roman"/>
                <w:sz w:val="20"/>
                <w:szCs w:val="20"/>
                <w:lang w:val="en-US"/>
              </w:rPr>
            </w:pPr>
          </w:p>
        </w:tc>
        <w:tc>
          <w:tcPr>
            <w:tcW w:w="960" w:type="dxa"/>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3/3</w:t>
            </w:r>
          </w:p>
        </w:tc>
        <w:tc>
          <w:tcPr>
            <w:tcW w:w="960" w:type="dxa"/>
            <w:vAlign w:val="center"/>
          </w:tcPr>
          <w:p w:rsidR="00576945" w:rsidRPr="00BC0897" w:rsidRDefault="00576945" w:rsidP="005C2768">
            <w:pPr>
              <w:spacing w:after="0"/>
              <w:jc w:val="center"/>
              <w:rPr>
                <w:rFonts w:ascii="Times New Roman" w:hAnsi="Times New Roman" w:cs="Times New Roman"/>
                <w:sz w:val="20"/>
                <w:szCs w:val="20"/>
                <w:lang w:val="en-US"/>
              </w:rPr>
            </w:pPr>
          </w:p>
        </w:tc>
        <w:tc>
          <w:tcPr>
            <w:tcW w:w="960" w:type="dxa"/>
            <w:vAlign w:val="center"/>
          </w:tcPr>
          <w:p w:rsidR="00576945" w:rsidRPr="00BC0897" w:rsidRDefault="00576945" w:rsidP="00576945">
            <w:pPr>
              <w:spacing w:after="0"/>
              <w:jc w:val="center"/>
              <w:rPr>
                <w:rFonts w:ascii="Times New Roman" w:hAnsi="Times New Roman" w:cs="Times New Roman"/>
                <w:sz w:val="20"/>
                <w:szCs w:val="20"/>
                <w:lang w:val="en-US"/>
              </w:rPr>
            </w:pPr>
          </w:p>
        </w:tc>
      </w:tr>
      <w:tr w:rsidR="00576945" w:rsidRPr="002212C2" w:rsidTr="00473D63">
        <w:trPr>
          <w:trHeight w:val="300"/>
        </w:trPr>
        <w:tc>
          <w:tcPr>
            <w:tcW w:w="2760" w:type="dxa"/>
            <w:noWrap/>
            <w:vAlign w:val="center"/>
            <w:hideMark/>
          </w:tcPr>
          <w:p w:rsidR="00576945" w:rsidRPr="00BC0897" w:rsidRDefault="0057694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Nephrotic range proteinuria</w:t>
            </w:r>
          </w:p>
        </w:tc>
        <w:tc>
          <w:tcPr>
            <w:tcW w:w="1087" w:type="dxa"/>
            <w:vAlign w:val="center"/>
          </w:tcPr>
          <w:p w:rsidR="00576945" w:rsidRPr="00BC0897" w:rsidRDefault="00576945" w:rsidP="00C228AD">
            <w:pPr>
              <w:spacing w:after="0"/>
              <w:jc w:val="center"/>
              <w:rPr>
                <w:rFonts w:ascii="Times New Roman" w:hAnsi="Times New Roman" w:cs="Times New Roman"/>
                <w:sz w:val="20"/>
                <w:szCs w:val="20"/>
                <w:lang w:val="en-US"/>
              </w:rPr>
            </w:pPr>
          </w:p>
        </w:tc>
        <w:tc>
          <w:tcPr>
            <w:tcW w:w="1087" w:type="dxa"/>
            <w:vAlign w:val="center"/>
          </w:tcPr>
          <w:p w:rsidR="00576945" w:rsidRPr="00BC0897" w:rsidRDefault="00576945" w:rsidP="00C228AD">
            <w:pPr>
              <w:spacing w:after="0"/>
              <w:jc w:val="center"/>
              <w:rPr>
                <w:rFonts w:ascii="Times New Roman" w:hAnsi="Times New Roman" w:cs="Times New Roman"/>
                <w:sz w:val="20"/>
                <w:szCs w:val="20"/>
                <w:lang w:val="en-US"/>
              </w:rPr>
            </w:pPr>
          </w:p>
        </w:tc>
        <w:tc>
          <w:tcPr>
            <w:tcW w:w="1148" w:type="dxa"/>
            <w:vAlign w:val="center"/>
          </w:tcPr>
          <w:p w:rsidR="00576945" w:rsidRPr="00BC0897" w:rsidRDefault="00576945" w:rsidP="00C228AD">
            <w:pPr>
              <w:spacing w:after="0"/>
              <w:jc w:val="center"/>
              <w:rPr>
                <w:rFonts w:ascii="Times New Roman" w:hAnsi="Times New Roman" w:cs="Times New Roman"/>
                <w:sz w:val="20"/>
                <w:szCs w:val="20"/>
                <w:lang w:val="en-US"/>
              </w:rPr>
            </w:pPr>
          </w:p>
        </w:tc>
        <w:tc>
          <w:tcPr>
            <w:tcW w:w="960" w:type="dxa"/>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5/13</w:t>
            </w:r>
          </w:p>
        </w:tc>
        <w:tc>
          <w:tcPr>
            <w:tcW w:w="960" w:type="dxa"/>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3/20</w:t>
            </w:r>
          </w:p>
        </w:tc>
        <w:tc>
          <w:tcPr>
            <w:tcW w:w="960" w:type="dxa"/>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c>
          <w:tcPr>
            <w:tcW w:w="960" w:type="dxa"/>
            <w:vAlign w:val="center"/>
          </w:tcPr>
          <w:p w:rsidR="00576945" w:rsidRPr="00BC0897" w:rsidRDefault="00576945" w:rsidP="00C228AD">
            <w:pPr>
              <w:spacing w:after="0"/>
              <w:jc w:val="center"/>
              <w:rPr>
                <w:rFonts w:ascii="Times New Roman" w:hAnsi="Times New Roman" w:cs="Times New Roman"/>
                <w:sz w:val="20"/>
                <w:szCs w:val="20"/>
                <w:lang w:val="en-US"/>
              </w:rPr>
            </w:pPr>
          </w:p>
        </w:tc>
        <w:tc>
          <w:tcPr>
            <w:tcW w:w="960" w:type="dxa"/>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3/3</w:t>
            </w:r>
          </w:p>
        </w:tc>
        <w:tc>
          <w:tcPr>
            <w:tcW w:w="960" w:type="dxa"/>
            <w:vAlign w:val="center"/>
          </w:tcPr>
          <w:p w:rsidR="00576945" w:rsidRPr="00BC0897" w:rsidRDefault="00576945" w:rsidP="005C2768">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13/24</w:t>
            </w:r>
          </w:p>
        </w:tc>
        <w:tc>
          <w:tcPr>
            <w:tcW w:w="960" w:type="dxa"/>
            <w:vAlign w:val="center"/>
          </w:tcPr>
          <w:p w:rsidR="00576945" w:rsidRPr="00BC0897" w:rsidRDefault="00576945" w:rsidP="00576945">
            <w:pPr>
              <w:spacing w:after="0"/>
              <w:jc w:val="center"/>
              <w:rPr>
                <w:rFonts w:ascii="Times New Roman" w:hAnsi="Times New Roman" w:cs="Times New Roman"/>
                <w:sz w:val="20"/>
                <w:szCs w:val="20"/>
                <w:lang w:val="en-US"/>
              </w:rPr>
            </w:pPr>
          </w:p>
        </w:tc>
      </w:tr>
      <w:tr w:rsidR="00576945" w:rsidRPr="002212C2" w:rsidTr="00576945">
        <w:trPr>
          <w:trHeight w:val="300"/>
        </w:trPr>
        <w:tc>
          <w:tcPr>
            <w:tcW w:w="2760" w:type="dxa"/>
            <w:noWrap/>
            <w:vAlign w:val="center"/>
            <w:hideMark/>
          </w:tcPr>
          <w:p w:rsidR="00576945" w:rsidRPr="00BC0897" w:rsidRDefault="0057694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LMWP</w:t>
            </w:r>
          </w:p>
        </w:tc>
        <w:tc>
          <w:tcPr>
            <w:tcW w:w="1087" w:type="dxa"/>
            <w:vAlign w:val="center"/>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46/47</w:t>
            </w:r>
          </w:p>
        </w:tc>
        <w:tc>
          <w:tcPr>
            <w:tcW w:w="1087"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20/20</w:t>
            </w:r>
          </w:p>
        </w:tc>
        <w:tc>
          <w:tcPr>
            <w:tcW w:w="1148"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93/93</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15/15</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6/6</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2/2</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32/32</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3/3</w:t>
            </w:r>
          </w:p>
        </w:tc>
        <w:tc>
          <w:tcPr>
            <w:tcW w:w="960" w:type="dxa"/>
            <w:vAlign w:val="center"/>
          </w:tcPr>
          <w:p w:rsidR="00576945" w:rsidRPr="00BC0897" w:rsidRDefault="00576945" w:rsidP="005C2768">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23/23</w:t>
            </w:r>
          </w:p>
        </w:tc>
        <w:tc>
          <w:tcPr>
            <w:tcW w:w="960" w:type="dxa"/>
            <w:vAlign w:val="center"/>
          </w:tcPr>
          <w:p w:rsidR="00576945" w:rsidRPr="00BC0897" w:rsidRDefault="00473D63" w:rsidP="00576945">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72/72</w:t>
            </w:r>
          </w:p>
        </w:tc>
      </w:tr>
      <w:tr w:rsidR="00576945" w:rsidRPr="002212C2" w:rsidTr="00576945">
        <w:trPr>
          <w:trHeight w:val="300"/>
        </w:trPr>
        <w:tc>
          <w:tcPr>
            <w:tcW w:w="2760" w:type="dxa"/>
            <w:noWrap/>
            <w:vAlign w:val="center"/>
            <w:hideMark/>
          </w:tcPr>
          <w:p w:rsidR="00576945" w:rsidRPr="00BC0897" w:rsidRDefault="0057694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Hypercalciuria</w:t>
            </w:r>
          </w:p>
        </w:tc>
        <w:tc>
          <w:tcPr>
            <w:tcW w:w="1087" w:type="dxa"/>
            <w:vAlign w:val="center"/>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43/47</w:t>
            </w:r>
          </w:p>
        </w:tc>
        <w:tc>
          <w:tcPr>
            <w:tcW w:w="1087"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17/21</w:t>
            </w:r>
          </w:p>
        </w:tc>
        <w:tc>
          <w:tcPr>
            <w:tcW w:w="1148"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81/88</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19/22</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6/6</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2/2</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21/32</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3/3</w:t>
            </w:r>
          </w:p>
        </w:tc>
        <w:tc>
          <w:tcPr>
            <w:tcW w:w="960" w:type="dxa"/>
            <w:vAlign w:val="center"/>
          </w:tcPr>
          <w:p w:rsidR="00576945" w:rsidRPr="00BC0897" w:rsidRDefault="00576945" w:rsidP="005C2768">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20/24</w:t>
            </w:r>
          </w:p>
        </w:tc>
        <w:tc>
          <w:tcPr>
            <w:tcW w:w="960" w:type="dxa"/>
            <w:vAlign w:val="center"/>
          </w:tcPr>
          <w:p w:rsidR="00576945" w:rsidRPr="00BC0897" w:rsidRDefault="00473D63" w:rsidP="00576945">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24/62</w:t>
            </w:r>
          </w:p>
        </w:tc>
      </w:tr>
      <w:tr w:rsidR="00576945" w:rsidRPr="002212C2" w:rsidTr="00576945">
        <w:trPr>
          <w:trHeight w:val="300"/>
        </w:trPr>
        <w:tc>
          <w:tcPr>
            <w:tcW w:w="2760" w:type="dxa"/>
            <w:noWrap/>
            <w:vAlign w:val="center"/>
            <w:hideMark/>
          </w:tcPr>
          <w:p w:rsidR="00576945" w:rsidRPr="00BC0897" w:rsidRDefault="0057694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Hyperphosphaturia</w:t>
            </w:r>
          </w:p>
        </w:tc>
        <w:tc>
          <w:tcPr>
            <w:tcW w:w="1087" w:type="dxa"/>
            <w:vAlign w:val="center"/>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17/47</w:t>
            </w:r>
          </w:p>
        </w:tc>
        <w:tc>
          <w:tcPr>
            <w:tcW w:w="1087"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1148"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7/17</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vAlign w:val="center"/>
          </w:tcPr>
          <w:p w:rsidR="00576945" w:rsidRPr="00BC0897" w:rsidRDefault="00576945" w:rsidP="005C2768">
            <w:pPr>
              <w:spacing w:after="0"/>
              <w:jc w:val="center"/>
              <w:rPr>
                <w:rFonts w:ascii="Times New Roman" w:hAnsi="Times New Roman" w:cs="Times New Roman"/>
                <w:sz w:val="20"/>
                <w:szCs w:val="20"/>
                <w:lang w:val="en-US"/>
              </w:rPr>
            </w:pPr>
          </w:p>
        </w:tc>
        <w:tc>
          <w:tcPr>
            <w:tcW w:w="960" w:type="dxa"/>
            <w:vAlign w:val="center"/>
          </w:tcPr>
          <w:p w:rsidR="00576945" w:rsidRPr="00BC0897" w:rsidRDefault="00576945" w:rsidP="00576945">
            <w:pPr>
              <w:spacing w:after="0"/>
              <w:jc w:val="center"/>
              <w:rPr>
                <w:rFonts w:ascii="Times New Roman" w:hAnsi="Times New Roman" w:cs="Times New Roman"/>
                <w:sz w:val="20"/>
                <w:szCs w:val="20"/>
                <w:lang w:val="en-US"/>
              </w:rPr>
            </w:pPr>
          </w:p>
        </w:tc>
      </w:tr>
      <w:tr w:rsidR="00576945" w:rsidRPr="002212C2" w:rsidTr="00576945">
        <w:trPr>
          <w:trHeight w:val="300"/>
        </w:trPr>
        <w:tc>
          <w:tcPr>
            <w:tcW w:w="2760" w:type="dxa"/>
            <w:noWrap/>
            <w:vAlign w:val="center"/>
            <w:hideMark/>
          </w:tcPr>
          <w:p w:rsidR="00576945" w:rsidRPr="00BC0897" w:rsidRDefault="0057694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Aminoaciduria</w:t>
            </w:r>
          </w:p>
        </w:tc>
        <w:tc>
          <w:tcPr>
            <w:tcW w:w="1087" w:type="dxa"/>
            <w:vAlign w:val="center"/>
          </w:tcPr>
          <w:p w:rsidR="00576945" w:rsidRPr="00BC0897" w:rsidRDefault="00576945" w:rsidP="00C228AD">
            <w:pPr>
              <w:spacing w:after="0"/>
              <w:jc w:val="center"/>
              <w:rPr>
                <w:rFonts w:ascii="Times New Roman" w:hAnsi="Times New Roman" w:cs="Times New Roman"/>
                <w:sz w:val="20"/>
                <w:szCs w:val="20"/>
                <w:lang w:val="en-US"/>
              </w:rPr>
            </w:pPr>
          </w:p>
        </w:tc>
        <w:tc>
          <w:tcPr>
            <w:tcW w:w="1087"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1148"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16/32</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6/15</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1/11</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vAlign w:val="center"/>
          </w:tcPr>
          <w:p w:rsidR="00576945" w:rsidRPr="00BC0897" w:rsidRDefault="00576945" w:rsidP="005C2768">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6/6</w:t>
            </w:r>
          </w:p>
        </w:tc>
        <w:tc>
          <w:tcPr>
            <w:tcW w:w="960" w:type="dxa"/>
            <w:vAlign w:val="center"/>
          </w:tcPr>
          <w:p w:rsidR="00576945" w:rsidRPr="00BC0897" w:rsidRDefault="00576945" w:rsidP="00576945">
            <w:pPr>
              <w:spacing w:after="0"/>
              <w:jc w:val="center"/>
              <w:rPr>
                <w:rFonts w:ascii="Times New Roman" w:hAnsi="Times New Roman" w:cs="Times New Roman"/>
                <w:sz w:val="20"/>
                <w:szCs w:val="20"/>
                <w:lang w:val="en-US"/>
              </w:rPr>
            </w:pPr>
          </w:p>
        </w:tc>
      </w:tr>
      <w:tr w:rsidR="00576945" w:rsidRPr="002212C2" w:rsidTr="00576945">
        <w:trPr>
          <w:trHeight w:val="300"/>
        </w:trPr>
        <w:tc>
          <w:tcPr>
            <w:tcW w:w="2760" w:type="dxa"/>
            <w:noWrap/>
            <w:vAlign w:val="center"/>
            <w:hideMark/>
          </w:tcPr>
          <w:p w:rsidR="00576945" w:rsidRPr="00BC0897" w:rsidRDefault="0057694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Glycosuria</w:t>
            </w:r>
          </w:p>
        </w:tc>
        <w:tc>
          <w:tcPr>
            <w:tcW w:w="1087" w:type="dxa"/>
            <w:vAlign w:val="center"/>
          </w:tcPr>
          <w:p w:rsidR="00576945" w:rsidRPr="00BC0897" w:rsidRDefault="00576945" w:rsidP="00C228AD">
            <w:pPr>
              <w:spacing w:after="0"/>
              <w:jc w:val="center"/>
              <w:rPr>
                <w:rFonts w:ascii="Times New Roman" w:hAnsi="Times New Roman" w:cs="Times New Roman"/>
                <w:sz w:val="20"/>
                <w:szCs w:val="20"/>
                <w:lang w:val="en-US"/>
              </w:rPr>
            </w:pPr>
          </w:p>
        </w:tc>
        <w:tc>
          <w:tcPr>
            <w:tcW w:w="1087"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1148"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26/58</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4/15</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2/23</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vAlign w:val="center"/>
          </w:tcPr>
          <w:p w:rsidR="00576945" w:rsidRPr="00BC0897" w:rsidRDefault="00576945" w:rsidP="005C2768">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3/24</w:t>
            </w:r>
          </w:p>
        </w:tc>
        <w:tc>
          <w:tcPr>
            <w:tcW w:w="960" w:type="dxa"/>
            <w:vAlign w:val="center"/>
          </w:tcPr>
          <w:p w:rsidR="00576945" w:rsidRPr="00BC0897" w:rsidRDefault="00473D63" w:rsidP="00576945">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2/68</w:t>
            </w:r>
          </w:p>
        </w:tc>
      </w:tr>
      <w:tr w:rsidR="00576945" w:rsidRPr="002212C2" w:rsidTr="00576945">
        <w:trPr>
          <w:trHeight w:val="300"/>
        </w:trPr>
        <w:tc>
          <w:tcPr>
            <w:tcW w:w="2760" w:type="dxa"/>
            <w:noWrap/>
            <w:vAlign w:val="center"/>
            <w:hideMark/>
          </w:tcPr>
          <w:p w:rsidR="00576945" w:rsidRPr="00BC0897" w:rsidRDefault="0057694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Nephrocalcinosis</w:t>
            </w:r>
          </w:p>
        </w:tc>
        <w:tc>
          <w:tcPr>
            <w:tcW w:w="1087" w:type="dxa"/>
            <w:vAlign w:val="center"/>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39/47</w:t>
            </w:r>
          </w:p>
        </w:tc>
        <w:tc>
          <w:tcPr>
            <w:tcW w:w="1087"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1148"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44/104</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1/15</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13/23</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3/6</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14/32</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vAlign w:val="center"/>
          </w:tcPr>
          <w:p w:rsidR="00576945" w:rsidRPr="00BC0897" w:rsidRDefault="00576945" w:rsidP="005C2768">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7/22</w:t>
            </w:r>
          </w:p>
        </w:tc>
        <w:tc>
          <w:tcPr>
            <w:tcW w:w="960" w:type="dxa"/>
            <w:vAlign w:val="center"/>
          </w:tcPr>
          <w:p w:rsidR="00576945" w:rsidRPr="00BC0897" w:rsidRDefault="00473D63" w:rsidP="00576945">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14/63</w:t>
            </w:r>
          </w:p>
        </w:tc>
      </w:tr>
      <w:tr w:rsidR="00576945" w:rsidRPr="002212C2" w:rsidTr="00576945">
        <w:trPr>
          <w:trHeight w:val="300"/>
        </w:trPr>
        <w:tc>
          <w:tcPr>
            <w:tcW w:w="2760" w:type="dxa"/>
            <w:noWrap/>
            <w:vAlign w:val="center"/>
            <w:hideMark/>
          </w:tcPr>
          <w:p w:rsidR="00576945" w:rsidRPr="00BC0897" w:rsidRDefault="0057694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Renal failure</w:t>
            </w:r>
          </w:p>
        </w:tc>
        <w:tc>
          <w:tcPr>
            <w:tcW w:w="1087" w:type="dxa"/>
            <w:vAlign w:val="center"/>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5/47</w:t>
            </w:r>
          </w:p>
        </w:tc>
        <w:tc>
          <w:tcPr>
            <w:tcW w:w="1087"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17/25</w:t>
            </w:r>
          </w:p>
        </w:tc>
        <w:tc>
          <w:tcPr>
            <w:tcW w:w="1148"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8/15</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0/6</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vAlign w:val="center"/>
          </w:tcPr>
          <w:p w:rsidR="00576945" w:rsidRPr="00BC0897" w:rsidRDefault="00576945" w:rsidP="005C2768">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2/20</w:t>
            </w:r>
          </w:p>
        </w:tc>
        <w:tc>
          <w:tcPr>
            <w:tcW w:w="960" w:type="dxa"/>
            <w:vAlign w:val="center"/>
          </w:tcPr>
          <w:p w:rsidR="00576945" w:rsidRPr="00BC0897" w:rsidRDefault="00473D63" w:rsidP="00576945">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6/71</w:t>
            </w:r>
          </w:p>
        </w:tc>
      </w:tr>
      <w:tr w:rsidR="00576945" w:rsidRPr="002212C2" w:rsidTr="00576945">
        <w:trPr>
          <w:trHeight w:val="300"/>
        </w:trPr>
        <w:tc>
          <w:tcPr>
            <w:tcW w:w="2760" w:type="dxa"/>
            <w:noWrap/>
            <w:vAlign w:val="center"/>
            <w:hideMark/>
          </w:tcPr>
          <w:p w:rsidR="00576945" w:rsidRPr="00BC0897" w:rsidRDefault="0057694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Hypokalemia</w:t>
            </w:r>
          </w:p>
        </w:tc>
        <w:tc>
          <w:tcPr>
            <w:tcW w:w="1087" w:type="dxa"/>
            <w:vAlign w:val="center"/>
          </w:tcPr>
          <w:p w:rsidR="00576945" w:rsidRPr="00BC0897" w:rsidRDefault="00576945" w:rsidP="00C228AD">
            <w:pPr>
              <w:spacing w:after="0"/>
              <w:jc w:val="center"/>
              <w:rPr>
                <w:rFonts w:ascii="Times New Roman" w:hAnsi="Times New Roman" w:cs="Times New Roman"/>
                <w:sz w:val="20"/>
                <w:szCs w:val="20"/>
                <w:lang w:val="en-US"/>
              </w:rPr>
            </w:pPr>
          </w:p>
        </w:tc>
        <w:tc>
          <w:tcPr>
            <w:tcW w:w="1087"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1148"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31/70</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3/15</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1/23</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vAlign w:val="center"/>
          </w:tcPr>
          <w:p w:rsidR="00576945" w:rsidRPr="00BC0897" w:rsidRDefault="00576945" w:rsidP="005C2768">
            <w:pPr>
              <w:spacing w:after="0"/>
              <w:jc w:val="center"/>
              <w:rPr>
                <w:rFonts w:ascii="Times New Roman" w:hAnsi="Times New Roman" w:cs="Times New Roman"/>
                <w:sz w:val="20"/>
                <w:szCs w:val="20"/>
                <w:lang w:val="en-US"/>
              </w:rPr>
            </w:pPr>
          </w:p>
        </w:tc>
        <w:tc>
          <w:tcPr>
            <w:tcW w:w="960" w:type="dxa"/>
            <w:vAlign w:val="center"/>
          </w:tcPr>
          <w:p w:rsidR="00576945" w:rsidRPr="00BC0897" w:rsidRDefault="00576945" w:rsidP="00576945">
            <w:pPr>
              <w:spacing w:after="0"/>
              <w:jc w:val="center"/>
              <w:rPr>
                <w:rFonts w:ascii="Times New Roman" w:hAnsi="Times New Roman" w:cs="Times New Roman"/>
                <w:sz w:val="20"/>
                <w:szCs w:val="20"/>
                <w:lang w:val="en-US"/>
              </w:rPr>
            </w:pPr>
          </w:p>
        </w:tc>
      </w:tr>
      <w:tr w:rsidR="00576945" w:rsidRPr="002212C2" w:rsidTr="00576945">
        <w:trPr>
          <w:trHeight w:val="300"/>
        </w:trPr>
        <w:tc>
          <w:tcPr>
            <w:tcW w:w="2760" w:type="dxa"/>
            <w:noWrap/>
            <w:vAlign w:val="center"/>
            <w:hideMark/>
          </w:tcPr>
          <w:p w:rsidR="00576945" w:rsidRPr="00BC0897" w:rsidRDefault="00576945" w:rsidP="00C228AD">
            <w:pPr>
              <w:spacing w:after="0"/>
              <w:rPr>
                <w:rFonts w:ascii="Times New Roman" w:hAnsi="Times New Roman" w:cs="Times New Roman"/>
                <w:b/>
                <w:sz w:val="20"/>
                <w:szCs w:val="20"/>
                <w:lang w:val="en-US"/>
              </w:rPr>
            </w:pPr>
            <w:proofErr w:type="spellStart"/>
            <w:r w:rsidRPr="00BC0897">
              <w:rPr>
                <w:rFonts w:ascii="Times New Roman" w:hAnsi="Times New Roman" w:cs="Times New Roman"/>
                <w:b/>
                <w:sz w:val="20"/>
                <w:szCs w:val="20"/>
                <w:lang w:val="en-US"/>
              </w:rPr>
              <w:t>Fanconi</w:t>
            </w:r>
            <w:proofErr w:type="spellEnd"/>
            <w:r w:rsidRPr="00BC0897">
              <w:rPr>
                <w:rFonts w:ascii="Times New Roman" w:hAnsi="Times New Roman" w:cs="Times New Roman"/>
                <w:b/>
                <w:sz w:val="20"/>
                <w:szCs w:val="20"/>
                <w:lang w:val="en-US"/>
              </w:rPr>
              <w:t xml:space="preserve"> incomplete</w:t>
            </w:r>
          </w:p>
        </w:tc>
        <w:tc>
          <w:tcPr>
            <w:tcW w:w="1087" w:type="dxa"/>
            <w:vAlign w:val="center"/>
          </w:tcPr>
          <w:p w:rsidR="00576945" w:rsidRPr="00BC0897" w:rsidRDefault="00576945" w:rsidP="00C228AD">
            <w:pPr>
              <w:spacing w:after="0"/>
              <w:jc w:val="center"/>
              <w:rPr>
                <w:rFonts w:ascii="Times New Roman" w:hAnsi="Times New Roman" w:cs="Times New Roman"/>
                <w:sz w:val="20"/>
                <w:szCs w:val="20"/>
                <w:lang w:val="en-US"/>
              </w:rPr>
            </w:pPr>
          </w:p>
        </w:tc>
        <w:tc>
          <w:tcPr>
            <w:tcW w:w="1087"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1148"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51/70</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11/23</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vAlign w:val="center"/>
          </w:tcPr>
          <w:p w:rsidR="00576945" w:rsidRPr="00BC0897" w:rsidRDefault="00576945" w:rsidP="005C2768">
            <w:pPr>
              <w:spacing w:after="0"/>
              <w:jc w:val="center"/>
              <w:rPr>
                <w:rFonts w:ascii="Times New Roman" w:hAnsi="Times New Roman" w:cs="Times New Roman"/>
                <w:sz w:val="20"/>
                <w:szCs w:val="20"/>
                <w:lang w:val="en-US"/>
              </w:rPr>
            </w:pPr>
          </w:p>
        </w:tc>
        <w:tc>
          <w:tcPr>
            <w:tcW w:w="960" w:type="dxa"/>
            <w:vAlign w:val="center"/>
          </w:tcPr>
          <w:p w:rsidR="00576945" w:rsidRPr="00BC0897" w:rsidRDefault="00576945" w:rsidP="00576945">
            <w:pPr>
              <w:spacing w:after="0"/>
              <w:jc w:val="center"/>
              <w:rPr>
                <w:rFonts w:ascii="Times New Roman" w:hAnsi="Times New Roman" w:cs="Times New Roman"/>
                <w:sz w:val="20"/>
                <w:szCs w:val="20"/>
                <w:lang w:val="en-US"/>
              </w:rPr>
            </w:pPr>
          </w:p>
        </w:tc>
      </w:tr>
      <w:tr w:rsidR="00576945" w:rsidRPr="002212C2" w:rsidTr="00576945">
        <w:trPr>
          <w:trHeight w:val="300"/>
        </w:trPr>
        <w:tc>
          <w:tcPr>
            <w:tcW w:w="2760" w:type="dxa"/>
            <w:noWrap/>
            <w:vAlign w:val="center"/>
            <w:hideMark/>
          </w:tcPr>
          <w:p w:rsidR="00576945" w:rsidRPr="00BC0897" w:rsidRDefault="00576945" w:rsidP="00C228AD">
            <w:pPr>
              <w:spacing w:after="0"/>
              <w:rPr>
                <w:rFonts w:ascii="Times New Roman" w:hAnsi="Times New Roman" w:cs="Times New Roman"/>
                <w:b/>
                <w:sz w:val="20"/>
                <w:szCs w:val="20"/>
                <w:lang w:val="en-US"/>
              </w:rPr>
            </w:pPr>
            <w:proofErr w:type="spellStart"/>
            <w:r w:rsidRPr="00BC0897">
              <w:rPr>
                <w:rFonts w:ascii="Times New Roman" w:hAnsi="Times New Roman" w:cs="Times New Roman"/>
                <w:b/>
                <w:sz w:val="20"/>
                <w:szCs w:val="20"/>
                <w:lang w:val="en-US"/>
              </w:rPr>
              <w:t>Fanconi</w:t>
            </w:r>
            <w:proofErr w:type="spellEnd"/>
            <w:r w:rsidRPr="00BC0897">
              <w:rPr>
                <w:rFonts w:ascii="Times New Roman" w:hAnsi="Times New Roman" w:cs="Times New Roman"/>
                <w:b/>
                <w:sz w:val="20"/>
                <w:szCs w:val="20"/>
                <w:lang w:val="en-US"/>
              </w:rPr>
              <w:t xml:space="preserve"> complete</w:t>
            </w:r>
          </w:p>
        </w:tc>
        <w:tc>
          <w:tcPr>
            <w:tcW w:w="1087" w:type="dxa"/>
            <w:vAlign w:val="center"/>
          </w:tcPr>
          <w:p w:rsidR="00576945" w:rsidRPr="00BC0897" w:rsidRDefault="00576945" w:rsidP="00C228AD">
            <w:pPr>
              <w:spacing w:after="0"/>
              <w:jc w:val="center"/>
              <w:rPr>
                <w:rFonts w:ascii="Times New Roman" w:hAnsi="Times New Roman" w:cs="Times New Roman"/>
                <w:sz w:val="20"/>
                <w:szCs w:val="20"/>
                <w:lang w:val="en-US"/>
              </w:rPr>
            </w:pPr>
          </w:p>
        </w:tc>
        <w:tc>
          <w:tcPr>
            <w:tcW w:w="1087"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1148"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8/70</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0/23</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vAlign w:val="center"/>
          </w:tcPr>
          <w:p w:rsidR="00576945" w:rsidRPr="00BC0897" w:rsidRDefault="00576945" w:rsidP="005C2768">
            <w:pPr>
              <w:spacing w:after="0"/>
              <w:jc w:val="center"/>
              <w:rPr>
                <w:rFonts w:ascii="Times New Roman" w:hAnsi="Times New Roman" w:cs="Times New Roman"/>
                <w:sz w:val="20"/>
                <w:szCs w:val="20"/>
                <w:lang w:val="en-US"/>
              </w:rPr>
            </w:pPr>
          </w:p>
        </w:tc>
        <w:tc>
          <w:tcPr>
            <w:tcW w:w="960" w:type="dxa"/>
            <w:vAlign w:val="center"/>
          </w:tcPr>
          <w:p w:rsidR="00576945" w:rsidRPr="00BC0897" w:rsidRDefault="00576945" w:rsidP="00576945">
            <w:pPr>
              <w:spacing w:after="0"/>
              <w:jc w:val="center"/>
              <w:rPr>
                <w:rFonts w:ascii="Times New Roman" w:hAnsi="Times New Roman" w:cs="Times New Roman"/>
                <w:sz w:val="20"/>
                <w:szCs w:val="20"/>
                <w:lang w:val="en-US"/>
              </w:rPr>
            </w:pPr>
          </w:p>
        </w:tc>
      </w:tr>
      <w:tr w:rsidR="00576945" w:rsidRPr="002212C2" w:rsidTr="00576945">
        <w:trPr>
          <w:trHeight w:val="300"/>
        </w:trPr>
        <w:tc>
          <w:tcPr>
            <w:tcW w:w="2760" w:type="dxa"/>
            <w:noWrap/>
            <w:vAlign w:val="center"/>
            <w:hideMark/>
          </w:tcPr>
          <w:p w:rsidR="00576945" w:rsidRPr="00BC0897" w:rsidRDefault="0057694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Hyperuricosuria</w:t>
            </w:r>
          </w:p>
        </w:tc>
        <w:tc>
          <w:tcPr>
            <w:tcW w:w="1087" w:type="dxa"/>
            <w:vAlign w:val="center"/>
          </w:tcPr>
          <w:p w:rsidR="00576945" w:rsidRPr="00BC0897" w:rsidRDefault="00576945" w:rsidP="00C228AD">
            <w:pPr>
              <w:spacing w:after="0"/>
              <w:jc w:val="center"/>
              <w:rPr>
                <w:rFonts w:ascii="Times New Roman" w:hAnsi="Times New Roman" w:cs="Times New Roman"/>
                <w:sz w:val="20"/>
                <w:szCs w:val="20"/>
                <w:lang w:val="en-US"/>
              </w:rPr>
            </w:pPr>
          </w:p>
        </w:tc>
        <w:tc>
          <w:tcPr>
            <w:tcW w:w="1087"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1148"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vAlign w:val="center"/>
          </w:tcPr>
          <w:p w:rsidR="00576945" w:rsidRPr="00BC0897" w:rsidRDefault="00576945" w:rsidP="005C2768">
            <w:pPr>
              <w:spacing w:after="0"/>
              <w:jc w:val="center"/>
              <w:rPr>
                <w:rFonts w:ascii="Times New Roman" w:hAnsi="Times New Roman" w:cs="Times New Roman"/>
                <w:sz w:val="20"/>
                <w:szCs w:val="20"/>
                <w:lang w:val="en-US"/>
              </w:rPr>
            </w:pPr>
          </w:p>
        </w:tc>
        <w:tc>
          <w:tcPr>
            <w:tcW w:w="960" w:type="dxa"/>
            <w:vAlign w:val="center"/>
          </w:tcPr>
          <w:p w:rsidR="00576945" w:rsidRPr="00BC0897" w:rsidRDefault="00576945" w:rsidP="00576945">
            <w:pPr>
              <w:spacing w:after="0"/>
              <w:jc w:val="center"/>
              <w:rPr>
                <w:rFonts w:ascii="Times New Roman" w:hAnsi="Times New Roman" w:cs="Times New Roman"/>
                <w:sz w:val="20"/>
                <w:szCs w:val="20"/>
                <w:lang w:val="en-US"/>
              </w:rPr>
            </w:pPr>
          </w:p>
        </w:tc>
      </w:tr>
      <w:tr w:rsidR="00576945" w:rsidRPr="002212C2" w:rsidTr="00576945">
        <w:trPr>
          <w:trHeight w:val="300"/>
        </w:trPr>
        <w:tc>
          <w:tcPr>
            <w:tcW w:w="2760" w:type="dxa"/>
            <w:noWrap/>
            <w:vAlign w:val="center"/>
            <w:hideMark/>
          </w:tcPr>
          <w:p w:rsidR="00576945" w:rsidRPr="00BC0897" w:rsidRDefault="0057694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Hematuria</w:t>
            </w:r>
          </w:p>
        </w:tc>
        <w:tc>
          <w:tcPr>
            <w:tcW w:w="1087" w:type="dxa"/>
            <w:vAlign w:val="center"/>
          </w:tcPr>
          <w:p w:rsidR="00576945" w:rsidRPr="00BC0897" w:rsidRDefault="00576945" w:rsidP="00C228AD">
            <w:pPr>
              <w:spacing w:after="0"/>
              <w:jc w:val="center"/>
              <w:rPr>
                <w:rFonts w:ascii="Times New Roman" w:hAnsi="Times New Roman" w:cs="Times New Roman"/>
                <w:sz w:val="20"/>
                <w:szCs w:val="20"/>
                <w:lang w:val="en-US"/>
              </w:rPr>
            </w:pPr>
          </w:p>
        </w:tc>
        <w:tc>
          <w:tcPr>
            <w:tcW w:w="1087"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1148"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6/15</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1/6</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1/2</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vAlign w:val="center"/>
          </w:tcPr>
          <w:p w:rsidR="00576945" w:rsidRPr="00BC0897" w:rsidRDefault="00576945" w:rsidP="005C2768">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7/24</w:t>
            </w:r>
          </w:p>
        </w:tc>
        <w:tc>
          <w:tcPr>
            <w:tcW w:w="960" w:type="dxa"/>
            <w:vAlign w:val="center"/>
          </w:tcPr>
          <w:p w:rsidR="00576945" w:rsidRPr="00BC0897" w:rsidRDefault="00576945" w:rsidP="00576945">
            <w:pPr>
              <w:spacing w:after="0"/>
              <w:jc w:val="center"/>
              <w:rPr>
                <w:rFonts w:ascii="Times New Roman" w:hAnsi="Times New Roman" w:cs="Times New Roman"/>
                <w:sz w:val="20"/>
                <w:szCs w:val="20"/>
                <w:lang w:val="en-US"/>
              </w:rPr>
            </w:pPr>
          </w:p>
        </w:tc>
      </w:tr>
      <w:tr w:rsidR="00576945" w:rsidRPr="002212C2" w:rsidTr="00576945">
        <w:trPr>
          <w:trHeight w:val="300"/>
        </w:trPr>
        <w:tc>
          <w:tcPr>
            <w:tcW w:w="2760" w:type="dxa"/>
            <w:noWrap/>
            <w:vAlign w:val="center"/>
            <w:hideMark/>
          </w:tcPr>
          <w:p w:rsidR="00576945" w:rsidRPr="00BC0897" w:rsidRDefault="0057694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Hypophosphatemia</w:t>
            </w:r>
          </w:p>
        </w:tc>
        <w:tc>
          <w:tcPr>
            <w:tcW w:w="1087" w:type="dxa"/>
            <w:vAlign w:val="center"/>
          </w:tcPr>
          <w:p w:rsidR="00576945" w:rsidRPr="00BC0897" w:rsidRDefault="00576945" w:rsidP="00C228AD">
            <w:pPr>
              <w:spacing w:after="0"/>
              <w:jc w:val="center"/>
              <w:rPr>
                <w:rFonts w:ascii="Times New Roman" w:hAnsi="Times New Roman" w:cs="Times New Roman"/>
                <w:sz w:val="20"/>
                <w:szCs w:val="20"/>
                <w:lang w:val="en-US"/>
              </w:rPr>
            </w:pPr>
          </w:p>
        </w:tc>
        <w:tc>
          <w:tcPr>
            <w:tcW w:w="1087"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1148"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5/15</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9/23</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vAlign w:val="center"/>
          </w:tcPr>
          <w:p w:rsidR="00576945" w:rsidRPr="00BC0897" w:rsidRDefault="00576945" w:rsidP="005C2768">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4/24</w:t>
            </w:r>
          </w:p>
        </w:tc>
        <w:tc>
          <w:tcPr>
            <w:tcW w:w="960" w:type="dxa"/>
            <w:vAlign w:val="center"/>
          </w:tcPr>
          <w:p w:rsidR="00576945" w:rsidRPr="00BC0897" w:rsidRDefault="00576945" w:rsidP="00576945">
            <w:pPr>
              <w:spacing w:after="0"/>
              <w:jc w:val="center"/>
              <w:rPr>
                <w:rFonts w:ascii="Times New Roman" w:hAnsi="Times New Roman" w:cs="Times New Roman"/>
                <w:sz w:val="20"/>
                <w:szCs w:val="20"/>
                <w:lang w:val="en-US"/>
              </w:rPr>
            </w:pPr>
          </w:p>
        </w:tc>
      </w:tr>
      <w:tr w:rsidR="00576945" w:rsidRPr="002212C2" w:rsidTr="00576945">
        <w:trPr>
          <w:trHeight w:val="300"/>
        </w:trPr>
        <w:tc>
          <w:tcPr>
            <w:tcW w:w="2760" w:type="dxa"/>
            <w:noWrap/>
            <w:vAlign w:val="center"/>
            <w:hideMark/>
          </w:tcPr>
          <w:p w:rsidR="00576945" w:rsidRPr="00BC0897" w:rsidRDefault="0057694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Hypocalcemia</w:t>
            </w:r>
          </w:p>
        </w:tc>
        <w:tc>
          <w:tcPr>
            <w:tcW w:w="1087" w:type="dxa"/>
            <w:vAlign w:val="center"/>
          </w:tcPr>
          <w:p w:rsidR="00576945" w:rsidRPr="00BC0897" w:rsidRDefault="00576945" w:rsidP="00C228AD">
            <w:pPr>
              <w:spacing w:after="0"/>
              <w:jc w:val="center"/>
              <w:rPr>
                <w:rFonts w:ascii="Times New Roman" w:hAnsi="Times New Roman" w:cs="Times New Roman"/>
                <w:sz w:val="20"/>
                <w:szCs w:val="20"/>
                <w:lang w:val="en-US"/>
              </w:rPr>
            </w:pPr>
          </w:p>
        </w:tc>
        <w:tc>
          <w:tcPr>
            <w:tcW w:w="1087"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1148"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3/15</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vAlign w:val="center"/>
          </w:tcPr>
          <w:p w:rsidR="00576945" w:rsidRPr="00BC0897" w:rsidRDefault="00576945" w:rsidP="005C2768">
            <w:pPr>
              <w:spacing w:after="0"/>
              <w:jc w:val="center"/>
              <w:rPr>
                <w:rFonts w:ascii="Times New Roman" w:hAnsi="Times New Roman" w:cs="Times New Roman"/>
                <w:sz w:val="20"/>
                <w:szCs w:val="20"/>
                <w:lang w:val="en-US"/>
              </w:rPr>
            </w:pPr>
          </w:p>
        </w:tc>
        <w:tc>
          <w:tcPr>
            <w:tcW w:w="960" w:type="dxa"/>
            <w:vAlign w:val="center"/>
          </w:tcPr>
          <w:p w:rsidR="00576945" w:rsidRPr="00BC0897" w:rsidRDefault="00576945" w:rsidP="00576945">
            <w:pPr>
              <w:spacing w:after="0"/>
              <w:jc w:val="center"/>
              <w:rPr>
                <w:rFonts w:ascii="Times New Roman" w:hAnsi="Times New Roman" w:cs="Times New Roman"/>
                <w:sz w:val="20"/>
                <w:szCs w:val="20"/>
                <w:lang w:val="en-US"/>
              </w:rPr>
            </w:pPr>
          </w:p>
        </w:tc>
      </w:tr>
      <w:tr w:rsidR="00576945" w:rsidRPr="002212C2" w:rsidTr="00576945">
        <w:trPr>
          <w:trHeight w:val="300"/>
        </w:trPr>
        <w:tc>
          <w:tcPr>
            <w:tcW w:w="2760" w:type="dxa"/>
            <w:noWrap/>
            <w:vAlign w:val="center"/>
            <w:hideMark/>
          </w:tcPr>
          <w:p w:rsidR="00576945" w:rsidRPr="00BC0897" w:rsidRDefault="0057694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Hypomagnesemia</w:t>
            </w:r>
          </w:p>
        </w:tc>
        <w:tc>
          <w:tcPr>
            <w:tcW w:w="1087" w:type="dxa"/>
            <w:vAlign w:val="center"/>
          </w:tcPr>
          <w:p w:rsidR="00576945" w:rsidRPr="00BC0897" w:rsidRDefault="00576945" w:rsidP="00C228AD">
            <w:pPr>
              <w:spacing w:after="0"/>
              <w:jc w:val="center"/>
              <w:rPr>
                <w:rFonts w:ascii="Times New Roman" w:hAnsi="Times New Roman" w:cs="Times New Roman"/>
                <w:sz w:val="20"/>
                <w:szCs w:val="20"/>
                <w:lang w:val="en-US"/>
              </w:rPr>
            </w:pPr>
          </w:p>
        </w:tc>
        <w:tc>
          <w:tcPr>
            <w:tcW w:w="1087"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1148"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5/14</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vAlign w:val="center"/>
          </w:tcPr>
          <w:p w:rsidR="00576945" w:rsidRPr="00BC0897" w:rsidRDefault="00576945" w:rsidP="005C2768">
            <w:pPr>
              <w:spacing w:after="0"/>
              <w:jc w:val="center"/>
              <w:rPr>
                <w:rFonts w:ascii="Times New Roman" w:hAnsi="Times New Roman" w:cs="Times New Roman"/>
                <w:sz w:val="20"/>
                <w:szCs w:val="20"/>
                <w:lang w:val="en-US"/>
              </w:rPr>
            </w:pPr>
          </w:p>
        </w:tc>
        <w:tc>
          <w:tcPr>
            <w:tcW w:w="960" w:type="dxa"/>
            <w:vAlign w:val="center"/>
          </w:tcPr>
          <w:p w:rsidR="00576945" w:rsidRPr="00BC0897" w:rsidRDefault="00576945" w:rsidP="00576945">
            <w:pPr>
              <w:spacing w:after="0"/>
              <w:jc w:val="center"/>
              <w:rPr>
                <w:rFonts w:ascii="Times New Roman" w:hAnsi="Times New Roman" w:cs="Times New Roman"/>
                <w:sz w:val="20"/>
                <w:szCs w:val="20"/>
                <w:lang w:val="en-US"/>
              </w:rPr>
            </w:pPr>
          </w:p>
        </w:tc>
      </w:tr>
      <w:tr w:rsidR="00576945" w:rsidRPr="002212C2" w:rsidTr="00576945">
        <w:trPr>
          <w:trHeight w:val="300"/>
        </w:trPr>
        <w:tc>
          <w:tcPr>
            <w:tcW w:w="2760" w:type="dxa"/>
            <w:noWrap/>
            <w:vAlign w:val="center"/>
            <w:hideMark/>
          </w:tcPr>
          <w:p w:rsidR="00576945" w:rsidRPr="00BC0897" w:rsidRDefault="0057694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Failure to thrive</w:t>
            </w:r>
          </w:p>
        </w:tc>
        <w:tc>
          <w:tcPr>
            <w:tcW w:w="1087" w:type="dxa"/>
            <w:vAlign w:val="center"/>
          </w:tcPr>
          <w:p w:rsidR="00576945" w:rsidRPr="00BC0897" w:rsidRDefault="00576945" w:rsidP="00C228AD">
            <w:pPr>
              <w:spacing w:after="0"/>
              <w:jc w:val="center"/>
              <w:rPr>
                <w:rFonts w:ascii="Times New Roman" w:hAnsi="Times New Roman" w:cs="Times New Roman"/>
                <w:sz w:val="20"/>
                <w:szCs w:val="20"/>
                <w:lang w:val="en-US"/>
              </w:rPr>
            </w:pPr>
          </w:p>
        </w:tc>
        <w:tc>
          <w:tcPr>
            <w:tcW w:w="1087"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1148"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12/40</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5/15</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5/22</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1/6</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vAlign w:val="center"/>
          </w:tcPr>
          <w:p w:rsidR="00576945" w:rsidRPr="00BC0897" w:rsidRDefault="00576945" w:rsidP="005C2768">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4/23</w:t>
            </w:r>
          </w:p>
        </w:tc>
        <w:tc>
          <w:tcPr>
            <w:tcW w:w="960" w:type="dxa"/>
            <w:vAlign w:val="center"/>
          </w:tcPr>
          <w:p w:rsidR="00576945" w:rsidRPr="00BC0897" w:rsidRDefault="00576945" w:rsidP="00576945">
            <w:pPr>
              <w:spacing w:after="0"/>
              <w:jc w:val="center"/>
              <w:rPr>
                <w:rFonts w:ascii="Times New Roman" w:hAnsi="Times New Roman" w:cs="Times New Roman"/>
                <w:sz w:val="20"/>
                <w:szCs w:val="20"/>
                <w:lang w:val="en-US"/>
              </w:rPr>
            </w:pPr>
          </w:p>
        </w:tc>
      </w:tr>
      <w:tr w:rsidR="00576945" w:rsidRPr="002212C2" w:rsidTr="00576945">
        <w:trPr>
          <w:trHeight w:val="300"/>
        </w:trPr>
        <w:tc>
          <w:tcPr>
            <w:tcW w:w="2760" w:type="dxa"/>
            <w:noWrap/>
            <w:vAlign w:val="center"/>
            <w:hideMark/>
          </w:tcPr>
          <w:p w:rsidR="00576945" w:rsidRPr="00BC0897" w:rsidRDefault="00345414"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Nephrolithiasis</w:t>
            </w:r>
          </w:p>
        </w:tc>
        <w:tc>
          <w:tcPr>
            <w:tcW w:w="1087" w:type="dxa"/>
            <w:vAlign w:val="center"/>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14/47</w:t>
            </w:r>
          </w:p>
        </w:tc>
        <w:tc>
          <w:tcPr>
            <w:tcW w:w="1087"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3/24</w:t>
            </w:r>
          </w:p>
        </w:tc>
        <w:tc>
          <w:tcPr>
            <w:tcW w:w="1148"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24/74</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0/15</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3/23</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0/6</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3/32</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vAlign w:val="center"/>
          </w:tcPr>
          <w:p w:rsidR="00576945" w:rsidRPr="00BC0897" w:rsidRDefault="00576945" w:rsidP="005C2768">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0/22</w:t>
            </w:r>
          </w:p>
        </w:tc>
        <w:tc>
          <w:tcPr>
            <w:tcW w:w="960" w:type="dxa"/>
            <w:vAlign w:val="center"/>
          </w:tcPr>
          <w:p w:rsidR="00576945" w:rsidRPr="00BC0897" w:rsidRDefault="00576945" w:rsidP="00576945">
            <w:pPr>
              <w:spacing w:after="0"/>
              <w:jc w:val="center"/>
              <w:rPr>
                <w:rFonts w:ascii="Times New Roman" w:hAnsi="Times New Roman" w:cs="Times New Roman"/>
                <w:sz w:val="20"/>
                <w:szCs w:val="20"/>
                <w:lang w:val="en-US"/>
              </w:rPr>
            </w:pPr>
          </w:p>
        </w:tc>
      </w:tr>
      <w:tr w:rsidR="00576945" w:rsidRPr="002212C2" w:rsidTr="00576945">
        <w:trPr>
          <w:trHeight w:val="300"/>
        </w:trPr>
        <w:tc>
          <w:tcPr>
            <w:tcW w:w="2760" w:type="dxa"/>
            <w:noWrap/>
            <w:vAlign w:val="center"/>
            <w:hideMark/>
          </w:tcPr>
          <w:p w:rsidR="00576945" w:rsidRPr="00BC0897" w:rsidRDefault="0057694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Hyponatremia</w:t>
            </w:r>
          </w:p>
        </w:tc>
        <w:tc>
          <w:tcPr>
            <w:tcW w:w="1087" w:type="dxa"/>
            <w:vAlign w:val="center"/>
          </w:tcPr>
          <w:p w:rsidR="00576945" w:rsidRPr="00BC0897" w:rsidRDefault="00576945" w:rsidP="00C228AD">
            <w:pPr>
              <w:spacing w:after="0"/>
              <w:jc w:val="center"/>
              <w:rPr>
                <w:rFonts w:ascii="Times New Roman" w:hAnsi="Times New Roman" w:cs="Times New Roman"/>
                <w:sz w:val="20"/>
                <w:szCs w:val="20"/>
                <w:lang w:val="en-US"/>
              </w:rPr>
            </w:pPr>
          </w:p>
        </w:tc>
        <w:tc>
          <w:tcPr>
            <w:tcW w:w="1087"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1148"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3/15</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vAlign w:val="center"/>
          </w:tcPr>
          <w:p w:rsidR="00576945" w:rsidRPr="00BC0897" w:rsidRDefault="00576945" w:rsidP="005C2768">
            <w:pPr>
              <w:spacing w:after="0"/>
              <w:jc w:val="center"/>
              <w:rPr>
                <w:rFonts w:ascii="Times New Roman" w:hAnsi="Times New Roman" w:cs="Times New Roman"/>
                <w:sz w:val="20"/>
                <w:szCs w:val="20"/>
                <w:lang w:val="en-US"/>
              </w:rPr>
            </w:pPr>
          </w:p>
        </w:tc>
        <w:tc>
          <w:tcPr>
            <w:tcW w:w="960" w:type="dxa"/>
            <w:vAlign w:val="center"/>
          </w:tcPr>
          <w:p w:rsidR="00576945" w:rsidRPr="00BC0897" w:rsidRDefault="00576945" w:rsidP="00576945">
            <w:pPr>
              <w:spacing w:after="0"/>
              <w:jc w:val="center"/>
              <w:rPr>
                <w:rFonts w:ascii="Times New Roman" w:hAnsi="Times New Roman" w:cs="Times New Roman"/>
                <w:sz w:val="20"/>
                <w:szCs w:val="20"/>
                <w:lang w:val="en-US"/>
              </w:rPr>
            </w:pPr>
          </w:p>
        </w:tc>
      </w:tr>
      <w:tr w:rsidR="00576945" w:rsidRPr="002212C2" w:rsidTr="00576945">
        <w:trPr>
          <w:trHeight w:val="300"/>
        </w:trPr>
        <w:tc>
          <w:tcPr>
            <w:tcW w:w="2760" w:type="dxa"/>
            <w:noWrap/>
            <w:vAlign w:val="center"/>
            <w:hideMark/>
          </w:tcPr>
          <w:p w:rsidR="00576945" w:rsidRPr="00BC0897" w:rsidRDefault="00576945" w:rsidP="00C228AD">
            <w:pPr>
              <w:spacing w:after="0"/>
              <w:rPr>
                <w:rFonts w:ascii="Times New Roman" w:hAnsi="Times New Roman" w:cs="Times New Roman"/>
                <w:b/>
                <w:sz w:val="20"/>
                <w:szCs w:val="20"/>
                <w:lang w:val="en-US"/>
              </w:rPr>
            </w:pPr>
            <w:proofErr w:type="spellStart"/>
            <w:r w:rsidRPr="00BC0897">
              <w:rPr>
                <w:rFonts w:ascii="Times New Roman" w:hAnsi="Times New Roman" w:cs="Times New Roman"/>
                <w:b/>
                <w:sz w:val="20"/>
                <w:szCs w:val="20"/>
                <w:lang w:val="en-US"/>
              </w:rPr>
              <w:t>Hypochloremia</w:t>
            </w:r>
            <w:proofErr w:type="spellEnd"/>
          </w:p>
        </w:tc>
        <w:tc>
          <w:tcPr>
            <w:tcW w:w="1087" w:type="dxa"/>
            <w:vAlign w:val="center"/>
          </w:tcPr>
          <w:p w:rsidR="00576945" w:rsidRPr="00BC0897" w:rsidRDefault="00576945" w:rsidP="00C228AD">
            <w:pPr>
              <w:spacing w:after="0"/>
              <w:jc w:val="center"/>
              <w:rPr>
                <w:rFonts w:ascii="Times New Roman" w:hAnsi="Times New Roman" w:cs="Times New Roman"/>
                <w:sz w:val="20"/>
                <w:szCs w:val="20"/>
                <w:lang w:val="en-US"/>
              </w:rPr>
            </w:pPr>
          </w:p>
        </w:tc>
        <w:tc>
          <w:tcPr>
            <w:tcW w:w="1087"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1148"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3/15</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vAlign w:val="center"/>
          </w:tcPr>
          <w:p w:rsidR="00576945" w:rsidRPr="00BC0897" w:rsidRDefault="00576945" w:rsidP="005C2768">
            <w:pPr>
              <w:spacing w:after="0"/>
              <w:jc w:val="center"/>
              <w:rPr>
                <w:rFonts w:ascii="Times New Roman" w:hAnsi="Times New Roman" w:cs="Times New Roman"/>
                <w:sz w:val="20"/>
                <w:szCs w:val="20"/>
                <w:lang w:val="en-US"/>
              </w:rPr>
            </w:pPr>
          </w:p>
        </w:tc>
        <w:tc>
          <w:tcPr>
            <w:tcW w:w="960" w:type="dxa"/>
            <w:vAlign w:val="center"/>
          </w:tcPr>
          <w:p w:rsidR="00576945" w:rsidRPr="00BC0897" w:rsidRDefault="00576945" w:rsidP="00576945">
            <w:pPr>
              <w:spacing w:after="0"/>
              <w:jc w:val="center"/>
              <w:rPr>
                <w:rFonts w:ascii="Times New Roman" w:hAnsi="Times New Roman" w:cs="Times New Roman"/>
                <w:sz w:val="20"/>
                <w:szCs w:val="20"/>
                <w:lang w:val="en-US"/>
              </w:rPr>
            </w:pPr>
          </w:p>
        </w:tc>
      </w:tr>
      <w:tr w:rsidR="00576945" w:rsidRPr="002212C2" w:rsidTr="00576945">
        <w:trPr>
          <w:trHeight w:val="300"/>
        </w:trPr>
        <w:tc>
          <w:tcPr>
            <w:tcW w:w="2760" w:type="dxa"/>
            <w:noWrap/>
            <w:vAlign w:val="center"/>
            <w:hideMark/>
          </w:tcPr>
          <w:p w:rsidR="00576945" w:rsidRPr="00BC0897" w:rsidRDefault="0057694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Hypouricemia</w:t>
            </w:r>
          </w:p>
        </w:tc>
        <w:tc>
          <w:tcPr>
            <w:tcW w:w="1087" w:type="dxa"/>
            <w:vAlign w:val="center"/>
          </w:tcPr>
          <w:p w:rsidR="00576945" w:rsidRPr="00BC0897" w:rsidRDefault="00576945" w:rsidP="00C228AD">
            <w:pPr>
              <w:spacing w:after="0"/>
              <w:jc w:val="center"/>
              <w:rPr>
                <w:rFonts w:ascii="Times New Roman" w:hAnsi="Times New Roman" w:cs="Times New Roman"/>
                <w:sz w:val="20"/>
                <w:szCs w:val="20"/>
                <w:lang w:val="en-US"/>
              </w:rPr>
            </w:pPr>
          </w:p>
        </w:tc>
        <w:tc>
          <w:tcPr>
            <w:tcW w:w="1087"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1148"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19/30</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5/21</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vAlign w:val="center"/>
          </w:tcPr>
          <w:p w:rsidR="00576945" w:rsidRPr="00BC0897" w:rsidRDefault="00576945" w:rsidP="005C2768">
            <w:pPr>
              <w:spacing w:after="0"/>
              <w:jc w:val="center"/>
              <w:rPr>
                <w:rFonts w:ascii="Times New Roman" w:hAnsi="Times New Roman" w:cs="Times New Roman"/>
                <w:sz w:val="20"/>
                <w:szCs w:val="20"/>
                <w:lang w:val="en-US"/>
              </w:rPr>
            </w:pPr>
          </w:p>
        </w:tc>
        <w:tc>
          <w:tcPr>
            <w:tcW w:w="960" w:type="dxa"/>
            <w:vAlign w:val="center"/>
          </w:tcPr>
          <w:p w:rsidR="00576945" w:rsidRPr="00BC0897" w:rsidRDefault="00576945" w:rsidP="00576945">
            <w:pPr>
              <w:spacing w:after="0"/>
              <w:jc w:val="center"/>
              <w:rPr>
                <w:rFonts w:ascii="Times New Roman" w:hAnsi="Times New Roman" w:cs="Times New Roman"/>
                <w:sz w:val="20"/>
                <w:szCs w:val="20"/>
                <w:lang w:val="en-US"/>
              </w:rPr>
            </w:pPr>
          </w:p>
        </w:tc>
      </w:tr>
      <w:tr w:rsidR="00576945" w:rsidRPr="002212C2" w:rsidTr="00576945">
        <w:trPr>
          <w:trHeight w:val="300"/>
        </w:trPr>
        <w:tc>
          <w:tcPr>
            <w:tcW w:w="2760" w:type="dxa"/>
            <w:noWrap/>
            <w:vAlign w:val="center"/>
            <w:hideMark/>
          </w:tcPr>
          <w:p w:rsidR="00576945" w:rsidRPr="00BC0897" w:rsidRDefault="0057694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 xml:space="preserve">Metabolic </w:t>
            </w:r>
            <w:r w:rsidR="00345414" w:rsidRPr="00BC0897">
              <w:rPr>
                <w:rFonts w:ascii="Times New Roman" w:hAnsi="Times New Roman" w:cs="Times New Roman"/>
                <w:b/>
                <w:sz w:val="20"/>
                <w:szCs w:val="20"/>
                <w:lang w:val="en-US"/>
              </w:rPr>
              <w:t>alkalosis</w:t>
            </w:r>
          </w:p>
        </w:tc>
        <w:tc>
          <w:tcPr>
            <w:tcW w:w="1087" w:type="dxa"/>
            <w:vAlign w:val="center"/>
          </w:tcPr>
          <w:p w:rsidR="00576945" w:rsidRPr="00BC0897" w:rsidRDefault="00576945" w:rsidP="00C228AD">
            <w:pPr>
              <w:spacing w:after="0"/>
              <w:jc w:val="center"/>
              <w:rPr>
                <w:rFonts w:ascii="Times New Roman" w:hAnsi="Times New Roman" w:cs="Times New Roman"/>
                <w:sz w:val="20"/>
                <w:szCs w:val="20"/>
                <w:lang w:val="en-US"/>
              </w:rPr>
            </w:pPr>
          </w:p>
        </w:tc>
        <w:tc>
          <w:tcPr>
            <w:tcW w:w="1087"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1148"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3/15</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vAlign w:val="center"/>
          </w:tcPr>
          <w:p w:rsidR="00576945" w:rsidRPr="00BC0897" w:rsidRDefault="00576945" w:rsidP="005C2768">
            <w:pPr>
              <w:spacing w:after="0"/>
              <w:jc w:val="center"/>
              <w:rPr>
                <w:rFonts w:ascii="Times New Roman" w:hAnsi="Times New Roman" w:cs="Times New Roman"/>
                <w:sz w:val="20"/>
                <w:szCs w:val="20"/>
                <w:lang w:val="en-US"/>
              </w:rPr>
            </w:pPr>
          </w:p>
        </w:tc>
        <w:tc>
          <w:tcPr>
            <w:tcW w:w="960" w:type="dxa"/>
            <w:vAlign w:val="center"/>
          </w:tcPr>
          <w:p w:rsidR="00576945" w:rsidRPr="00BC0897" w:rsidRDefault="00576945" w:rsidP="00576945">
            <w:pPr>
              <w:spacing w:after="0"/>
              <w:jc w:val="center"/>
              <w:rPr>
                <w:rFonts w:ascii="Times New Roman" w:hAnsi="Times New Roman" w:cs="Times New Roman"/>
                <w:sz w:val="20"/>
                <w:szCs w:val="20"/>
                <w:lang w:val="en-US"/>
              </w:rPr>
            </w:pPr>
          </w:p>
        </w:tc>
      </w:tr>
      <w:tr w:rsidR="00576945" w:rsidRPr="002212C2" w:rsidTr="00576945">
        <w:trPr>
          <w:trHeight w:val="300"/>
        </w:trPr>
        <w:tc>
          <w:tcPr>
            <w:tcW w:w="2760" w:type="dxa"/>
            <w:noWrap/>
            <w:vAlign w:val="center"/>
            <w:hideMark/>
          </w:tcPr>
          <w:p w:rsidR="00576945" w:rsidRPr="00BC0897" w:rsidRDefault="0057694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lastRenderedPageBreak/>
              <w:t>Metabolic acidosis</w:t>
            </w:r>
          </w:p>
        </w:tc>
        <w:tc>
          <w:tcPr>
            <w:tcW w:w="1087" w:type="dxa"/>
            <w:vAlign w:val="center"/>
          </w:tcPr>
          <w:p w:rsidR="00576945" w:rsidRPr="00BC0897" w:rsidRDefault="00576945" w:rsidP="00C228AD">
            <w:pPr>
              <w:spacing w:after="0"/>
              <w:jc w:val="center"/>
              <w:rPr>
                <w:rFonts w:ascii="Times New Roman" w:hAnsi="Times New Roman" w:cs="Times New Roman"/>
                <w:sz w:val="20"/>
                <w:szCs w:val="20"/>
                <w:lang w:val="en-US"/>
              </w:rPr>
            </w:pPr>
          </w:p>
        </w:tc>
        <w:tc>
          <w:tcPr>
            <w:tcW w:w="1087"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1148"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9/54</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1/15</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4/22</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vAlign w:val="center"/>
          </w:tcPr>
          <w:p w:rsidR="00576945" w:rsidRPr="00BC0897" w:rsidRDefault="00576945" w:rsidP="005C2768">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0/24</w:t>
            </w:r>
          </w:p>
        </w:tc>
        <w:tc>
          <w:tcPr>
            <w:tcW w:w="960" w:type="dxa"/>
            <w:vAlign w:val="center"/>
          </w:tcPr>
          <w:p w:rsidR="00576945" w:rsidRPr="00BC0897" w:rsidRDefault="00473D63" w:rsidP="00576945">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0/65</w:t>
            </w:r>
          </w:p>
        </w:tc>
      </w:tr>
      <w:tr w:rsidR="00576945" w:rsidRPr="002212C2" w:rsidTr="00576945">
        <w:trPr>
          <w:trHeight w:val="300"/>
        </w:trPr>
        <w:tc>
          <w:tcPr>
            <w:tcW w:w="2760" w:type="dxa"/>
            <w:noWrap/>
            <w:vAlign w:val="center"/>
            <w:hideMark/>
          </w:tcPr>
          <w:p w:rsidR="00576945" w:rsidRPr="00BC0897" w:rsidRDefault="0057694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Bone disorders</w:t>
            </w:r>
          </w:p>
        </w:tc>
        <w:tc>
          <w:tcPr>
            <w:tcW w:w="1087" w:type="dxa"/>
            <w:vAlign w:val="center"/>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17/47</w:t>
            </w:r>
          </w:p>
        </w:tc>
        <w:tc>
          <w:tcPr>
            <w:tcW w:w="1087"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3/19</w:t>
            </w:r>
          </w:p>
        </w:tc>
        <w:tc>
          <w:tcPr>
            <w:tcW w:w="1148"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14/75</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2/23</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0/6</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3/32</w:t>
            </w: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vAlign w:val="center"/>
          </w:tcPr>
          <w:p w:rsidR="00576945" w:rsidRPr="00BC0897" w:rsidRDefault="00576945" w:rsidP="005C2768">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4/20</w:t>
            </w:r>
          </w:p>
        </w:tc>
        <w:tc>
          <w:tcPr>
            <w:tcW w:w="960" w:type="dxa"/>
            <w:vAlign w:val="center"/>
          </w:tcPr>
          <w:p w:rsidR="00576945" w:rsidRPr="00BC0897" w:rsidRDefault="00576945" w:rsidP="00576945">
            <w:pPr>
              <w:spacing w:after="0"/>
              <w:jc w:val="center"/>
              <w:rPr>
                <w:rFonts w:ascii="Times New Roman" w:hAnsi="Times New Roman" w:cs="Times New Roman"/>
                <w:sz w:val="20"/>
                <w:szCs w:val="20"/>
                <w:lang w:val="en-US"/>
              </w:rPr>
            </w:pPr>
          </w:p>
        </w:tc>
      </w:tr>
      <w:tr w:rsidR="00576945" w:rsidRPr="002212C2" w:rsidTr="00576945">
        <w:trPr>
          <w:trHeight w:val="300"/>
        </w:trPr>
        <w:tc>
          <w:tcPr>
            <w:tcW w:w="2760" w:type="dxa"/>
            <w:noWrap/>
            <w:vAlign w:val="center"/>
            <w:hideMark/>
          </w:tcPr>
          <w:p w:rsidR="00576945" w:rsidRPr="00BC0897" w:rsidRDefault="0057694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Hypertension</w:t>
            </w:r>
          </w:p>
        </w:tc>
        <w:tc>
          <w:tcPr>
            <w:tcW w:w="1087" w:type="dxa"/>
            <w:vAlign w:val="center"/>
          </w:tcPr>
          <w:p w:rsidR="00576945" w:rsidRPr="00BC0897" w:rsidRDefault="00576945" w:rsidP="00C228AD">
            <w:pPr>
              <w:spacing w:after="0"/>
              <w:jc w:val="center"/>
              <w:rPr>
                <w:rFonts w:ascii="Times New Roman" w:hAnsi="Times New Roman" w:cs="Times New Roman"/>
                <w:sz w:val="20"/>
                <w:szCs w:val="20"/>
                <w:lang w:val="en-US"/>
              </w:rPr>
            </w:pPr>
          </w:p>
        </w:tc>
        <w:tc>
          <w:tcPr>
            <w:tcW w:w="1087"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1148"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noWrap/>
            <w:vAlign w:val="center"/>
            <w:hideMark/>
          </w:tcPr>
          <w:p w:rsidR="00576945" w:rsidRPr="00BC0897" w:rsidRDefault="00576945" w:rsidP="00C228AD">
            <w:pPr>
              <w:spacing w:after="0"/>
              <w:jc w:val="center"/>
              <w:rPr>
                <w:rFonts w:ascii="Times New Roman" w:hAnsi="Times New Roman" w:cs="Times New Roman"/>
                <w:sz w:val="20"/>
                <w:szCs w:val="20"/>
                <w:lang w:val="en-US"/>
              </w:rPr>
            </w:pPr>
          </w:p>
        </w:tc>
        <w:tc>
          <w:tcPr>
            <w:tcW w:w="960" w:type="dxa"/>
            <w:vAlign w:val="center"/>
          </w:tcPr>
          <w:p w:rsidR="00576945" w:rsidRPr="00BC0897" w:rsidRDefault="00576945" w:rsidP="005C2768">
            <w:pPr>
              <w:spacing w:after="0"/>
              <w:jc w:val="center"/>
              <w:rPr>
                <w:rFonts w:ascii="Times New Roman" w:hAnsi="Times New Roman" w:cs="Times New Roman"/>
                <w:sz w:val="20"/>
                <w:szCs w:val="20"/>
                <w:lang w:val="en-US"/>
              </w:rPr>
            </w:pPr>
          </w:p>
        </w:tc>
        <w:tc>
          <w:tcPr>
            <w:tcW w:w="960" w:type="dxa"/>
            <w:vAlign w:val="center"/>
          </w:tcPr>
          <w:p w:rsidR="00576945" w:rsidRPr="00BC0897" w:rsidRDefault="00576945" w:rsidP="00576945">
            <w:pPr>
              <w:spacing w:after="0"/>
              <w:jc w:val="center"/>
              <w:rPr>
                <w:rFonts w:ascii="Times New Roman" w:hAnsi="Times New Roman" w:cs="Times New Roman"/>
                <w:sz w:val="20"/>
                <w:szCs w:val="20"/>
                <w:lang w:val="en-US"/>
              </w:rPr>
            </w:pPr>
          </w:p>
        </w:tc>
      </w:tr>
      <w:tr w:rsidR="00576945" w:rsidRPr="002212C2" w:rsidTr="00576945">
        <w:trPr>
          <w:trHeight w:val="300"/>
        </w:trPr>
        <w:tc>
          <w:tcPr>
            <w:tcW w:w="2760" w:type="dxa"/>
            <w:noWrap/>
            <w:vAlign w:val="center"/>
          </w:tcPr>
          <w:p w:rsidR="00576945" w:rsidRPr="00BC0897" w:rsidRDefault="00284980" w:rsidP="00342726">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Intellectual disability</w:t>
            </w:r>
          </w:p>
        </w:tc>
        <w:tc>
          <w:tcPr>
            <w:tcW w:w="1087" w:type="dxa"/>
            <w:vAlign w:val="center"/>
          </w:tcPr>
          <w:p w:rsidR="00576945" w:rsidRPr="00BC0897" w:rsidRDefault="00576945" w:rsidP="00342726">
            <w:pPr>
              <w:spacing w:after="0"/>
              <w:jc w:val="center"/>
              <w:rPr>
                <w:rFonts w:ascii="Times New Roman" w:hAnsi="Times New Roman" w:cs="Times New Roman"/>
                <w:sz w:val="20"/>
                <w:szCs w:val="20"/>
                <w:lang w:val="en-US"/>
              </w:rPr>
            </w:pPr>
          </w:p>
        </w:tc>
        <w:tc>
          <w:tcPr>
            <w:tcW w:w="1087" w:type="dxa"/>
            <w:noWrap/>
            <w:vAlign w:val="center"/>
          </w:tcPr>
          <w:p w:rsidR="00576945" w:rsidRPr="00BC0897" w:rsidRDefault="00576945" w:rsidP="00342726">
            <w:pPr>
              <w:spacing w:after="0"/>
              <w:jc w:val="center"/>
              <w:rPr>
                <w:rFonts w:ascii="Times New Roman" w:hAnsi="Times New Roman" w:cs="Times New Roman"/>
                <w:sz w:val="20"/>
                <w:szCs w:val="20"/>
                <w:lang w:val="en-US"/>
              </w:rPr>
            </w:pPr>
          </w:p>
        </w:tc>
        <w:tc>
          <w:tcPr>
            <w:tcW w:w="1148" w:type="dxa"/>
            <w:noWrap/>
            <w:vAlign w:val="center"/>
          </w:tcPr>
          <w:p w:rsidR="00576945" w:rsidRPr="00BC0897" w:rsidRDefault="00576945" w:rsidP="00342726">
            <w:pPr>
              <w:spacing w:after="0"/>
              <w:jc w:val="center"/>
              <w:rPr>
                <w:rFonts w:ascii="Times New Roman" w:hAnsi="Times New Roman" w:cs="Times New Roman"/>
                <w:sz w:val="20"/>
                <w:szCs w:val="20"/>
                <w:lang w:val="en-US"/>
              </w:rPr>
            </w:pPr>
          </w:p>
        </w:tc>
        <w:tc>
          <w:tcPr>
            <w:tcW w:w="960" w:type="dxa"/>
            <w:noWrap/>
            <w:vAlign w:val="center"/>
          </w:tcPr>
          <w:p w:rsidR="00576945" w:rsidRPr="00BC0897" w:rsidRDefault="00576945" w:rsidP="00342726">
            <w:pPr>
              <w:spacing w:after="0"/>
              <w:jc w:val="center"/>
              <w:rPr>
                <w:rFonts w:ascii="Times New Roman" w:hAnsi="Times New Roman" w:cs="Times New Roman"/>
                <w:sz w:val="20"/>
                <w:szCs w:val="20"/>
                <w:lang w:val="en-US"/>
              </w:rPr>
            </w:pPr>
          </w:p>
        </w:tc>
        <w:tc>
          <w:tcPr>
            <w:tcW w:w="960" w:type="dxa"/>
            <w:noWrap/>
            <w:vAlign w:val="center"/>
          </w:tcPr>
          <w:p w:rsidR="00576945" w:rsidRPr="00BC0897" w:rsidRDefault="00576945" w:rsidP="00342726">
            <w:pPr>
              <w:spacing w:after="0"/>
              <w:jc w:val="center"/>
              <w:rPr>
                <w:rFonts w:ascii="Times New Roman" w:hAnsi="Times New Roman" w:cs="Times New Roman"/>
                <w:sz w:val="20"/>
                <w:szCs w:val="20"/>
                <w:lang w:val="en-US"/>
              </w:rPr>
            </w:pPr>
          </w:p>
        </w:tc>
        <w:tc>
          <w:tcPr>
            <w:tcW w:w="960" w:type="dxa"/>
            <w:noWrap/>
            <w:vAlign w:val="center"/>
          </w:tcPr>
          <w:p w:rsidR="00576945" w:rsidRPr="00BC0897" w:rsidRDefault="00576945" w:rsidP="00342726">
            <w:pPr>
              <w:spacing w:after="0"/>
              <w:jc w:val="center"/>
              <w:rPr>
                <w:rFonts w:ascii="Times New Roman" w:hAnsi="Times New Roman" w:cs="Times New Roman"/>
                <w:sz w:val="20"/>
                <w:szCs w:val="20"/>
                <w:lang w:val="en-US"/>
              </w:rPr>
            </w:pPr>
          </w:p>
        </w:tc>
        <w:tc>
          <w:tcPr>
            <w:tcW w:w="960" w:type="dxa"/>
            <w:noWrap/>
            <w:vAlign w:val="center"/>
          </w:tcPr>
          <w:p w:rsidR="00576945" w:rsidRPr="00BC0897" w:rsidRDefault="00576945" w:rsidP="00342726">
            <w:pPr>
              <w:spacing w:after="0"/>
              <w:jc w:val="center"/>
              <w:rPr>
                <w:rFonts w:ascii="Times New Roman" w:hAnsi="Times New Roman" w:cs="Times New Roman"/>
                <w:sz w:val="20"/>
                <w:szCs w:val="20"/>
                <w:lang w:val="en-US"/>
              </w:rPr>
            </w:pPr>
          </w:p>
        </w:tc>
        <w:tc>
          <w:tcPr>
            <w:tcW w:w="960" w:type="dxa"/>
            <w:noWrap/>
            <w:vAlign w:val="center"/>
          </w:tcPr>
          <w:p w:rsidR="00576945" w:rsidRPr="00BC0897" w:rsidRDefault="00576945" w:rsidP="00342726">
            <w:pPr>
              <w:spacing w:after="0"/>
              <w:jc w:val="center"/>
              <w:rPr>
                <w:rFonts w:ascii="Times New Roman" w:hAnsi="Times New Roman" w:cs="Times New Roman"/>
                <w:sz w:val="20"/>
                <w:szCs w:val="20"/>
                <w:lang w:val="en-US"/>
              </w:rPr>
            </w:pPr>
          </w:p>
        </w:tc>
        <w:tc>
          <w:tcPr>
            <w:tcW w:w="960" w:type="dxa"/>
            <w:noWrap/>
            <w:vAlign w:val="center"/>
          </w:tcPr>
          <w:p w:rsidR="00576945" w:rsidRPr="00BC0897" w:rsidRDefault="00576945" w:rsidP="00342726">
            <w:pPr>
              <w:spacing w:after="0"/>
              <w:jc w:val="center"/>
              <w:rPr>
                <w:rFonts w:ascii="Times New Roman" w:hAnsi="Times New Roman" w:cs="Times New Roman"/>
                <w:sz w:val="20"/>
                <w:szCs w:val="20"/>
                <w:lang w:val="en-US"/>
              </w:rPr>
            </w:pPr>
          </w:p>
        </w:tc>
        <w:tc>
          <w:tcPr>
            <w:tcW w:w="960" w:type="dxa"/>
            <w:vAlign w:val="center"/>
          </w:tcPr>
          <w:p w:rsidR="00576945" w:rsidRPr="00BC0897" w:rsidRDefault="00576945" w:rsidP="00342726">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2/7</w:t>
            </w:r>
          </w:p>
        </w:tc>
        <w:tc>
          <w:tcPr>
            <w:tcW w:w="960" w:type="dxa"/>
            <w:vAlign w:val="center"/>
          </w:tcPr>
          <w:p w:rsidR="00576945" w:rsidRPr="00BC0897" w:rsidRDefault="00473D63" w:rsidP="00576945">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5/69</w:t>
            </w:r>
          </w:p>
        </w:tc>
      </w:tr>
      <w:tr w:rsidR="00576945" w:rsidRPr="002212C2" w:rsidTr="00576945">
        <w:trPr>
          <w:trHeight w:val="300"/>
        </w:trPr>
        <w:tc>
          <w:tcPr>
            <w:tcW w:w="2760" w:type="dxa"/>
            <w:noWrap/>
            <w:vAlign w:val="center"/>
          </w:tcPr>
          <w:p w:rsidR="00576945" w:rsidRPr="00BC0897" w:rsidRDefault="00576945" w:rsidP="00342726">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Cataract</w:t>
            </w:r>
          </w:p>
        </w:tc>
        <w:tc>
          <w:tcPr>
            <w:tcW w:w="1087" w:type="dxa"/>
            <w:vAlign w:val="center"/>
          </w:tcPr>
          <w:p w:rsidR="00576945" w:rsidRPr="00BC0897" w:rsidRDefault="00576945" w:rsidP="00342726">
            <w:pPr>
              <w:spacing w:after="0"/>
              <w:jc w:val="center"/>
              <w:rPr>
                <w:rFonts w:ascii="Times New Roman" w:hAnsi="Times New Roman" w:cs="Times New Roman"/>
                <w:sz w:val="20"/>
                <w:szCs w:val="20"/>
                <w:lang w:val="en-US"/>
              </w:rPr>
            </w:pPr>
          </w:p>
        </w:tc>
        <w:tc>
          <w:tcPr>
            <w:tcW w:w="1087" w:type="dxa"/>
            <w:noWrap/>
            <w:vAlign w:val="center"/>
          </w:tcPr>
          <w:p w:rsidR="00576945" w:rsidRPr="00BC0897" w:rsidRDefault="00576945" w:rsidP="00342726">
            <w:pPr>
              <w:spacing w:after="0"/>
              <w:jc w:val="center"/>
              <w:rPr>
                <w:rFonts w:ascii="Times New Roman" w:hAnsi="Times New Roman" w:cs="Times New Roman"/>
                <w:sz w:val="20"/>
                <w:szCs w:val="20"/>
                <w:lang w:val="en-US"/>
              </w:rPr>
            </w:pPr>
          </w:p>
        </w:tc>
        <w:tc>
          <w:tcPr>
            <w:tcW w:w="1148" w:type="dxa"/>
            <w:noWrap/>
            <w:vAlign w:val="center"/>
          </w:tcPr>
          <w:p w:rsidR="00576945" w:rsidRPr="00BC0897" w:rsidRDefault="00576945" w:rsidP="00342726">
            <w:pPr>
              <w:spacing w:after="0"/>
              <w:jc w:val="center"/>
              <w:rPr>
                <w:rFonts w:ascii="Times New Roman" w:hAnsi="Times New Roman" w:cs="Times New Roman"/>
                <w:sz w:val="20"/>
                <w:szCs w:val="20"/>
                <w:lang w:val="en-US"/>
              </w:rPr>
            </w:pPr>
          </w:p>
        </w:tc>
        <w:tc>
          <w:tcPr>
            <w:tcW w:w="960" w:type="dxa"/>
            <w:noWrap/>
            <w:vAlign w:val="center"/>
          </w:tcPr>
          <w:p w:rsidR="00576945" w:rsidRPr="00BC0897" w:rsidRDefault="00576945" w:rsidP="00342726">
            <w:pPr>
              <w:spacing w:after="0"/>
              <w:jc w:val="center"/>
              <w:rPr>
                <w:rFonts w:ascii="Times New Roman" w:hAnsi="Times New Roman" w:cs="Times New Roman"/>
                <w:sz w:val="20"/>
                <w:szCs w:val="20"/>
                <w:lang w:val="en-US"/>
              </w:rPr>
            </w:pPr>
          </w:p>
        </w:tc>
        <w:tc>
          <w:tcPr>
            <w:tcW w:w="960" w:type="dxa"/>
            <w:noWrap/>
            <w:vAlign w:val="center"/>
          </w:tcPr>
          <w:p w:rsidR="00576945" w:rsidRPr="00BC0897" w:rsidRDefault="00576945" w:rsidP="00342726">
            <w:pPr>
              <w:spacing w:after="0"/>
              <w:jc w:val="center"/>
              <w:rPr>
                <w:rFonts w:ascii="Times New Roman" w:hAnsi="Times New Roman" w:cs="Times New Roman"/>
                <w:sz w:val="20"/>
                <w:szCs w:val="20"/>
                <w:lang w:val="en-US"/>
              </w:rPr>
            </w:pPr>
          </w:p>
        </w:tc>
        <w:tc>
          <w:tcPr>
            <w:tcW w:w="960" w:type="dxa"/>
            <w:noWrap/>
            <w:vAlign w:val="center"/>
          </w:tcPr>
          <w:p w:rsidR="00576945" w:rsidRPr="00BC0897" w:rsidRDefault="00576945" w:rsidP="00342726">
            <w:pPr>
              <w:spacing w:after="0"/>
              <w:jc w:val="center"/>
              <w:rPr>
                <w:rFonts w:ascii="Times New Roman" w:hAnsi="Times New Roman" w:cs="Times New Roman"/>
                <w:sz w:val="20"/>
                <w:szCs w:val="20"/>
                <w:lang w:val="en-US"/>
              </w:rPr>
            </w:pPr>
          </w:p>
        </w:tc>
        <w:tc>
          <w:tcPr>
            <w:tcW w:w="960" w:type="dxa"/>
            <w:noWrap/>
            <w:vAlign w:val="center"/>
          </w:tcPr>
          <w:p w:rsidR="00576945" w:rsidRPr="00BC0897" w:rsidRDefault="00576945" w:rsidP="00342726">
            <w:pPr>
              <w:spacing w:after="0"/>
              <w:jc w:val="center"/>
              <w:rPr>
                <w:rFonts w:ascii="Times New Roman" w:hAnsi="Times New Roman" w:cs="Times New Roman"/>
                <w:sz w:val="20"/>
                <w:szCs w:val="20"/>
                <w:lang w:val="en-US"/>
              </w:rPr>
            </w:pPr>
          </w:p>
        </w:tc>
        <w:tc>
          <w:tcPr>
            <w:tcW w:w="960" w:type="dxa"/>
            <w:noWrap/>
            <w:vAlign w:val="center"/>
          </w:tcPr>
          <w:p w:rsidR="00576945" w:rsidRPr="00BC0897" w:rsidRDefault="00576945" w:rsidP="00342726">
            <w:pPr>
              <w:spacing w:after="0"/>
              <w:jc w:val="center"/>
              <w:rPr>
                <w:rFonts w:ascii="Times New Roman" w:hAnsi="Times New Roman" w:cs="Times New Roman"/>
                <w:sz w:val="20"/>
                <w:szCs w:val="20"/>
                <w:lang w:val="en-US"/>
              </w:rPr>
            </w:pPr>
          </w:p>
        </w:tc>
        <w:tc>
          <w:tcPr>
            <w:tcW w:w="960" w:type="dxa"/>
            <w:noWrap/>
            <w:vAlign w:val="center"/>
          </w:tcPr>
          <w:p w:rsidR="00576945" w:rsidRPr="00BC0897" w:rsidRDefault="00576945" w:rsidP="00342726">
            <w:pPr>
              <w:spacing w:after="0"/>
              <w:jc w:val="center"/>
              <w:rPr>
                <w:rFonts w:ascii="Times New Roman" w:hAnsi="Times New Roman" w:cs="Times New Roman"/>
                <w:sz w:val="20"/>
                <w:szCs w:val="20"/>
                <w:lang w:val="en-US"/>
              </w:rPr>
            </w:pPr>
          </w:p>
        </w:tc>
        <w:tc>
          <w:tcPr>
            <w:tcW w:w="960" w:type="dxa"/>
            <w:vAlign w:val="center"/>
          </w:tcPr>
          <w:p w:rsidR="00576945" w:rsidRPr="00BC0897" w:rsidRDefault="00576945" w:rsidP="00342726">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1/9</w:t>
            </w:r>
          </w:p>
        </w:tc>
        <w:tc>
          <w:tcPr>
            <w:tcW w:w="960" w:type="dxa"/>
            <w:vAlign w:val="center"/>
          </w:tcPr>
          <w:p w:rsidR="00576945" w:rsidRPr="00BC0897" w:rsidRDefault="00576945" w:rsidP="00576945">
            <w:pPr>
              <w:spacing w:after="0"/>
              <w:jc w:val="center"/>
              <w:rPr>
                <w:rFonts w:ascii="Times New Roman" w:hAnsi="Times New Roman" w:cs="Times New Roman"/>
                <w:sz w:val="20"/>
                <w:szCs w:val="20"/>
                <w:lang w:val="en-US"/>
              </w:rPr>
            </w:pPr>
          </w:p>
        </w:tc>
      </w:tr>
    </w:tbl>
    <w:p w:rsidR="00646A25" w:rsidRPr="00BC0897" w:rsidRDefault="00646A25" w:rsidP="00C228AD">
      <w:pPr>
        <w:spacing w:after="0" w:line="240" w:lineRule="auto"/>
        <w:rPr>
          <w:rFonts w:ascii="Times New Roman" w:hAnsi="Times New Roman" w:cs="Times New Roman"/>
          <w:sz w:val="20"/>
          <w:szCs w:val="20"/>
          <w:lang w:val="en-US"/>
        </w:rPr>
      </w:pPr>
      <w:r w:rsidRPr="00BC0897">
        <w:rPr>
          <w:rFonts w:ascii="Times New Roman" w:hAnsi="Times New Roman" w:cs="Times New Roman"/>
          <w:sz w:val="20"/>
          <w:szCs w:val="20"/>
          <w:lang w:val="en-US"/>
        </w:rPr>
        <w:t>LMWP: Low-molecular-weight proteinuria</w:t>
      </w:r>
    </w:p>
    <w:p w:rsidR="00646A25" w:rsidRPr="00BC0897" w:rsidRDefault="00646A25" w:rsidP="00646A25">
      <w:pPr>
        <w:rPr>
          <w:rFonts w:ascii="Times New Roman" w:hAnsi="Times New Roman" w:cs="Times New Roman"/>
          <w:sz w:val="20"/>
          <w:szCs w:val="20"/>
          <w:lang w:val="en-US"/>
        </w:rPr>
      </w:pPr>
      <w:r w:rsidRPr="00BC0897">
        <w:rPr>
          <w:rFonts w:ascii="Times New Roman" w:hAnsi="Times New Roman" w:cs="Times New Roman"/>
          <w:sz w:val="20"/>
          <w:szCs w:val="20"/>
          <w:lang w:val="en-US"/>
        </w:rPr>
        <w:br w:type="page"/>
      </w:r>
    </w:p>
    <w:p w:rsidR="00646A25" w:rsidRPr="00BC0897" w:rsidRDefault="00646A25" w:rsidP="00646A25">
      <w:pPr>
        <w:spacing w:line="240" w:lineRule="auto"/>
        <w:rPr>
          <w:rFonts w:ascii="Times New Roman" w:hAnsi="Times New Roman" w:cs="Times New Roman"/>
          <w:sz w:val="20"/>
          <w:szCs w:val="20"/>
          <w:lang w:val="en-US"/>
        </w:rPr>
      </w:pPr>
      <w:r w:rsidRPr="00BC0897">
        <w:rPr>
          <w:rFonts w:ascii="Times New Roman" w:hAnsi="Times New Roman" w:cs="Times New Roman"/>
          <w:b/>
          <w:sz w:val="20"/>
          <w:szCs w:val="20"/>
          <w:lang w:val="en-US"/>
        </w:rPr>
        <w:lastRenderedPageBreak/>
        <w:t>Supplementary Table 3</w:t>
      </w:r>
      <w:r w:rsidRPr="00BC0897">
        <w:rPr>
          <w:rFonts w:ascii="Times New Roman" w:hAnsi="Times New Roman" w:cs="Times New Roman"/>
          <w:sz w:val="20"/>
          <w:szCs w:val="20"/>
          <w:lang w:val="en-US"/>
        </w:rPr>
        <w:t>: Clinical and biochemical data collected from DD2 patients</w:t>
      </w:r>
    </w:p>
    <w:tbl>
      <w:tblPr>
        <w:tblStyle w:val="Grigliatabella"/>
        <w:tblW w:w="13887" w:type="dxa"/>
        <w:tblLayout w:type="fixed"/>
        <w:tblLook w:val="04A0" w:firstRow="1" w:lastRow="0" w:firstColumn="1" w:lastColumn="0" w:noHBand="0" w:noVBand="1"/>
      </w:tblPr>
      <w:tblGrid>
        <w:gridCol w:w="2093"/>
        <w:gridCol w:w="992"/>
        <w:gridCol w:w="1012"/>
        <w:gridCol w:w="1001"/>
        <w:gridCol w:w="992"/>
        <w:gridCol w:w="992"/>
        <w:gridCol w:w="1135"/>
        <w:gridCol w:w="1276"/>
        <w:gridCol w:w="992"/>
        <w:gridCol w:w="992"/>
        <w:gridCol w:w="1276"/>
        <w:gridCol w:w="1134"/>
      </w:tblGrid>
      <w:tr w:rsidR="00592A3B" w:rsidRPr="00BC0897" w:rsidTr="00592A3B">
        <w:trPr>
          <w:trHeight w:val="900"/>
        </w:trPr>
        <w:tc>
          <w:tcPr>
            <w:tcW w:w="2093" w:type="dxa"/>
            <w:vAlign w:val="center"/>
            <w:hideMark/>
          </w:tcPr>
          <w:p w:rsidR="00592A3B" w:rsidRPr="00BC0897" w:rsidRDefault="00592A3B" w:rsidP="00592A3B">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Clinical sign</w:t>
            </w:r>
          </w:p>
        </w:tc>
        <w:tc>
          <w:tcPr>
            <w:tcW w:w="992" w:type="dxa"/>
            <w:vAlign w:val="center"/>
            <w:hideMark/>
          </w:tcPr>
          <w:p w:rsidR="00592A3B" w:rsidRPr="00BC0897" w:rsidRDefault="00592A3B" w:rsidP="00592A3B">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t>TOT</w:t>
            </w:r>
          </w:p>
        </w:tc>
        <w:tc>
          <w:tcPr>
            <w:tcW w:w="1012" w:type="dxa"/>
            <w:vAlign w:val="center"/>
            <w:hideMark/>
          </w:tcPr>
          <w:p w:rsidR="00592A3B" w:rsidRPr="00BC0897" w:rsidRDefault="00592A3B" w:rsidP="00592A3B">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Pr="00BC0897">
              <w:rPr>
                <w:rFonts w:ascii="Times New Roman" w:hAnsi="Times New Roman" w:cs="Times New Roman"/>
                <w:b/>
                <w:sz w:val="20"/>
                <w:szCs w:val="20"/>
                <w:lang w:val="en-US"/>
              </w:rPr>
              <w:instrText xml:space="preserve"> ADDIN ZOTERO_ITEM CSL_CITATION {"citationID":"1AFdmatN","properties":{"formattedCitation":"(Hoopes et al. 2005)","plainCitation":"(Hoopes et al. 2005)","noteIndex":0},"citationItems":[{"id":501,"uris":["http://zotero.org/users/local/jkkvYBSC/items/M4D9YZWI"],"uri":["http://zotero.org/users/local/jkkvYBSC/items/M4D9YZWI"],"itemData":{"id":501,"type":"article-journal","abstract":"Dent disease is an X-linked renal proximal tubulopathy associated with mutations in the chloride channel gene CLCN5. Lowe syndrome, a multisystem disease characterized by renal tubulopathy, congenital cataracts, and mental retardation, is associated with mutations in the gene OCRL1, which encodes a phosphatidylinositol 4,5-bisphosphate (PIP(2)) 5-phosphatase. Genetic heterogeneity has been suspected in Dent disease, but no other gene for Dent disease has been reported. We studied male probands in 13 families, all of whom met strict criteria for Dent disease but lacked mutations in CLCN5. Linkage analysis in the one large family localized the gene to a candidate region at Xq25-Xq27.1. Sequencing of candidate genes revealed a mutation in the OCRL1 gene. Of the 13 families studied, OCRL1 mutations were found in 5. PIP(2) 5-phosphatase activity was markedly reduced in skin fibroblasts cultured from the probands of these five families, and protein expression, measured by western blotting, was reduced or absent. Slit-lamp examinations performed in childhood or adulthood for all five probands showed normal results. Unlike patients with typical Lowe syndrome, none of these patients had metabolic acidosis. Three of the five probands had mild mental retardation, whereas two had no developmental delay or behavioral disturbance. These findings demonstrate that mutations in OCRL1 can occur with the isolated renal phenotype of Dent disease in patients lacking the cataracts, renal tubular acidosis, and neurological abnormalities that are characteristic of Lowe syndrome. This observation confirms genetic heterogeneity in Dent disease and demonstrates more-extensive phenotypic heterogeneity in Lowe syndrome than was previously appreciated. It establishes that the diagnostic criteria for disorders resulting from mutations in the Lowe syndrome gene OCRL1 need to be revised.","container-title":"American Journal of Human Genetics","DOI":"10.1086/427887","ISSN":"0002-9297","issue":"2","journalAbbreviation":"Am. J. Hum. Genet.","language":"eng","note":"PMID: 15627218\nPMCID: PMC1196371","page":"260-267","source":"PubMed","title":"Dent Disease with mutations in OCRL1","volume":"76","author":[{"family":"Hoopes","given":"Richard R."},{"family":"Shrimpton","given":"Antony E."},{"family":"Knohl","given":"Stephen J."},{"family":"Hueber","given":"Paul"},{"family":"Hoppe","given":"Bernd"},{"family":"Matyus","given":"Janos"},{"family":"Simckes","given":"Ari"},{"family":"Tasic","given":"Velibor"},{"family":"Toenshoff","given":"Burkhard"},{"family":"Suchy","given":"Sharon F."},{"family":"Nussbaum","given":"Robert L."},{"family":"Scheinman","given":"Steven J."}],"issued":{"date-parts":[["2005",2]]}}}],"schema":"https://github.com/citation-style-language/schema/raw/master/csl-citation.json"} </w:instrText>
            </w:r>
            <w:r w:rsidRPr="00BC0897">
              <w:rPr>
                <w:rFonts w:ascii="Times New Roman" w:hAnsi="Times New Roman" w:cs="Times New Roman"/>
                <w:b/>
                <w:sz w:val="20"/>
                <w:szCs w:val="20"/>
                <w:lang w:val="en-US"/>
              </w:rPr>
              <w:fldChar w:fldCharType="separate"/>
            </w:r>
            <w:r w:rsidRPr="00BC0897">
              <w:rPr>
                <w:rFonts w:ascii="Times New Roman" w:hAnsi="Times New Roman" w:cs="Times New Roman"/>
                <w:sz w:val="20"/>
                <w:szCs w:val="20"/>
              </w:rPr>
              <w:t>(Hoopes et al. 2005)</w:t>
            </w:r>
            <w:r w:rsidRPr="00BC0897">
              <w:rPr>
                <w:rFonts w:ascii="Times New Roman" w:hAnsi="Times New Roman" w:cs="Times New Roman"/>
                <w:b/>
                <w:sz w:val="20"/>
                <w:szCs w:val="20"/>
                <w:lang w:val="en-US"/>
              </w:rPr>
              <w:fldChar w:fldCharType="end"/>
            </w:r>
          </w:p>
        </w:tc>
        <w:tc>
          <w:tcPr>
            <w:tcW w:w="1001" w:type="dxa"/>
            <w:vAlign w:val="center"/>
            <w:hideMark/>
          </w:tcPr>
          <w:p w:rsidR="00592A3B" w:rsidRPr="00BC0897" w:rsidRDefault="00592A3B" w:rsidP="00592A3B">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Pr="00BC0897">
              <w:rPr>
                <w:rFonts w:ascii="Times New Roman" w:hAnsi="Times New Roman" w:cs="Times New Roman"/>
                <w:b/>
                <w:sz w:val="20"/>
                <w:szCs w:val="20"/>
                <w:lang w:val="en-US"/>
              </w:rPr>
              <w:instrText xml:space="preserve"> ADDIN ZOTERO_ITEM CSL_CITATION {"citationID":"g9YJWObb","properties":{"formattedCitation":"(Utsch et al. 2006)","plainCitation":"(Utsch et al. 2006)","noteIndex":0},"citationItems":[{"id":1583,"uris":["http://zotero.org/users/local/jkkvYBSC/items/LQGXRSFG"],"uri":["http://zotero.org/users/local/jkkvYBSC/items/LQGXRSFG"],"itemData":{"id":1583,"type":"article-journal","abstract":"BACKGROUND: Dent disease is an X-linked tubulopathy frequently caused by mutations affecting the voltage-gated chloride channel and chloride/proton antiporter ClC-5. A recent study showed that defects in OCRL1, encoding a phosphatidylinositol 4,5-bisphosphate 5-phosphatase (Ocrl) and usually found mutated in patients with Lowe syndrome, also can provoke a Dent-like phenotype (Dent 2 disease).\nMETHODS: We investigated 20 CLCN5-negative males from 17 families with a phenotype resembling Dent disease for defects in OCRL1.\nRESULTS: In our complete series of 35 families with a phenotype of Dent disease, a mutation in the OCRL1 gene was detected in 6 kindreds. All were novel frameshift (Q70RfsX88 and T121NfsX122, detected twice) or missense mutations (I257T and R476W). None of our patients had cognitive or behavioral impairment or cataracts, 2 classic hallmarks of Lowe syndrome. All patients had mild increases in lactate dehydrogenase and/or creatine kinase levels, which rarely is observed in CLCN5-positive patients, but frequently found in patients with Lowe syndrome. To explain the phenotypic heterogeneity caused by OCRL1 mutations, we performed extensive data-bank mining and extended reverse-transcriptase polymerase chain reaction analysis, which provided no evidence for yet unknown (tissue-specific) alternative OCRL1 transcripts.\nCONCLUSION: Mutations in the OCRL1 gene are found in approximately 23% of kindreds with a Dent phenotype. Defective protein sorting/targeting of Ocrl might be the reason for mildly elevated creatine kinase and lactate dehydrogenase serum concentrations in these patients and a clue to suspect Dent disease unrelated to CLCN5 mutations. It remains to be elucidated why the various OCRL1 mutations found in patients with Dent 2 disease do not cause cataracts.","container-title":"American Journal of Kidney Diseases","DOI":"10.1053/j.ajkd.2006.08.018","ISSN":"1523-6838","issue":"6","journalAbbreviation":"Am. J. Kidney Dis.","language":"eng","note":"PMID: 17162149","page":"942.e1-14","source":"PubMed","title":"Novel OCRL1 mutations in patients with the phenotype of Dent disease","volume":"48","author":[{"family":"Utsch","given":"Boris"},{"family":"Bökenkamp","given":"Arend"},{"family":"Benz","given":"Marcus R."},{"family":"Besbas","given":"Nesrin"},{"family":"Dötsch","given":"Jörg"},{"family":"Franke","given":"Ingo"},{"family":"Fründ","given":"Stefan"},{"family":"Gok","given":"Faysal"},{"family":"Hoppe","given":"Bernd"},{"family":"Karle","given":"Stephanie"},{"family":"Kuwertz-Bröking","given":"Eberhard"},{"family":"Laube","given":"Guido"},{"family":"Neb","given":"Margarita"},{"family":"Nuutinen","given":"Matti"},{"family":"Ozaltin","given":"Fatih"},{"family":"Rascher","given":"Wolfgang"},{"family":"Ring","given":"Troels"},{"family":"Tasic","given":"Velibor"},{"family":"Wijk","given":"Joanna A. E.","non-dropping-particle":"van"},{"family":"Ludwig","given":"Michael"}],"issued":{"date-parts":[["2006",12]]}}}],"schema":"https://github.com/citation-style-language/schema/raw/master/csl-citation.json"} </w:instrText>
            </w:r>
            <w:r w:rsidRPr="00BC0897">
              <w:rPr>
                <w:rFonts w:ascii="Times New Roman" w:hAnsi="Times New Roman" w:cs="Times New Roman"/>
                <w:b/>
                <w:sz w:val="20"/>
                <w:szCs w:val="20"/>
                <w:lang w:val="en-US"/>
              </w:rPr>
              <w:fldChar w:fldCharType="separate"/>
            </w:r>
            <w:r w:rsidRPr="00BC0897">
              <w:rPr>
                <w:rFonts w:ascii="Times New Roman" w:hAnsi="Times New Roman" w:cs="Times New Roman"/>
                <w:sz w:val="20"/>
                <w:szCs w:val="20"/>
              </w:rPr>
              <w:t>(Utsch et al. 2006)</w:t>
            </w:r>
            <w:r w:rsidRPr="00BC0897">
              <w:rPr>
                <w:rFonts w:ascii="Times New Roman" w:hAnsi="Times New Roman" w:cs="Times New Roman"/>
                <w:b/>
                <w:sz w:val="20"/>
                <w:szCs w:val="20"/>
                <w:lang w:val="en-US"/>
              </w:rPr>
              <w:fldChar w:fldCharType="end"/>
            </w:r>
          </w:p>
        </w:tc>
        <w:tc>
          <w:tcPr>
            <w:tcW w:w="992" w:type="dxa"/>
            <w:vAlign w:val="center"/>
            <w:hideMark/>
          </w:tcPr>
          <w:p w:rsidR="00592A3B" w:rsidRPr="00BC0897" w:rsidRDefault="00592A3B" w:rsidP="00592A3B">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00040F98" w:rsidRPr="00BC0897">
              <w:rPr>
                <w:rFonts w:ascii="Times New Roman" w:hAnsi="Times New Roman" w:cs="Times New Roman"/>
                <w:b/>
                <w:sz w:val="20"/>
                <w:szCs w:val="20"/>
                <w:lang w:val="en-US"/>
              </w:rPr>
              <w:instrText xml:space="preserve"> ADDIN ZOTERO_ITEM CSL_CITATION {"citationID":"ybB0BlpK","properties":{"formattedCitation":"(Sekine et al. 2014)","plainCitation":"(Sekine et al. 2014)","noteIndex":0},"citationItems":[{"id":1485,"uris":["http://zotero.org/users/local/jkkvYBSC/items/GQWJH34Y"],"uri":["http://zotero.org/users/local/jkkvYBSC/items/GQWJH34Y"],"itemData":{"id":1485,"type":"article-journal","abstract":"Dent disease is an X-linked disorder characterized by low-molecular-weight (LMW) proteinuria, hypercalciuria, nephrocalcinosis, urolithiasis and renal dysfunction. Dent disease is caused by mutations in at least two genes, i.e. CLCN5 and OCRL1, and its genetic background and phenotypes are common among European countries and the USA. However, only few studies on Dent disease in Japan, which was originally called 'low-molecular-weight proteinuric disease', have been reported thus far. In this study, we analysed genetic background and clinical phenotype and laboratory data of 86 unrelated Japanese Dent disease patients. The results demonstrated that the genetic basis of Japanese Dent disease was nearly identical to those of Dent disease in other countries. Of 86 unrelated Japanese Dent patients, 61 possessed mutations in CLCN5 (Dent-1), of which 27 were novel mutations; 11 showed mutations in OCRL1 (Dent-2), six of which were novel, and the remaining 14 patients showed no mutations in CLCN5 or OCRL1 (Dent-NI). Despite the similarity in genetic background, hypercalciuria was detected in only 51%, rickets in 2% and nephrocalcinosis in 35%. Although the patients were relatively young, six patients (8%) showed apparent renal dysfunction. Japanese Dent disease has a wider clinical spectrum than Dent disease in Europe and the USA.","container-title":"Nephrology Dialysis Transplantation","DOI":"10.1093/ndt/gft394","ISSN":"1460-2385","issue":"2","journalAbbreviation":"Nephrol. Dial. Transplant.","language":"eng","note":"PMID: 24081861","page":"376-384","source":"PubMed","title":"Japanese Dent disease has a wider clinical spectrum than Dent disease in Europe/USA: genetic and clinical studies of 86 unrelated patients with low-molecular-weight proteinuria","title-short":"Japanese Dent disease has a wider clinical spectrum than Dent disease in Europe/USA","volume":"29","author":[{"family":"Sekine","given":"Takashi"},{"family":"Komoda","given":"Fusako"},{"family":"Miura","given":"Kenichiro"},{"family":"Takita","given":"Junko"},{"family":"Shimadzu","given":"Mitsunobu"},{"family":"Matsuyama","given":"Takeshi"},{"family":"Ashida","given":"Akira"},{"family":"Igarashi","given":"Takashi"}],"issued":{"date-parts":[["2014",2]]}}}],"schema":"https://github.com/citation-style-language/schema/raw/master/csl-citation.json"} </w:instrText>
            </w:r>
            <w:r w:rsidRPr="00BC0897">
              <w:rPr>
                <w:rFonts w:ascii="Times New Roman" w:hAnsi="Times New Roman" w:cs="Times New Roman"/>
                <w:b/>
                <w:sz w:val="20"/>
                <w:szCs w:val="20"/>
                <w:lang w:val="en-US"/>
              </w:rPr>
              <w:fldChar w:fldCharType="separate"/>
            </w:r>
            <w:r w:rsidR="00040F98" w:rsidRPr="00BC0897">
              <w:rPr>
                <w:rFonts w:ascii="Times New Roman" w:hAnsi="Times New Roman" w:cs="Times New Roman"/>
                <w:sz w:val="20"/>
              </w:rPr>
              <w:t>(Sekine et al. 2014)</w:t>
            </w:r>
            <w:r w:rsidRPr="00BC0897">
              <w:rPr>
                <w:rFonts w:ascii="Times New Roman" w:hAnsi="Times New Roman" w:cs="Times New Roman"/>
                <w:b/>
                <w:sz w:val="20"/>
                <w:szCs w:val="20"/>
                <w:lang w:val="en-US"/>
              </w:rPr>
              <w:fldChar w:fldCharType="end"/>
            </w:r>
          </w:p>
        </w:tc>
        <w:tc>
          <w:tcPr>
            <w:tcW w:w="992" w:type="dxa"/>
            <w:vAlign w:val="center"/>
            <w:hideMark/>
          </w:tcPr>
          <w:p w:rsidR="00592A3B" w:rsidRPr="00BC0897" w:rsidRDefault="00592A3B" w:rsidP="00592A3B">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Pr="00BC0897">
              <w:rPr>
                <w:rFonts w:ascii="Times New Roman" w:hAnsi="Times New Roman" w:cs="Times New Roman"/>
                <w:b/>
                <w:sz w:val="20"/>
                <w:szCs w:val="20"/>
                <w:lang w:val="en-US"/>
              </w:rPr>
              <w:instrText xml:space="preserve"> ADDIN ZOTERO_ITEM CSL_CITATION {"citationID":"NaIomXYa","properties":{"formattedCitation":"(Cho et al. 2008)","plainCitation":"(Cho et al. 2008)","noteIndex":0},"citationItems":[{"id":1488,"uris":["http://zotero.org/users/local/jkkvYBSC/items/STXMLTSC"],"uri":["http://zotero.org/users/local/jkkvYBSC/items/STXMLTSC"],"itemData":{"id":1488,"type":"article-journal","abstract":"To date, two responsible genes for the development of Dent disease have been identified: CLCN5 and OCRL1. In this study, genotype-phenotype correlations were studied in patients with Dent disease and those with Lowe syndrome. Among the 12 boys with a phenotype typical of Dent disease, nine had a mutation in CLCN5 (Dent disease 1), two had a mutation in OCRL1 (Dent disease 2), and one had no mutations in either gene. All seven boys with a clinical diagnosis of Lowe syndrome had a mutation in OCRL1. Patients with Lowe syndrome showed more frequent hypophosphatemia/rickets and more prominent tubular proteinuria than patients with Dent disease 1, and patients with Dent disease 2 had higher degree of tubular proteinuria and hypercalciuria than patients with Dent disease 1. Additionally, one patient with Dent disease 2 showed a mild degree of developmental delay, elevated serum muscle enzyme levels, and cryptorchidism. In this study, the genetic heterogeneity in Dent disease and the phenotypic heterogeneity in Lowe syndrome were confirmed. In patients with Dent disease, the presence of the above-mentioned extrarenal manifestations indicates that it is more likely that the patient is affected by Dent disease 2 than by Dent disease 1.","container-title":"Pediatric Nephrology (Berlin, Germany)","DOI":"10.1007/s00467-007-0686-9","ISSN":"0931-041X","issue":"2","journalAbbreviation":"Pediatr. Nephrol.","language":"eng","note":"PMID: 18038239","page":"243-249","source":"PubMed","title":"Renal manifestations of Dent disease and Lowe syndrome","volume":"23","author":[{"family":"Cho","given":"Hee Yeon"},{"family":"Lee","given":"Bum Hee"},{"family":"Choi","given":"Hyun Jin"},{"family":"Ha","given":"Il Soo"},{"family":"Choi","given":"Yong"},{"family":"Cheong","given":"Hae Il"}],"issued":{"date-parts":[["2008",2]]}}}],"schema":"https://github.com/citation-style-language/schema/raw/master/csl-citation.json"} </w:instrText>
            </w:r>
            <w:r w:rsidRPr="00BC0897">
              <w:rPr>
                <w:rFonts w:ascii="Times New Roman" w:hAnsi="Times New Roman" w:cs="Times New Roman"/>
                <w:b/>
                <w:sz w:val="20"/>
                <w:szCs w:val="20"/>
                <w:lang w:val="en-US"/>
              </w:rPr>
              <w:fldChar w:fldCharType="separate"/>
            </w:r>
            <w:r w:rsidRPr="00BC0897">
              <w:rPr>
                <w:rFonts w:ascii="Times New Roman" w:hAnsi="Times New Roman" w:cs="Times New Roman"/>
                <w:sz w:val="20"/>
                <w:szCs w:val="20"/>
              </w:rPr>
              <w:t>(Cho et al. 2008)</w:t>
            </w:r>
            <w:r w:rsidRPr="00BC0897">
              <w:rPr>
                <w:rFonts w:ascii="Times New Roman" w:hAnsi="Times New Roman" w:cs="Times New Roman"/>
                <w:b/>
                <w:sz w:val="20"/>
                <w:szCs w:val="20"/>
                <w:lang w:val="en-US"/>
              </w:rPr>
              <w:fldChar w:fldCharType="end"/>
            </w:r>
          </w:p>
        </w:tc>
        <w:tc>
          <w:tcPr>
            <w:tcW w:w="1135" w:type="dxa"/>
            <w:vAlign w:val="center"/>
            <w:hideMark/>
          </w:tcPr>
          <w:p w:rsidR="00592A3B" w:rsidRPr="00BC0897" w:rsidRDefault="00592A3B" w:rsidP="00592A3B">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Pr="00BC0897">
              <w:rPr>
                <w:rFonts w:ascii="Times New Roman" w:hAnsi="Times New Roman" w:cs="Times New Roman"/>
                <w:b/>
                <w:sz w:val="20"/>
                <w:szCs w:val="20"/>
                <w:lang w:val="en-US"/>
              </w:rPr>
              <w:instrText xml:space="preserve"> ADDIN ZOTERO_ITEM CSL_CITATION {"citationID":"HBYfI4WJ","properties":{"formattedCitation":"(Shrimpton et al. 2009)","plainCitation":"(Shrimpton et al. 2009)","noteIndex":0},"citationItems":[{"id":2244,"uris":["http://zotero.org/users/local/jkkvYBSC/items/S5CAWA39"],"uri":["http://zotero.org/users/local/jkkvYBSC/items/S5CAWA39"],"itemData":{"id":2244,"type":"article-journal","abstract":"BACKGROUND/AIMS: Dent disease is an X-linked renal proximal tubulopathy associated with mutations in CLCN5 (Dent 1) or OCRL1 (Dent 2). OCRL1 mutations also cause the oculocerebrorenal syndrome of Lowe.\nMETHODS: Dent patients with normal sequence for CLCN5 were sequenced for mutations in OCRL1. By analyzing these and all other OCRL1 mutations reported, a model relating OCRL1 mutations to the resulting disease (Dent 2 or Lowe's) was developed.\nRESULTS: Six boys with Dent disease had novel OCRL1 mutations: two missense (R301H, G304E) and four mutations predicted to produce premature termination codons (L56DfsX1, S149X, P161PfsX3, and M170IfsX1). These include one of the original patients reported by Dent and Friedman. Slit lamp examinations revealed early cataracts in only one boy with normal vision. None of these Dent 2 patients had metabolic acidosis; 3 had mild mental retardation. Analysis of all known OCRL1 mutations show that Dent 2 mutations fall into two classes that do not overlap with Lowe mutations. Bioinformatics analyses identified expressed OCRL1 splice variants that help explain the variability of those clinical features that distinguish Dent disease from Lowe syndrome.\nCONCLUSIONS: OCRL1 mutations can cause the renal phenotype of Dent disease, without acidosis or the dramatic eye abnormalities typical of Lowe syndrome. We propose a model to explain the phenotypic variability between Dent 2 and Lowe's based on distinctly different classes of mutations in OCRL1 producing splice variants.","container-title":"Nephron. Physiology","DOI":"10.1159/000213506","ISSN":"1660-2137","issue":"2","journalAbbreviation":"Nephron Physiol","language":"eng","note":"PMID: 19390221","page":"p27-36","source":"PubMed","title":"OCRL1 mutations in Dent 2 patients suggest a mechanism for phenotypic variability","volume":"112","author":[{"family":"Shrimpton","given":"Antony E."},{"family":"Hoopes","given":"Richard R."},{"family":"Knohl","given":"Stephen J."},{"family":"Hueber","given":"Paul"},{"family":"Reed","given":"Anita A. C."},{"family":"Christie","given":"Paul T."},{"family":"Igarashi","given":"Takashi"},{"family":"Lee","given":"Philip"},{"family":"Lehman","given":"Anna"},{"family":"White","given":"Colin"},{"family":"Milford","given":"David V."},{"family":"Sanchez","given":"Manuel Rivero"},{"family":"Unwin","given":"Robert"},{"family":"Wrong","given":"Oliver M."},{"family":"Thakker","given":"Rajesh V."},{"family":"Scheinman","given":"Steven J."}],"issued":{"date-parts":[["2009"]]}}}],"schema":"https://github.com/citation-style-language/schema/raw/master/csl-citation.json"} </w:instrText>
            </w:r>
            <w:r w:rsidRPr="00BC0897">
              <w:rPr>
                <w:rFonts w:ascii="Times New Roman" w:hAnsi="Times New Roman" w:cs="Times New Roman"/>
                <w:b/>
                <w:sz w:val="20"/>
                <w:szCs w:val="20"/>
                <w:lang w:val="en-US"/>
              </w:rPr>
              <w:fldChar w:fldCharType="separate"/>
            </w:r>
            <w:r w:rsidRPr="00BC0897">
              <w:rPr>
                <w:rFonts w:ascii="Times New Roman" w:hAnsi="Times New Roman" w:cs="Times New Roman"/>
                <w:sz w:val="20"/>
                <w:szCs w:val="20"/>
              </w:rPr>
              <w:t>(Shrimpton et al. 2009)</w:t>
            </w:r>
            <w:r w:rsidRPr="00BC0897">
              <w:rPr>
                <w:rFonts w:ascii="Times New Roman" w:hAnsi="Times New Roman" w:cs="Times New Roman"/>
                <w:b/>
                <w:sz w:val="20"/>
                <w:szCs w:val="20"/>
                <w:lang w:val="en-US"/>
              </w:rPr>
              <w:fldChar w:fldCharType="end"/>
            </w:r>
          </w:p>
        </w:tc>
        <w:tc>
          <w:tcPr>
            <w:tcW w:w="1276" w:type="dxa"/>
            <w:vAlign w:val="center"/>
            <w:hideMark/>
          </w:tcPr>
          <w:p w:rsidR="00592A3B" w:rsidRPr="00BC0897" w:rsidRDefault="00592A3B" w:rsidP="00592A3B">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Pr="00BC0897">
              <w:rPr>
                <w:rFonts w:ascii="Times New Roman" w:hAnsi="Times New Roman" w:cs="Times New Roman"/>
                <w:b/>
                <w:sz w:val="20"/>
                <w:szCs w:val="20"/>
                <w:lang w:val="en-US"/>
              </w:rPr>
              <w:instrText xml:space="preserve"> ADDIN ZOTERO_ITEM CSL_CITATION {"citationID":"FXuuNG0e","properties":{"formattedCitation":"(B\\uc0\\u246{}kenkamp et al. 2009)","plainCitation":"(Bökenkamp et al. 2009)","noteIndex":0},"citationItems":[{"id":112,"uris":["http://zotero.org/users/local/jkkvYBSC/items/WBTTBLPQ"],"uri":["http://zotero.org/users/local/jkkvYBSC/items/WBTTBLPQ"],"itemData":{"id":112,"type":"article-journal","abstract":"Objective\nTo compare the renal and extra-renal phenotypes of patients classified as having Dent disease, Dent-2 disease, or Lowe syndrome.\nStudy design\nChart review of data from 93 patients with identified voltage-gated chloride channel and chloride/proton antiporter 5 gene and oculo-cerebro-renal syndrome of Lowe gene mutations observed by the authors, complemented with published data.\nResults\nThere was a wide overlap of renal symptoms. Nephrocalcinosis was more prevalent in Dent-1 disease, and renal tubular acidosis, aminoaciduria, and renal failure was more prevalent in patients with Lowe syndrome. Patients with Lowe syndrome were shorter than patients with Dent-1 disease, and patients with Dent-2 disease showed an intermediate phenotype. Three patients with Dent-2 disease had mild peripheral cataract, and 9 patients were noted to have some degree of mental retardation.\nConclusion\nThere is a phenotypic continuum within patients with Dent-2 disease and Lowe syndrome, suggesting that there are individual differences in the ability to compensate for loss of oculo-cerebro-renal syndrome of Lowe gene function.","container-title":"The Journal of Pediatrics","DOI":"10.1016/j.jpeds.2009.01.049","ISSN":"0022-3476","issue":"1","journalAbbreviation":"The Journal of Pediatrics","language":"en","page":"94-99","source":"ScienceDirect","title":"Dent-2 Disease: A Mild Variant of Lowe Syndrome","title-short":"Dent-2 Disease","volume":"155","author":[{"family":"Bökenkamp","given":"Arend"},{"family":"Böckenhauer","given":"Detlef"},{"family":"Cheong","given":"Hae Il"},{"family":"Hoppe","given":"Bernd"},{"family":"Tasic","given":"Velibor"},{"family":"Unwin","given":"Robert"},{"family":"Ludwig","given":"Michael"}],"issued":{"date-parts":[["2009",7,1]]}}}],"schema":"https://github.com/citation-style-language/schema/raw/master/csl-citation.json"} </w:instrText>
            </w:r>
            <w:r w:rsidRPr="00BC0897">
              <w:rPr>
                <w:rFonts w:ascii="Times New Roman" w:hAnsi="Times New Roman" w:cs="Times New Roman"/>
                <w:b/>
                <w:sz w:val="20"/>
                <w:szCs w:val="20"/>
                <w:lang w:val="en-US"/>
              </w:rPr>
              <w:fldChar w:fldCharType="separate"/>
            </w:r>
            <w:r w:rsidRPr="00BC0897">
              <w:rPr>
                <w:rFonts w:ascii="Times New Roman" w:hAnsi="Times New Roman" w:cs="Times New Roman"/>
                <w:sz w:val="20"/>
                <w:szCs w:val="20"/>
              </w:rPr>
              <w:t>(Bökenkamp et al. 2009)</w:t>
            </w:r>
            <w:r w:rsidRPr="00BC0897">
              <w:rPr>
                <w:rFonts w:ascii="Times New Roman" w:hAnsi="Times New Roman" w:cs="Times New Roman"/>
                <w:b/>
                <w:sz w:val="20"/>
                <w:szCs w:val="20"/>
                <w:lang w:val="en-US"/>
              </w:rPr>
              <w:fldChar w:fldCharType="end"/>
            </w:r>
          </w:p>
        </w:tc>
        <w:tc>
          <w:tcPr>
            <w:tcW w:w="992" w:type="dxa"/>
            <w:vAlign w:val="center"/>
            <w:hideMark/>
          </w:tcPr>
          <w:p w:rsidR="00592A3B" w:rsidRPr="00BC0897" w:rsidRDefault="00592A3B" w:rsidP="00592A3B">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Pr="00BC0897">
              <w:rPr>
                <w:rFonts w:ascii="Times New Roman" w:hAnsi="Times New Roman" w:cs="Times New Roman"/>
                <w:b/>
                <w:sz w:val="20"/>
                <w:szCs w:val="20"/>
                <w:lang w:val="en-US"/>
              </w:rPr>
              <w:instrText xml:space="preserve"> ADDIN ZOTERO_ITEM CSL_CITATION {"citationID":"EOQOH1bP","properties":{"formattedCitation":"(Kaneko et al. 2010)","plainCitation":"(Kaneko et al. 2010)","noteIndex":0},"citationItems":[{"id":254,"uris":["http://zotero.org/users/local/jkkvYBSC/items/FUJB53NA"],"uri":["http://zotero.org/users/local/jkkvYBSC/items/FUJB53NA"],"itemData":{"id":254,"type":"article-journal","container-title":"Pediatric Nephrology (Berlin, Germany)","DOI":"10.1007/s00467-009-1362-z","ISSN":"1432-198X","issue":"4","journalAbbreviation":"Pediatr. Nephrol.","language":"eng","note":"PMID: 19902262","page":"781-782","source":"PubMed","title":"Focal segmental glomerulosclerosis in a boy with Dent-2 disease","volume":"25","author":[{"family":"Kaneko","given":"Kazunari"},{"family":"Hasui","given":"Masafumi"},{"family":"Hata","given":"Atsuko"},{"family":"Hata","given":"Daisuke"},{"family":"Nozu","given":"Kandai"}],"issued":{"date-parts":[["2010",4]]}}}],"schema":"https://github.com/citation-style-language/schema/raw/master/csl-citation.json"} </w:instrText>
            </w:r>
            <w:r w:rsidRPr="00BC0897">
              <w:rPr>
                <w:rFonts w:ascii="Times New Roman" w:hAnsi="Times New Roman" w:cs="Times New Roman"/>
                <w:b/>
                <w:sz w:val="20"/>
                <w:szCs w:val="20"/>
                <w:lang w:val="en-US"/>
              </w:rPr>
              <w:fldChar w:fldCharType="separate"/>
            </w:r>
            <w:r w:rsidRPr="00BC0897">
              <w:rPr>
                <w:rFonts w:ascii="Times New Roman" w:hAnsi="Times New Roman" w:cs="Times New Roman"/>
                <w:sz w:val="20"/>
                <w:szCs w:val="20"/>
              </w:rPr>
              <w:t>(Kaneko et al. 2010)</w:t>
            </w:r>
            <w:r w:rsidRPr="00BC0897">
              <w:rPr>
                <w:rFonts w:ascii="Times New Roman" w:hAnsi="Times New Roman" w:cs="Times New Roman"/>
                <w:b/>
                <w:sz w:val="20"/>
                <w:szCs w:val="20"/>
                <w:lang w:val="en-US"/>
              </w:rPr>
              <w:fldChar w:fldCharType="end"/>
            </w:r>
          </w:p>
        </w:tc>
        <w:tc>
          <w:tcPr>
            <w:tcW w:w="992" w:type="dxa"/>
            <w:vAlign w:val="center"/>
            <w:hideMark/>
          </w:tcPr>
          <w:p w:rsidR="00592A3B" w:rsidRPr="00BC0897" w:rsidRDefault="00592A3B" w:rsidP="00592A3B">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Pr="00BC0897">
              <w:rPr>
                <w:rFonts w:ascii="Times New Roman" w:hAnsi="Times New Roman" w:cs="Times New Roman"/>
                <w:b/>
                <w:sz w:val="20"/>
                <w:szCs w:val="20"/>
                <w:lang w:val="en-US"/>
              </w:rPr>
              <w:instrText xml:space="preserve"> ADDIN ZOTERO_ITEM CSL_CITATION {"citationID":"sxZaZPsF","properties":{"formattedCitation":"(Hichri et al. 2011)","plainCitation":"(Hichri et al. 2011)","noteIndex":0},"citationItems":[{"id":693,"uris":["http://zotero.org/users/local/jkkvYBSC/items/V4HMC36E"],"uri":["http://zotero.org/users/local/jkkvYBSC/items/V4HMC36E"],"itemData":{"id":693,"type":"article-journal","abstract":"Mutations of OCRL1 are associated with both the Lowe oculocerebrorenal syndrome, a multisystemic and Dent-2 disease, a renal tubulopathy. We have identified a mutation in 130 Lowe syndrome families and 6 affected by Dent-2 disease with 51 of these mutations being novel. No founding effect was evidenced for recurrent mutations. Two mutations initially reported as causing Dent-2 disease were identified in patients, including two brothers, presenting with Lowe syndrome thus extending the clinical variability of OCRL1 mutations. mRNA levels, protein content, and PiP(2) -ase activities were analyzed in patient's fibroblasts. Although mRNA levels were normal in cells harboring a missense mutation, the OCRL1 content was markedly lowered, suggesting that enzymatic deficiency resulted mainly from protein degradation rather than from a catalytic inactivation. Analysis of a splicing mutation that led to the elimination of the initiation codon evidenced the presence of shortened forms of OCRL1 that might result from the use of alternative initiation codons. The specific mapping of the frameshift and nonsense mutations, exclusively identified in exons 1-7 and exons 8-23, respectively, for Dent disease and Lowe syndrome together with the possible use of alternative initiation codons might be related to their clinical expression, that is, Lowe syndrome or Dent-2 disease.","container-title":"Human Mutation","DOI":"10.1002/humu.21391","ISSN":"1098-1004","issue":"4","journalAbbreviation":"Hum. Mutat.","language":"eng","note":"PMID: 21031565","page":"379-388","source":"PubMed","title":"From Lowe syndrome to Dent disease: correlations between mutations of the OCRL1 gene and clinical and biochemical phenotypes","title-short":"From Lowe syndrome to Dent disease","volume":"32","author":[{"family":"Hichri","given":"Haifa"},{"family":"Rendu","given":"John"},{"family":"Monnier","given":"Nicole"},{"family":"Coutton","given":"Charles"},{"family":"Dorseuil","given":"Olivier"},{"family":"Poussou","given":"Rosa Vargas"},{"family":"Baujat","given":"Geneviève"},{"family":"Blanchard","given":"Anne"},{"family":"Nobili","given":"François"},{"family":"Ranchin","given":"Bruno"},{"family":"Remesy","given":"Michel"},{"family":"Salomon","given":"Rémi"},{"family":"Satre","given":"Véronique"},{"family":"Lunardi","given":"Joel"}],"issued":{"date-parts":[["2011",4]]}}}],"schema":"https://github.com/citation-style-language/schema/raw/master/csl-citation.json"} </w:instrText>
            </w:r>
            <w:r w:rsidRPr="00BC0897">
              <w:rPr>
                <w:rFonts w:ascii="Times New Roman" w:hAnsi="Times New Roman" w:cs="Times New Roman"/>
                <w:b/>
                <w:sz w:val="20"/>
                <w:szCs w:val="20"/>
                <w:lang w:val="en-US"/>
              </w:rPr>
              <w:fldChar w:fldCharType="separate"/>
            </w:r>
            <w:r w:rsidRPr="00BC0897">
              <w:rPr>
                <w:rFonts w:ascii="Times New Roman" w:hAnsi="Times New Roman" w:cs="Times New Roman"/>
                <w:sz w:val="20"/>
                <w:szCs w:val="20"/>
              </w:rPr>
              <w:t>(Hichri et al. 2011)</w:t>
            </w:r>
            <w:r w:rsidRPr="00BC0897">
              <w:rPr>
                <w:rFonts w:ascii="Times New Roman" w:hAnsi="Times New Roman" w:cs="Times New Roman"/>
                <w:b/>
                <w:sz w:val="20"/>
                <w:szCs w:val="20"/>
                <w:lang w:val="en-US"/>
              </w:rPr>
              <w:fldChar w:fldCharType="end"/>
            </w:r>
          </w:p>
        </w:tc>
        <w:tc>
          <w:tcPr>
            <w:tcW w:w="1276" w:type="dxa"/>
            <w:vAlign w:val="center"/>
            <w:hideMark/>
          </w:tcPr>
          <w:p w:rsidR="00592A3B" w:rsidRPr="00BC0897" w:rsidRDefault="00592A3B" w:rsidP="00592A3B">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00040F98" w:rsidRPr="00BC0897">
              <w:rPr>
                <w:rFonts w:ascii="Times New Roman" w:hAnsi="Times New Roman" w:cs="Times New Roman"/>
                <w:b/>
                <w:sz w:val="20"/>
                <w:szCs w:val="20"/>
                <w:lang w:val="en-US"/>
              </w:rPr>
              <w:instrText xml:space="preserve"> ADDIN ZOTERO_ITEM CSL_CITATION {"citationID":"NJB69KXo","properties":{"formattedCitation":"(Tasic et al. 2011)","plainCitation":"(Tasic et al. 2011)","noteIndex":0},"citationItems":[{"id":"p7ATYret/govDcVX1","uris":["http://zotero.org/users/local/jkkvYBSC/items/58AU5L2P"],"uri":["http://zotero.org/users/local/jkkvYBSC/items/58AU5L2P"],"itemData":{"id":"p7ATYret/govDcVX1","type":"article-journal","abstract":"OCRL mutations, which are a hallmark of Lowe syndrome, have recently been found in patients with isolated renal phenotype (Dent-2 disease). In this report, we describe clinical and laboratory features in five Macedonian children with mutations in the OCRL gene. Children with a clinical diagnosis of Lowe syndrome or Dent disease underwent complete neurological and ophthalmological examination, imaging of the kidney and urinary tract, assessment of renal tubular function, and mutation analysis of the OCRL gene. Two children (18 months and 11 years, respectively) were diagnosed with Lowe syndrome on the basis of congenital cataracts, severe psychomotor retardation, and renal dysfunction. Both children had low molecular weight proteinuria (LMWP) and hypercalciuria, but not Fanconi syndrome. The older one had bilateral nephrolithiasis due to associated hypocitraturia and mild hyperoxaluria. Three children with asymptomatic proteinuria were diagnosed with Dent-2 disease; none had cataracts or neurological deficit. One child showed mild mental retardation. All had LMWP, hypercalciuria, and elevated enzymes (creatine phosphokinase, lactic dehydrogenase). All three children had an abnormal Tc-99m DMSA scan revealing poor visualization of the kidneys with a high radionuclide content in the bladder; none had nephrolithiasis or nephrocalcinosis. In conclusion, children with OCRL mutations may present with very mild phenotype (asymptomatic proteinuria with/without mild mental retardation) or severe classic oculocerebrorenal syndrome of Lowe. Elevated enzymes and abnormal results on the Tc-99m DMSA scan may be useful indicators for Dent-2 disease.","container-title":"Pediatric Nephrology (Berlin, Germany)","DOI":"10.1007/s00467-010-1758-9","ISSN":"1432-198X","issue":"4","journalAbbreviation":"Pediatr. Nephrol.","language":"eng","note":"PMID: 21249396","page":"557-562","source":"PubMed","title":"Clinical and laboratory features of Macedonian children with OCRL mutations","volume":"26","author":[{"family":"Tasic","given":"Velibor"},{"family":"Lozanovski","given":"Vladimir J."},{"family":"Korneti","given":"Petar"},{"family":"Ristoska-Bojkovska","given":"Nadica"},{"family":"Sabolic-Avramovska","given":"Vesna"},{"family":"Gucev","given":"Zoran"},{"family":"Ludwig","given":"Michael"}],"issued":{"date-parts":[["2011",4]]}}}],"schema":"https://github.com/citation-style-language/schema/raw/master/csl-citation.json"} </w:instrText>
            </w:r>
            <w:r w:rsidRPr="00BC0897">
              <w:rPr>
                <w:rFonts w:ascii="Times New Roman" w:hAnsi="Times New Roman" w:cs="Times New Roman"/>
                <w:b/>
                <w:sz w:val="20"/>
                <w:szCs w:val="20"/>
                <w:lang w:val="en-US"/>
              </w:rPr>
              <w:fldChar w:fldCharType="separate"/>
            </w:r>
            <w:r w:rsidR="00040F98" w:rsidRPr="00BC0897">
              <w:rPr>
                <w:rFonts w:ascii="Times New Roman" w:hAnsi="Times New Roman" w:cs="Times New Roman"/>
                <w:sz w:val="20"/>
              </w:rPr>
              <w:t>(Tasic et al. 2011)</w:t>
            </w:r>
            <w:r w:rsidRPr="00BC0897">
              <w:rPr>
                <w:rFonts w:ascii="Times New Roman" w:hAnsi="Times New Roman" w:cs="Times New Roman"/>
                <w:b/>
                <w:sz w:val="20"/>
                <w:szCs w:val="20"/>
                <w:lang w:val="en-US"/>
              </w:rPr>
              <w:fldChar w:fldCharType="end"/>
            </w:r>
          </w:p>
        </w:tc>
        <w:tc>
          <w:tcPr>
            <w:tcW w:w="1134" w:type="dxa"/>
            <w:vAlign w:val="center"/>
          </w:tcPr>
          <w:p w:rsidR="00592A3B" w:rsidRPr="00BC0897" w:rsidRDefault="00592A3B" w:rsidP="00592A3B">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Pr="00BC0897">
              <w:rPr>
                <w:rFonts w:ascii="Times New Roman" w:hAnsi="Times New Roman" w:cs="Times New Roman"/>
                <w:b/>
                <w:sz w:val="20"/>
                <w:szCs w:val="20"/>
                <w:lang w:val="en-US"/>
              </w:rPr>
              <w:instrText xml:space="preserve"> ADDIN ZOTERO_ITEM CSL_CITATION {"citationID":"EQNc8QCv","properties":{"formattedCitation":"(Becker-Cohen et al. 2012)","plainCitation":"(Becker-Cohen et al. 2012)","noteIndex":0},"citationItems":[{"id":583,"uris":["http://zotero.org/users/local/jkkvYBSC/items/M5ID4YM7"],"uri":["http://zotero.org/users/local/jkkvYBSC/items/M5ID4YM7"],"itemData":{"id":583,"type":"article-journal","abstract":"BACKGROUND: Three patients with Dent's disease presented with complaints of impaired night vision or xerophthalmia and were found to have severely decreased serum retinol concentrations. Retinol, bound to its carrier retinol-binding protein (RBP), is filtered at the glomerulus and reabsorbed at the proximal tubule. We hypothesized that urinary loss of retinol-RBP complex is responsible for decreased serum retinol.\nOBJECTIVE AND METHODS: The study aim was to investigate vitamin A status and RBP in serum and urine of patients with genetically confirmed Dent's disease.\nRESULTS: Eight patients were studied, three boys had clinical vitamin A deficiency, three had asymptomatic deficiency, and two young men with Dent's disease and impaired renal function had normal retinol values. Serum RBP concentrations were low in patients with vitamin A deficiency and were correlated with vitamin A levels. Urinary RBP concentrations were increased in all patients (2,000-fold), regardless of vitamin A status. This was in contrast to patients with glomerular proteinuria who had only mildly increased urinary RBP with normal serum RBP and vitamin A, and patients with cystinosis with impaired renal function who had massive urinary RBP losses but without a decrease in serum RBP or vitamin A levels. Treatment with vitamin A supplements in patients with retinol deficiency resulted in rapid resolution of ocular symptoms and an increase in serum retinol concentrations.\nCONCLUSIONS: Vitamin A deficiency is common in patients with Dent's disease and preserved renal function. We therefore recommend screening these patients for retinol deficiency and treating them before visual symptoms develop.","container-title":"Pediatric Nephrology (Berlin, Germany)","DOI":"10.1007/s00467-012-2121-0","ISSN":"1432-198X","issue":"7","journalAbbreviation":"Pediatr. Nephrol.","language":"eng","note":"PMID: 22350370","page":"1097-1102","source":"PubMed","title":"Vitamin A deficiency associated with urinary retinol binding protein wasting in Dent's disease","volume":"27","author":[{"family":"Becker-Cohen","given":"Rachel"},{"family":"Rinat","given":"Choni"},{"family":"Ben-Shalom","given":"Efrat"},{"family":"Feinstein","given":"Sofia"},{"family":"Ivgi","given":"Heftziba"},{"family":"Frishberg","given":"Yaacov"}],"issued":{"date-parts":[["2012",7]]}}}],"schema":"https://github.com/citation-style-language/schema/raw/master/csl-citation.json"} </w:instrText>
            </w:r>
            <w:r w:rsidRPr="00BC0897">
              <w:rPr>
                <w:rFonts w:ascii="Times New Roman" w:hAnsi="Times New Roman" w:cs="Times New Roman"/>
                <w:b/>
                <w:sz w:val="20"/>
                <w:szCs w:val="20"/>
                <w:lang w:val="en-US"/>
              </w:rPr>
              <w:fldChar w:fldCharType="separate"/>
            </w:r>
            <w:r w:rsidRPr="00BC0897">
              <w:rPr>
                <w:rFonts w:ascii="Times New Roman" w:hAnsi="Times New Roman" w:cs="Times New Roman"/>
                <w:sz w:val="20"/>
                <w:szCs w:val="20"/>
                <w:lang w:val="en-US"/>
              </w:rPr>
              <w:t>(Becker-Cohen et al. 2012)</w:t>
            </w:r>
            <w:r w:rsidRPr="00BC0897">
              <w:rPr>
                <w:rFonts w:ascii="Times New Roman" w:hAnsi="Times New Roman" w:cs="Times New Roman"/>
                <w:b/>
                <w:sz w:val="20"/>
                <w:szCs w:val="20"/>
                <w:lang w:val="en-US"/>
              </w:rPr>
              <w:fldChar w:fldCharType="end"/>
            </w:r>
          </w:p>
        </w:tc>
      </w:tr>
      <w:tr w:rsidR="00592A3B" w:rsidRPr="00BC0897" w:rsidTr="00592A3B">
        <w:trPr>
          <w:trHeight w:val="300"/>
        </w:trPr>
        <w:tc>
          <w:tcPr>
            <w:tcW w:w="2093" w:type="dxa"/>
            <w:vAlign w:val="center"/>
            <w:hideMark/>
          </w:tcPr>
          <w:p w:rsidR="00592A3B" w:rsidRPr="00BC0897" w:rsidRDefault="00592A3B" w:rsidP="00592A3B">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n</w:t>
            </w:r>
          </w:p>
        </w:tc>
        <w:tc>
          <w:tcPr>
            <w:tcW w:w="992" w:type="dxa"/>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143</w:t>
            </w:r>
          </w:p>
        </w:tc>
        <w:tc>
          <w:tcPr>
            <w:tcW w:w="1012" w:type="dxa"/>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w:t>
            </w:r>
          </w:p>
        </w:tc>
        <w:tc>
          <w:tcPr>
            <w:tcW w:w="1001" w:type="dxa"/>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6</w:t>
            </w:r>
          </w:p>
        </w:tc>
        <w:tc>
          <w:tcPr>
            <w:tcW w:w="992" w:type="dxa"/>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w:t>
            </w:r>
          </w:p>
        </w:tc>
        <w:tc>
          <w:tcPr>
            <w:tcW w:w="992" w:type="dxa"/>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w:t>
            </w:r>
          </w:p>
        </w:tc>
        <w:tc>
          <w:tcPr>
            <w:tcW w:w="1135" w:type="dxa"/>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6</w:t>
            </w:r>
          </w:p>
        </w:tc>
        <w:tc>
          <w:tcPr>
            <w:tcW w:w="1276" w:type="dxa"/>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28</w:t>
            </w:r>
          </w:p>
        </w:tc>
        <w:tc>
          <w:tcPr>
            <w:tcW w:w="992" w:type="dxa"/>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992" w:type="dxa"/>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6</w:t>
            </w:r>
          </w:p>
        </w:tc>
        <w:tc>
          <w:tcPr>
            <w:tcW w:w="1276" w:type="dxa"/>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w:t>
            </w:r>
          </w:p>
        </w:tc>
        <w:tc>
          <w:tcPr>
            <w:tcW w:w="1134" w:type="dxa"/>
            <w:vAlign w:val="center"/>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r>
      <w:tr w:rsidR="00592A3B" w:rsidRPr="00BC0897" w:rsidTr="00592A3B">
        <w:trPr>
          <w:trHeight w:val="300"/>
        </w:trPr>
        <w:tc>
          <w:tcPr>
            <w:tcW w:w="2093" w:type="dxa"/>
            <w:noWrap/>
            <w:vAlign w:val="center"/>
            <w:hideMark/>
          </w:tcPr>
          <w:p w:rsidR="00592A3B" w:rsidRPr="00BC0897" w:rsidRDefault="00592A3B" w:rsidP="00592A3B">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Population</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01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Global</w:t>
            </w:r>
          </w:p>
        </w:tc>
        <w:tc>
          <w:tcPr>
            <w:tcW w:w="1001"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European</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Japanese</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Korean</w:t>
            </w:r>
          </w:p>
        </w:tc>
        <w:tc>
          <w:tcPr>
            <w:tcW w:w="1135"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Global</w:t>
            </w: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Global</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Japanese</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French</w:t>
            </w:r>
          </w:p>
        </w:tc>
        <w:tc>
          <w:tcPr>
            <w:tcW w:w="1276" w:type="dxa"/>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Macedonian</w:t>
            </w:r>
          </w:p>
        </w:tc>
        <w:tc>
          <w:tcPr>
            <w:tcW w:w="1134" w:type="dxa"/>
            <w:vAlign w:val="center"/>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Israeli</w:t>
            </w:r>
          </w:p>
        </w:tc>
      </w:tr>
      <w:tr w:rsidR="00592A3B" w:rsidRPr="00BC0897" w:rsidTr="00592A3B">
        <w:trPr>
          <w:trHeight w:val="300"/>
        </w:trPr>
        <w:tc>
          <w:tcPr>
            <w:tcW w:w="2093" w:type="dxa"/>
            <w:vAlign w:val="center"/>
            <w:hideMark/>
          </w:tcPr>
          <w:p w:rsidR="00592A3B" w:rsidRPr="00BC0897" w:rsidRDefault="00592A3B" w:rsidP="00592A3B">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Age (years, range)</w:t>
            </w:r>
          </w:p>
        </w:tc>
        <w:tc>
          <w:tcPr>
            <w:tcW w:w="992" w:type="dxa"/>
            <w:vAlign w:val="center"/>
            <w:hideMark/>
          </w:tcPr>
          <w:p w:rsidR="00592A3B" w:rsidRPr="00BC0897" w:rsidRDefault="00284980"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0.1-30.5</w:t>
            </w:r>
          </w:p>
        </w:tc>
        <w:tc>
          <w:tcPr>
            <w:tcW w:w="1012" w:type="dxa"/>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8-27</w:t>
            </w:r>
          </w:p>
        </w:tc>
        <w:tc>
          <w:tcPr>
            <w:tcW w:w="1001" w:type="dxa"/>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4.75-12.5</w:t>
            </w:r>
          </w:p>
        </w:tc>
        <w:tc>
          <w:tcPr>
            <w:tcW w:w="992" w:type="dxa"/>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3-11</w:t>
            </w:r>
          </w:p>
        </w:tc>
        <w:tc>
          <w:tcPr>
            <w:tcW w:w="992" w:type="dxa"/>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0.1-6.9</w:t>
            </w:r>
          </w:p>
        </w:tc>
        <w:tc>
          <w:tcPr>
            <w:tcW w:w="1135" w:type="dxa"/>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0.5-12</w:t>
            </w:r>
          </w:p>
        </w:tc>
        <w:tc>
          <w:tcPr>
            <w:tcW w:w="1276" w:type="dxa"/>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992" w:type="dxa"/>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w:t>
            </w:r>
          </w:p>
        </w:tc>
        <w:tc>
          <w:tcPr>
            <w:tcW w:w="992" w:type="dxa"/>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7-27</w:t>
            </w:r>
          </w:p>
        </w:tc>
        <w:tc>
          <w:tcPr>
            <w:tcW w:w="1276" w:type="dxa"/>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1.5-10</w:t>
            </w:r>
          </w:p>
        </w:tc>
        <w:tc>
          <w:tcPr>
            <w:tcW w:w="1134" w:type="dxa"/>
            <w:vAlign w:val="center"/>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69</w:t>
            </w:r>
          </w:p>
        </w:tc>
      </w:tr>
      <w:tr w:rsidR="00592A3B" w:rsidRPr="00BC0897" w:rsidTr="00592A3B">
        <w:trPr>
          <w:trHeight w:val="300"/>
        </w:trPr>
        <w:tc>
          <w:tcPr>
            <w:tcW w:w="2093" w:type="dxa"/>
            <w:noWrap/>
            <w:vAlign w:val="center"/>
            <w:hideMark/>
          </w:tcPr>
          <w:p w:rsidR="00592A3B" w:rsidRPr="00BC0897" w:rsidRDefault="00592A3B" w:rsidP="00592A3B">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Proteinuria</w:t>
            </w:r>
          </w:p>
        </w:tc>
        <w:tc>
          <w:tcPr>
            <w:tcW w:w="992" w:type="dxa"/>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39/39</w:t>
            </w:r>
          </w:p>
        </w:tc>
        <w:tc>
          <w:tcPr>
            <w:tcW w:w="1012" w:type="dxa"/>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001" w:type="dxa"/>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6/6</w:t>
            </w:r>
          </w:p>
        </w:tc>
        <w:tc>
          <w:tcPr>
            <w:tcW w:w="992" w:type="dxa"/>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4/4</w:t>
            </w:r>
          </w:p>
        </w:tc>
        <w:tc>
          <w:tcPr>
            <w:tcW w:w="992" w:type="dxa"/>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5" w:type="dxa"/>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276" w:type="dxa"/>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992" w:type="dxa"/>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c>
          <w:tcPr>
            <w:tcW w:w="992" w:type="dxa"/>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c>
          <w:tcPr>
            <w:tcW w:w="1276" w:type="dxa"/>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3/3</w:t>
            </w:r>
          </w:p>
        </w:tc>
        <w:tc>
          <w:tcPr>
            <w:tcW w:w="1134" w:type="dxa"/>
            <w:vAlign w:val="center"/>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r>
      <w:tr w:rsidR="00592A3B" w:rsidRPr="00BC0897" w:rsidTr="00592A3B">
        <w:trPr>
          <w:trHeight w:val="300"/>
        </w:trPr>
        <w:tc>
          <w:tcPr>
            <w:tcW w:w="2093" w:type="dxa"/>
            <w:noWrap/>
            <w:vAlign w:val="center"/>
            <w:hideMark/>
          </w:tcPr>
          <w:p w:rsidR="00592A3B" w:rsidRPr="00BC0897" w:rsidRDefault="00592A3B" w:rsidP="00592A3B">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Nephrotic range proteinuria</w:t>
            </w:r>
          </w:p>
        </w:tc>
        <w:tc>
          <w:tcPr>
            <w:tcW w:w="992" w:type="dxa"/>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20/42</w:t>
            </w:r>
          </w:p>
        </w:tc>
        <w:tc>
          <w:tcPr>
            <w:tcW w:w="1012" w:type="dxa"/>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001" w:type="dxa"/>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6/6</w:t>
            </w:r>
          </w:p>
        </w:tc>
        <w:tc>
          <w:tcPr>
            <w:tcW w:w="992" w:type="dxa"/>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3/4</w:t>
            </w:r>
          </w:p>
        </w:tc>
        <w:tc>
          <w:tcPr>
            <w:tcW w:w="992" w:type="dxa"/>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5" w:type="dxa"/>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276" w:type="dxa"/>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992" w:type="dxa"/>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276" w:type="dxa"/>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3/3</w:t>
            </w:r>
          </w:p>
        </w:tc>
        <w:tc>
          <w:tcPr>
            <w:tcW w:w="1134" w:type="dxa"/>
            <w:vAlign w:val="center"/>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r>
      <w:tr w:rsidR="00592A3B" w:rsidRPr="00BC0897" w:rsidTr="00592A3B">
        <w:trPr>
          <w:trHeight w:val="300"/>
        </w:trPr>
        <w:tc>
          <w:tcPr>
            <w:tcW w:w="2093" w:type="dxa"/>
            <w:noWrap/>
            <w:vAlign w:val="center"/>
            <w:hideMark/>
          </w:tcPr>
          <w:p w:rsidR="00592A3B" w:rsidRPr="00BC0897" w:rsidRDefault="00592A3B" w:rsidP="00592A3B">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LMWP</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134/134</w:t>
            </w:r>
          </w:p>
        </w:tc>
        <w:tc>
          <w:tcPr>
            <w:tcW w:w="101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5/5</w:t>
            </w:r>
          </w:p>
        </w:tc>
        <w:tc>
          <w:tcPr>
            <w:tcW w:w="1001"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6/6</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4/4</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2/2</w:t>
            </w:r>
          </w:p>
        </w:tc>
        <w:tc>
          <w:tcPr>
            <w:tcW w:w="1135"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6/6</w:t>
            </w: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28/28</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3/3</w:t>
            </w: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3/3</w:t>
            </w:r>
          </w:p>
        </w:tc>
        <w:tc>
          <w:tcPr>
            <w:tcW w:w="1134" w:type="dxa"/>
            <w:vAlign w:val="center"/>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r>
      <w:tr w:rsidR="00592A3B" w:rsidRPr="00BC0897" w:rsidTr="00592A3B">
        <w:trPr>
          <w:trHeight w:val="300"/>
        </w:trPr>
        <w:tc>
          <w:tcPr>
            <w:tcW w:w="2093" w:type="dxa"/>
            <w:noWrap/>
            <w:vAlign w:val="center"/>
            <w:hideMark/>
          </w:tcPr>
          <w:p w:rsidR="00592A3B" w:rsidRPr="00BC0897" w:rsidRDefault="00592A3B" w:rsidP="00592A3B">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Hypercalciuria</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104/122</w:t>
            </w:r>
          </w:p>
        </w:tc>
        <w:tc>
          <w:tcPr>
            <w:tcW w:w="101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5/5</w:t>
            </w:r>
          </w:p>
        </w:tc>
        <w:tc>
          <w:tcPr>
            <w:tcW w:w="1001"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6/6</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2/2</w:t>
            </w:r>
          </w:p>
        </w:tc>
        <w:tc>
          <w:tcPr>
            <w:tcW w:w="1135"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6/6</w:t>
            </w: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24/28</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4/4</w:t>
            </w: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2/2</w:t>
            </w:r>
          </w:p>
        </w:tc>
        <w:tc>
          <w:tcPr>
            <w:tcW w:w="1134" w:type="dxa"/>
            <w:vAlign w:val="center"/>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r>
      <w:tr w:rsidR="00592A3B" w:rsidRPr="00BC0897" w:rsidTr="00592A3B">
        <w:trPr>
          <w:trHeight w:val="300"/>
        </w:trPr>
        <w:tc>
          <w:tcPr>
            <w:tcW w:w="2093" w:type="dxa"/>
            <w:noWrap/>
            <w:vAlign w:val="center"/>
            <w:hideMark/>
          </w:tcPr>
          <w:p w:rsidR="00592A3B" w:rsidRPr="00BC0897" w:rsidRDefault="00592A3B" w:rsidP="00592A3B">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Hematuria</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16/32</w:t>
            </w:r>
          </w:p>
        </w:tc>
        <w:tc>
          <w:tcPr>
            <w:tcW w:w="101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001"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3/6</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1/4</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2/2</w:t>
            </w:r>
          </w:p>
        </w:tc>
        <w:tc>
          <w:tcPr>
            <w:tcW w:w="1135"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2/6</w:t>
            </w: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134" w:type="dxa"/>
            <w:vAlign w:val="center"/>
          </w:tcPr>
          <w:p w:rsidR="00592A3B" w:rsidRPr="00BC0897" w:rsidRDefault="00592A3B" w:rsidP="00592A3B">
            <w:pPr>
              <w:spacing w:after="0"/>
              <w:jc w:val="center"/>
              <w:rPr>
                <w:rFonts w:ascii="Times New Roman" w:hAnsi="Times New Roman" w:cs="Times New Roman"/>
                <w:sz w:val="20"/>
                <w:szCs w:val="20"/>
                <w:lang w:val="en-US"/>
              </w:rPr>
            </w:pPr>
          </w:p>
        </w:tc>
      </w:tr>
      <w:tr w:rsidR="00592A3B" w:rsidRPr="00BC0897" w:rsidTr="00592A3B">
        <w:trPr>
          <w:trHeight w:val="300"/>
        </w:trPr>
        <w:tc>
          <w:tcPr>
            <w:tcW w:w="2093" w:type="dxa"/>
            <w:noWrap/>
            <w:vAlign w:val="center"/>
            <w:hideMark/>
          </w:tcPr>
          <w:p w:rsidR="00592A3B" w:rsidRPr="00BC0897" w:rsidRDefault="00592A3B" w:rsidP="00592A3B">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Failure to thrive</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27/50</w:t>
            </w:r>
          </w:p>
        </w:tc>
        <w:tc>
          <w:tcPr>
            <w:tcW w:w="101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1/5</w:t>
            </w:r>
          </w:p>
        </w:tc>
        <w:tc>
          <w:tcPr>
            <w:tcW w:w="1001"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4/6</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135"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0/2</w:t>
            </w: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134" w:type="dxa"/>
            <w:vAlign w:val="center"/>
          </w:tcPr>
          <w:p w:rsidR="00592A3B" w:rsidRPr="00BC0897" w:rsidRDefault="00592A3B" w:rsidP="00592A3B">
            <w:pPr>
              <w:spacing w:after="0"/>
              <w:jc w:val="center"/>
              <w:rPr>
                <w:rFonts w:ascii="Times New Roman" w:hAnsi="Times New Roman" w:cs="Times New Roman"/>
                <w:sz w:val="20"/>
                <w:szCs w:val="20"/>
                <w:lang w:val="en-US"/>
              </w:rPr>
            </w:pPr>
          </w:p>
        </w:tc>
      </w:tr>
      <w:tr w:rsidR="00592A3B" w:rsidRPr="00BC0897" w:rsidTr="00592A3B">
        <w:trPr>
          <w:trHeight w:val="300"/>
        </w:trPr>
        <w:tc>
          <w:tcPr>
            <w:tcW w:w="2093" w:type="dxa"/>
            <w:noWrap/>
            <w:vAlign w:val="center"/>
            <w:hideMark/>
          </w:tcPr>
          <w:p w:rsidR="00592A3B" w:rsidRPr="00BC0897" w:rsidRDefault="00592A3B" w:rsidP="00592A3B">
            <w:pPr>
              <w:spacing w:after="0"/>
              <w:rPr>
                <w:rFonts w:ascii="Times New Roman" w:hAnsi="Times New Roman" w:cs="Times New Roman"/>
                <w:b/>
                <w:sz w:val="20"/>
                <w:szCs w:val="20"/>
                <w:lang w:val="en-US"/>
              </w:rPr>
            </w:pPr>
            <w:proofErr w:type="spellStart"/>
            <w:r w:rsidRPr="00BC0897">
              <w:rPr>
                <w:rFonts w:ascii="Times New Roman" w:hAnsi="Times New Roman" w:cs="Times New Roman"/>
                <w:b/>
                <w:sz w:val="20"/>
                <w:szCs w:val="20"/>
                <w:lang w:val="en-US"/>
              </w:rPr>
              <w:t>Fanconi</w:t>
            </w:r>
            <w:proofErr w:type="spellEnd"/>
            <w:r w:rsidRPr="00BC0897">
              <w:rPr>
                <w:rFonts w:ascii="Times New Roman" w:hAnsi="Times New Roman" w:cs="Times New Roman"/>
                <w:b/>
                <w:sz w:val="20"/>
                <w:szCs w:val="20"/>
                <w:lang w:val="en-US"/>
              </w:rPr>
              <w:t xml:space="preserve"> incomplete</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10/14</w:t>
            </w:r>
          </w:p>
        </w:tc>
        <w:tc>
          <w:tcPr>
            <w:tcW w:w="101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5/5</w:t>
            </w:r>
          </w:p>
        </w:tc>
        <w:tc>
          <w:tcPr>
            <w:tcW w:w="1001"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135"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134" w:type="dxa"/>
            <w:vAlign w:val="center"/>
          </w:tcPr>
          <w:p w:rsidR="00592A3B" w:rsidRPr="00BC0897" w:rsidRDefault="00592A3B" w:rsidP="00592A3B">
            <w:pPr>
              <w:spacing w:after="0"/>
              <w:jc w:val="center"/>
              <w:rPr>
                <w:rFonts w:ascii="Times New Roman" w:hAnsi="Times New Roman" w:cs="Times New Roman"/>
                <w:sz w:val="20"/>
                <w:szCs w:val="20"/>
                <w:lang w:val="en-US"/>
              </w:rPr>
            </w:pPr>
          </w:p>
        </w:tc>
      </w:tr>
      <w:tr w:rsidR="00592A3B" w:rsidRPr="00BC0897" w:rsidTr="00592A3B">
        <w:trPr>
          <w:trHeight w:val="300"/>
        </w:trPr>
        <w:tc>
          <w:tcPr>
            <w:tcW w:w="2093" w:type="dxa"/>
            <w:noWrap/>
            <w:vAlign w:val="center"/>
            <w:hideMark/>
          </w:tcPr>
          <w:p w:rsidR="00592A3B" w:rsidRPr="00BC0897" w:rsidRDefault="00592A3B" w:rsidP="00592A3B">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Renal failure</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39/89</w:t>
            </w:r>
          </w:p>
        </w:tc>
        <w:tc>
          <w:tcPr>
            <w:tcW w:w="101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2/5</w:t>
            </w:r>
          </w:p>
        </w:tc>
        <w:tc>
          <w:tcPr>
            <w:tcW w:w="1001"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0/6</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0/2</w:t>
            </w:r>
          </w:p>
        </w:tc>
        <w:tc>
          <w:tcPr>
            <w:tcW w:w="1135"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8/25</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134" w:type="dxa"/>
            <w:vAlign w:val="center"/>
          </w:tcPr>
          <w:p w:rsidR="00592A3B" w:rsidRPr="00BC0897" w:rsidRDefault="00592A3B" w:rsidP="00592A3B">
            <w:pPr>
              <w:spacing w:after="0"/>
              <w:jc w:val="center"/>
              <w:rPr>
                <w:rFonts w:ascii="Times New Roman" w:hAnsi="Times New Roman" w:cs="Times New Roman"/>
                <w:sz w:val="20"/>
                <w:szCs w:val="20"/>
                <w:lang w:val="en-US"/>
              </w:rPr>
            </w:pPr>
          </w:p>
        </w:tc>
      </w:tr>
      <w:tr w:rsidR="00592A3B" w:rsidRPr="00BC0897" w:rsidTr="00592A3B">
        <w:trPr>
          <w:trHeight w:val="300"/>
        </w:trPr>
        <w:tc>
          <w:tcPr>
            <w:tcW w:w="2093" w:type="dxa"/>
            <w:noWrap/>
            <w:vAlign w:val="center"/>
            <w:hideMark/>
          </w:tcPr>
          <w:p w:rsidR="00592A3B" w:rsidRPr="00BC0897" w:rsidRDefault="00592A3B" w:rsidP="00592A3B">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Aminoaciduria</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30/72</w:t>
            </w:r>
          </w:p>
        </w:tc>
        <w:tc>
          <w:tcPr>
            <w:tcW w:w="101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2/5</w:t>
            </w:r>
          </w:p>
        </w:tc>
        <w:tc>
          <w:tcPr>
            <w:tcW w:w="1001"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1/3</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0/2</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135"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3/6</w:t>
            </w: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11/21</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1/3</w:t>
            </w:r>
          </w:p>
        </w:tc>
        <w:tc>
          <w:tcPr>
            <w:tcW w:w="1134" w:type="dxa"/>
            <w:vAlign w:val="center"/>
          </w:tcPr>
          <w:p w:rsidR="00592A3B" w:rsidRPr="00BC0897" w:rsidRDefault="00592A3B" w:rsidP="00592A3B">
            <w:pPr>
              <w:spacing w:after="0"/>
              <w:jc w:val="center"/>
              <w:rPr>
                <w:rFonts w:ascii="Times New Roman" w:hAnsi="Times New Roman" w:cs="Times New Roman"/>
                <w:sz w:val="20"/>
                <w:szCs w:val="20"/>
                <w:lang w:val="en-US"/>
              </w:rPr>
            </w:pPr>
          </w:p>
        </w:tc>
      </w:tr>
      <w:tr w:rsidR="00592A3B" w:rsidRPr="00BC0897" w:rsidTr="00592A3B">
        <w:trPr>
          <w:trHeight w:val="300"/>
        </w:trPr>
        <w:tc>
          <w:tcPr>
            <w:tcW w:w="2093" w:type="dxa"/>
            <w:noWrap/>
            <w:vAlign w:val="center"/>
            <w:hideMark/>
          </w:tcPr>
          <w:p w:rsidR="00592A3B" w:rsidRPr="00BC0897" w:rsidRDefault="00592A3B" w:rsidP="00592A3B">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Nephrocalcinosis</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32/127</w:t>
            </w:r>
          </w:p>
        </w:tc>
        <w:tc>
          <w:tcPr>
            <w:tcW w:w="101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1/5</w:t>
            </w:r>
          </w:p>
        </w:tc>
        <w:tc>
          <w:tcPr>
            <w:tcW w:w="1001"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0/6</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1/4</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135"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4/6</w:t>
            </w: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11/28</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0/3</w:t>
            </w:r>
          </w:p>
        </w:tc>
        <w:tc>
          <w:tcPr>
            <w:tcW w:w="1134" w:type="dxa"/>
            <w:vAlign w:val="center"/>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r>
      <w:tr w:rsidR="00592A3B" w:rsidRPr="00BC0897" w:rsidTr="00592A3B">
        <w:trPr>
          <w:trHeight w:val="300"/>
        </w:trPr>
        <w:tc>
          <w:tcPr>
            <w:tcW w:w="2093" w:type="dxa"/>
            <w:noWrap/>
            <w:vAlign w:val="center"/>
            <w:hideMark/>
          </w:tcPr>
          <w:p w:rsidR="00592A3B" w:rsidRPr="00BC0897" w:rsidRDefault="00592A3B" w:rsidP="00592A3B">
            <w:pPr>
              <w:spacing w:after="0"/>
              <w:rPr>
                <w:rFonts w:ascii="Times New Roman" w:hAnsi="Times New Roman" w:cs="Times New Roman"/>
                <w:b/>
                <w:sz w:val="20"/>
                <w:szCs w:val="20"/>
                <w:lang w:val="en-US"/>
              </w:rPr>
            </w:pPr>
            <w:proofErr w:type="spellStart"/>
            <w:r w:rsidRPr="00BC0897">
              <w:rPr>
                <w:rFonts w:ascii="Times New Roman" w:hAnsi="Times New Roman" w:cs="Times New Roman"/>
                <w:b/>
                <w:sz w:val="20"/>
                <w:szCs w:val="20"/>
                <w:lang w:val="en-US"/>
              </w:rPr>
              <w:t>Hypochloremia</w:t>
            </w:r>
            <w:proofErr w:type="spellEnd"/>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1/8</w:t>
            </w:r>
          </w:p>
        </w:tc>
        <w:tc>
          <w:tcPr>
            <w:tcW w:w="101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001"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0/4</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135"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134" w:type="dxa"/>
            <w:vAlign w:val="center"/>
          </w:tcPr>
          <w:p w:rsidR="00592A3B" w:rsidRPr="00BC0897" w:rsidRDefault="00592A3B" w:rsidP="00592A3B">
            <w:pPr>
              <w:spacing w:after="0"/>
              <w:jc w:val="center"/>
              <w:rPr>
                <w:rFonts w:ascii="Times New Roman" w:hAnsi="Times New Roman" w:cs="Times New Roman"/>
                <w:sz w:val="20"/>
                <w:szCs w:val="20"/>
                <w:lang w:val="en-US"/>
              </w:rPr>
            </w:pPr>
          </w:p>
        </w:tc>
      </w:tr>
      <w:tr w:rsidR="00592A3B" w:rsidRPr="00BC0897" w:rsidTr="00592A3B">
        <w:trPr>
          <w:trHeight w:val="300"/>
        </w:trPr>
        <w:tc>
          <w:tcPr>
            <w:tcW w:w="2093" w:type="dxa"/>
            <w:noWrap/>
            <w:vAlign w:val="center"/>
            <w:hideMark/>
          </w:tcPr>
          <w:p w:rsidR="00592A3B" w:rsidRPr="00BC0897" w:rsidRDefault="00592A3B" w:rsidP="00592A3B">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Hyperphosphaturia</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9/46</w:t>
            </w:r>
          </w:p>
        </w:tc>
        <w:tc>
          <w:tcPr>
            <w:tcW w:w="101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001"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135"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6/25</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2/2</w:t>
            </w: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134" w:type="dxa"/>
            <w:vAlign w:val="center"/>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r>
      <w:tr w:rsidR="00592A3B" w:rsidRPr="00BC0897" w:rsidTr="00592A3B">
        <w:trPr>
          <w:trHeight w:val="300"/>
        </w:trPr>
        <w:tc>
          <w:tcPr>
            <w:tcW w:w="2093" w:type="dxa"/>
            <w:noWrap/>
            <w:vAlign w:val="center"/>
            <w:hideMark/>
          </w:tcPr>
          <w:p w:rsidR="00592A3B" w:rsidRPr="00BC0897" w:rsidRDefault="00345414" w:rsidP="00592A3B">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Nephrolithiasis</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9/66</w:t>
            </w:r>
          </w:p>
        </w:tc>
        <w:tc>
          <w:tcPr>
            <w:tcW w:w="101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0/5</w:t>
            </w:r>
          </w:p>
        </w:tc>
        <w:tc>
          <w:tcPr>
            <w:tcW w:w="1001"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0/6</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135"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0/6</w:t>
            </w: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0/3</w:t>
            </w:r>
          </w:p>
        </w:tc>
        <w:tc>
          <w:tcPr>
            <w:tcW w:w="1134" w:type="dxa"/>
            <w:vAlign w:val="center"/>
          </w:tcPr>
          <w:p w:rsidR="00592A3B" w:rsidRPr="00BC0897" w:rsidRDefault="00592A3B" w:rsidP="00592A3B">
            <w:pPr>
              <w:spacing w:after="0"/>
              <w:jc w:val="center"/>
              <w:rPr>
                <w:rFonts w:ascii="Times New Roman" w:hAnsi="Times New Roman" w:cs="Times New Roman"/>
                <w:sz w:val="20"/>
                <w:szCs w:val="20"/>
                <w:lang w:val="en-US"/>
              </w:rPr>
            </w:pPr>
          </w:p>
        </w:tc>
      </w:tr>
      <w:tr w:rsidR="00592A3B" w:rsidRPr="00BC0897" w:rsidTr="00592A3B">
        <w:trPr>
          <w:trHeight w:val="300"/>
        </w:trPr>
        <w:tc>
          <w:tcPr>
            <w:tcW w:w="2093" w:type="dxa"/>
            <w:noWrap/>
            <w:vAlign w:val="center"/>
            <w:hideMark/>
          </w:tcPr>
          <w:p w:rsidR="00592A3B" w:rsidRPr="00BC0897" w:rsidRDefault="00592A3B" w:rsidP="00592A3B">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Metabolic acidosis</w:t>
            </w:r>
          </w:p>
        </w:tc>
        <w:tc>
          <w:tcPr>
            <w:tcW w:w="992" w:type="dxa"/>
            <w:noWrap/>
            <w:vAlign w:val="center"/>
            <w:hideMark/>
          </w:tcPr>
          <w:p w:rsidR="00592A3B" w:rsidRPr="00BC0897" w:rsidRDefault="004944F7"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6/</w:t>
            </w:r>
            <w:r w:rsidR="00592A3B" w:rsidRPr="00BC0897">
              <w:rPr>
                <w:rFonts w:ascii="Times New Roman" w:hAnsi="Times New Roman" w:cs="Times New Roman"/>
                <w:sz w:val="20"/>
                <w:szCs w:val="20"/>
                <w:lang w:val="en-US"/>
              </w:rPr>
              <w:t>87</w:t>
            </w:r>
          </w:p>
        </w:tc>
        <w:tc>
          <w:tcPr>
            <w:tcW w:w="101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001"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0/6</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0/2</w:t>
            </w:r>
          </w:p>
        </w:tc>
        <w:tc>
          <w:tcPr>
            <w:tcW w:w="1135"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1/27</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134" w:type="dxa"/>
            <w:vAlign w:val="center"/>
          </w:tcPr>
          <w:p w:rsidR="00592A3B" w:rsidRPr="00BC0897" w:rsidRDefault="00592A3B" w:rsidP="00592A3B">
            <w:pPr>
              <w:spacing w:after="0"/>
              <w:jc w:val="center"/>
              <w:rPr>
                <w:rFonts w:ascii="Times New Roman" w:hAnsi="Times New Roman" w:cs="Times New Roman"/>
                <w:sz w:val="20"/>
                <w:szCs w:val="20"/>
                <w:lang w:val="en-US"/>
              </w:rPr>
            </w:pPr>
          </w:p>
        </w:tc>
      </w:tr>
      <w:tr w:rsidR="00592A3B" w:rsidRPr="00BC0897" w:rsidTr="00592A3B">
        <w:trPr>
          <w:trHeight w:val="300"/>
        </w:trPr>
        <w:tc>
          <w:tcPr>
            <w:tcW w:w="2093" w:type="dxa"/>
            <w:noWrap/>
            <w:vAlign w:val="center"/>
            <w:hideMark/>
          </w:tcPr>
          <w:p w:rsidR="00592A3B" w:rsidRPr="00BC0897" w:rsidRDefault="00592A3B" w:rsidP="00592A3B">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Bone disorders</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8/67</w:t>
            </w:r>
          </w:p>
        </w:tc>
        <w:tc>
          <w:tcPr>
            <w:tcW w:w="101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0/5</w:t>
            </w:r>
          </w:p>
        </w:tc>
        <w:tc>
          <w:tcPr>
            <w:tcW w:w="1001"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0/6</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0/4</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0/2</w:t>
            </w:r>
          </w:p>
        </w:tc>
        <w:tc>
          <w:tcPr>
            <w:tcW w:w="1135"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3/6</w:t>
            </w: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134" w:type="dxa"/>
            <w:vAlign w:val="center"/>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r>
      <w:tr w:rsidR="00592A3B" w:rsidRPr="00BC0897" w:rsidTr="00592A3B">
        <w:trPr>
          <w:trHeight w:val="300"/>
        </w:trPr>
        <w:tc>
          <w:tcPr>
            <w:tcW w:w="2093" w:type="dxa"/>
            <w:noWrap/>
            <w:vAlign w:val="center"/>
            <w:hideMark/>
          </w:tcPr>
          <w:p w:rsidR="00592A3B" w:rsidRPr="00BC0897" w:rsidRDefault="00592A3B" w:rsidP="00592A3B">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Glycosuria</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11/113</w:t>
            </w:r>
          </w:p>
        </w:tc>
        <w:tc>
          <w:tcPr>
            <w:tcW w:w="101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0/5</w:t>
            </w:r>
          </w:p>
        </w:tc>
        <w:tc>
          <w:tcPr>
            <w:tcW w:w="1001"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1/6</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0/4</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0/2</w:t>
            </w:r>
          </w:p>
        </w:tc>
        <w:tc>
          <w:tcPr>
            <w:tcW w:w="1135"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1/6</w:t>
            </w: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3/28</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1/3</w:t>
            </w:r>
          </w:p>
        </w:tc>
        <w:tc>
          <w:tcPr>
            <w:tcW w:w="1134" w:type="dxa"/>
            <w:vAlign w:val="center"/>
          </w:tcPr>
          <w:p w:rsidR="00592A3B" w:rsidRPr="00BC0897" w:rsidRDefault="00592A3B" w:rsidP="00592A3B">
            <w:pPr>
              <w:spacing w:after="0"/>
              <w:jc w:val="center"/>
              <w:rPr>
                <w:rFonts w:ascii="Times New Roman" w:hAnsi="Times New Roman" w:cs="Times New Roman"/>
                <w:sz w:val="20"/>
                <w:szCs w:val="20"/>
                <w:lang w:val="en-US"/>
              </w:rPr>
            </w:pPr>
          </w:p>
        </w:tc>
      </w:tr>
      <w:tr w:rsidR="00592A3B" w:rsidRPr="00BC0897" w:rsidTr="00592A3B">
        <w:trPr>
          <w:trHeight w:val="300"/>
        </w:trPr>
        <w:tc>
          <w:tcPr>
            <w:tcW w:w="2093" w:type="dxa"/>
            <w:noWrap/>
            <w:vAlign w:val="center"/>
            <w:hideMark/>
          </w:tcPr>
          <w:p w:rsidR="00592A3B" w:rsidRPr="00BC0897" w:rsidRDefault="00592A3B" w:rsidP="00592A3B">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 xml:space="preserve">Metabolic </w:t>
            </w:r>
            <w:r w:rsidR="00345414" w:rsidRPr="00BC0897">
              <w:rPr>
                <w:rFonts w:ascii="Times New Roman" w:hAnsi="Times New Roman" w:cs="Times New Roman"/>
                <w:b/>
                <w:sz w:val="20"/>
                <w:szCs w:val="20"/>
                <w:lang w:val="en-US"/>
              </w:rPr>
              <w:t>alkalosis</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1/10</w:t>
            </w:r>
          </w:p>
        </w:tc>
        <w:tc>
          <w:tcPr>
            <w:tcW w:w="101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001"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0/6</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135"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134" w:type="dxa"/>
            <w:vAlign w:val="center"/>
          </w:tcPr>
          <w:p w:rsidR="00592A3B" w:rsidRPr="00BC0897" w:rsidRDefault="00592A3B" w:rsidP="00592A3B">
            <w:pPr>
              <w:spacing w:after="0"/>
              <w:jc w:val="center"/>
              <w:rPr>
                <w:rFonts w:ascii="Times New Roman" w:hAnsi="Times New Roman" w:cs="Times New Roman"/>
                <w:sz w:val="20"/>
                <w:szCs w:val="20"/>
                <w:lang w:val="en-US"/>
              </w:rPr>
            </w:pPr>
          </w:p>
        </w:tc>
      </w:tr>
      <w:tr w:rsidR="00592A3B" w:rsidRPr="00BC0897" w:rsidTr="00592A3B">
        <w:trPr>
          <w:trHeight w:val="300"/>
        </w:trPr>
        <w:tc>
          <w:tcPr>
            <w:tcW w:w="2093" w:type="dxa"/>
            <w:noWrap/>
            <w:vAlign w:val="center"/>
            <w:hideMark/>
          </w:tcPr>
          <w:p w:rsidR="00592A3B" w:rsidRPr="00BC0897" w:rsidRDefault="00592A3B" w:rsidP="00592A3B">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Hypokalemia</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6/56</w:t>
            </w:r>
          </w:p>
        </w:tc>
        <w:tc>
          <w:tcPr>
            <w:tcW w:w="101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001"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1/4</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135"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1/6</w:t>
            </w: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1/18</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134" w:type="dxa"/>
            <w:vAlign w:val="center"/>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r>
      <w:tr w:rsidR="00592A3B" w:rsidRPr="00BC0897" w:rsidTr="00592A3B">
        <w:trPr>
          <w:trHeight w:val="300"/>
        </w:trPr>
        <w:tc>
          <w:tcPr>
            <w:tcW w:w="2093" w:type="dxa"/>
            <w:noWrap/>
            <w:vAlign w:val="center"/>
            <w:hideMark/>
          </w:tcPr>
          <w:p w:rsidR="00592A3B" w:rsidRPr="00BC0897" w:rsidRDefault="00592A3B" w:rsidP="00592A3B">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Hypomagnesemia</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1/19</w:t>
            </w:r>
          </w:p>
        </w:tc>
        <w:tc>
          <w:tcPr>
            <w:tcW w:w="101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001"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135"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0/5</w:t>
            </w: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134" w:type="dxa"/>
            <w:vAlign w:val="center"/>
          </w:tcPr>
          <w:p w:rsidR="00592A3B" w:rsidRPr="00BC0897" w:rsidRDefault="00592A3B" w:rsidP="00592A3B">
            <w:pPr>
              <w:spacing w:after="0"/>
              <w:jc w:val="center"/>
              <w:rPr>
                <w:rFonts w:ascii="Times New Roman" w:hAnsi="Times New Roman" w:cs="Times New Roman"/>
                <w:sz w:val="20"/>
                <w:szCs w:val="20"/>
                <w:lang w:val="en-US"/>
              </w:rPr>
            </w:pPr>
          </w:p>
        </w:tc>
      </w:tr>
      <w:tr w:rsidR="00592A3B" w:rsidRPr="00BC0897" w:rsidTr="00592A3B">
        <w:trPr>
          <w:trHeight w:val="300"/>
        </w:trPr>
        <w:tc>
          <w:tcPr>
            <w:tcW w:w="2093" w:type="dxa"/>
            <w:noWrap/>
            <w:vAlign w:val="center"/>
            <w:hideMark/>
          </w:tcPr>
          <w:p w:rsidR="00592A3B" w:rsidRPr="00BC0897" w:rsidRDefault="00592A3B" w:rsidP="00592A3B">
            <w:pPr>
              <w:spacing w:after="0"/>
              <w:rPr>
                <w:rFonts w:ascii="Times New Roman" w:hAnsi="Times New Roman" w:cs="Times New Roman"/>
                <w:b/>
                <w:sz w:val="20"/>
                <w:szCs w:val="20"/>
                <w:lang w:val="en-US"/>
              </w:rPr>
            </w:pPr>
            <w:proofErr w:type="spellStart"/>
            <w:r w:rsidRPr="00BC0897">
              <w:rPr>
                <w:rFonts w:ascii="Times New Roman" w:hAnsi="Times New Roman" w:cs="Times New Roman"/>
                <w:b/>
                <w:sz w:val="20"/>
                <w:szCs w:val="20"/>
                <w:lang w:val="en-US"/>
              </w:rPr>
              <w:t>Fanconi</w:t>
            </w:r>
            <w:proofErr w:type="spellEnd"/>
            <w:r w:rsidRPr="00BC0897">
              <w:rPr>
                <w:rFonts w:ascii="Times New Roman" w:hAnsi="Times New Roman" w:cs="Times New Roman"/>
                <w:b/>
                <w:sz w:val="20"/>
                <w:szCs w:val="20"/>
                <w:lang w:val="en-US"/>
              </w:rPr>
              <w:t xml:space="preserve"> complete</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1/38</w:t>
            </w:r>
          </w:p>
        </w:tc>
        <w:tc>
          <w:tcPr>
            <w:tcW w:w="101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001"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135"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134" w:type="dxa"/>
            <w:vAlign w:val="center"/>
          </w:tcPr>
          <w:p w:rsidR="00592A3B" w:rsidRPr="00BC0897" w:rsidRDefault="00592A3B" w:rsidP="00592A3B">
            <w:pPr>
              <w:spacing w:after="0"/>
              <w:jc w:val="center"/>
              <w:rPr>
                <w:rFonts w:ascii="Times New Roman" w:hAnsi="Times New Roman" w:cs="Times New Roman"/>
                <w:sz w:val="20"/>
                <w:szCs w:val="20"/>
                <w:lang w:val="en-US"/>
              </w:rPr>
            </w:pPr>
          </w:p>
        </w:tc>
      </w:tr>
      <w:tr w:rsidR="00592A3B" w:rsidRPr="00BC0897" w:rsidTr="00592A3B">
        <w:trPr>
          <w:trHeight w:val="300"/>
        </w:trPr>
        <w:tc>
          <w:tcPr>
            <w:tcW w:w="2093" w:type="dxa"/>
            <w:noWrap/>
            <w:vAlign w:val="center"/>
            <w:hideMark/>
          </w:tcPr>
          <w:p w:rsidR="00592A3B" w:rsidRPr="00BC0897" w:rsidRDefault="00592A3B" w:rsidP="00592A3B">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Hypophosphatemia</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5/49</w:t>
            </w:r>
          </w:p>
        </w:tc>
        <w:tc>
          <w:tcPr>
            <w:tcW w:w="101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3/5</w:t>
            </w:r>
          </w:p>
        </w:tc>
        <w:tc>
          <w:tcPr>
            <w:tcW w:w="1001"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0/6</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0/2</w:t>
            </w:r>
          </w:p>
        </w:tc>
        <w:tc>
          <w:tcPr>
            <w:tcW w:w="1135"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1/6</w:t>
            </w: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134" w:type="dxa"/>
            <w:vAlign w:val="center"/>
          </w:tcPr>
          <w:p w:rsidR="00592A3B" w:rsidRPr="00BC0897" w:rsidRDefault="00592A3B" w:rsidP="00592A3B">
            <w:pPr>
              <w:spacing w:after="0"/>
              <w:jc w:val="center"/>
              <w:rPr>
                <w:rFonts w:ascii="Times New Roman" w:hAnsi="Times New Roman" w:cs="Times New Roman"/>
                <w:sz w:val="20"/>
                <w:szCs w:val="20"/>
                <w:lang w:val="en-US"/>
              </w:rPr>
            </w:pPr>
          </w:p>
        </w:tc>
      </w:tr>
      <w:tr w:rsidR="00592A3B" w:rsidRPr="00BC0897" w:rsidTr="00592A3B">
        <w:trPr>
          <w:trHeight w:val="300"/>
        </w:trPr>
        <w:tc>
          <w:tcPr>
            <w:tcW w:w="2093" w:type="dxa"/>
            <w:noWrap/>
            <w:vAlign w:val="center"/>
            <w:hideMark/>
          </w:tcPr>
          <w:p w:rsidR="00592A3B" w:rsidRPr="00BC0897" w:rsidRDefault="00592A3B" w:rsidP="00592A3B">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Hyponatremia</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0/9</w:t>
            </w:r>
          </w:p>
        </w:tc>
        <w:tc>
          <w:tcPr>
            <w:tcW w:w="101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001"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0/4</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135"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134" w:type="dxa"/>
            <w:vAlign w:val="center"/>
          </w:tcPr>
          <w:p w:rsidR="00592A3B" w:rsidRPr="00BC0897" w:rsidRDefault="00592A3B" w:rsidP="00592A3B">
            <w:pPr>
              <w:spacing w:after="0"/>
              <w:jc w:val="center"/>
              <w:rPr>
                <w:rFonts w:ascii="Times New Roman" w:hAnsi="Times New Roman" w:cs="Times New Roman"/>
                <w:sz w:val="20"/>
                <w:szCs w:val="20"/>
                <w:lang w:val="en-US"/>
              </w:rPr>
            </w:pPr>
          </w:p>
        </w:tc>
      </w:tr>
      <w:tr w:rsidR="00592A3B" w:rsidRPr="00BC0897" w:rsidTr="00592A3B">
        <w:trPr>
          <w:trHeight w:val="300"/>
        </w:trPr>
        <w:tc>
          <w:tcPr>
            <w:tcW w:w="2093" w:type="dxa"/>
            <w:noWrap/>
            <w:vAlign w:val="center"/>
            <w:hideMark/>
          </w:tcPr>
          <w:p w:rsidR="00592A3B" w:rsidRPr="00BC0897" w:rsidRDefault="00592A3B" w:rsidP="00592A3B">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lastRenderedPageBreak/>
              <w:t>Hypocalcemia</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0/11</w:t>
            </w:r>
          </w:p>
        </w:tc>
        <w:tc>
          <w:tcPr>
            <w:tcW w:w="101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001"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0/6</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135"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134" w:type="dxa"/>
            <w:vAlign w:val="center"/>
          </w:tcPr>
          <w:p w:rsidR="00592A3B" w:rsidRPr="00BC0897" w:rsidRDefault="00592A3B" w:rsidP="00592A3B">
            <w:pPr>
              <w:spacing w:after="0"/>
              <w:jc w:val="center"/>
              <w:rPr>
                <w:rFonts w:ascii="Times New Roman" w:hAnsi="Times New Roman" w:cs="Times New Roman"/>
                <w:sz w:val="20"/>
                <w:szCs w:val="20"/>
                <w:lang w:val="en-US"/>
              </w:rPr>
            </w:pPr>
          </w:p>
        </w:tc>
      </w:tr>
      <w:tr w:rsidR="00592A3B" w:rsidRPr="00BC0897" w:rsidTr="00592A3B">
        <w:trPr>
          <w:trHeight w:val="300"/>
        </w:trPr>
        <w:tc>
          <w:tcPr>
            <w:tcW w:w="2093" w:type="dxa"/>
            <w:noWrap/>
            <w:vAlign w:val="center"/>
            <w:hideMark/>
          </w:tcPr>
          <w:p w:rsidR="00592A3B" w:rsidRPr="00BC0897" w:rsidRDefault="00592A3B" w:rsidP="00592A3B">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Hypertension</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0/19</w:t>
            </w:r>
          </w:p>
        </w:tc>
        <w:tc>
          <w:tcPr>
            <w:tcW w:w="101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001"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135"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134" w:type="dxa"/>
            <w:vAlign w:val="center"/>
          </w:tcPr>
          <w:p w:rsidR="00592A3B" w:rsidRPr="00BC0897" w:rsidRDefault="00592A3B" w:rsidP="00592A3B">
            <w:pPr>
              <w:spacing w:after="0"/>
              <w:jc w:val="center"/>
              <w:rPr>
                <w:rFonts w:ascii="Times New Roman" w:hAnsi="Times New Roman" w:cs="Times New Roman"/>
                <w:sz w:val="20"/>
                <w:szCs w:val="20"/>
                <w:lang w:val="en-US"/>
              </w:rPr>
            </w:pPr>
          </w:p>
        </w:tc>
      </w:tr>
      <w:tr w:rsidR="00592A3B" w:rsidRPr="00BC0897" w:rsidTr="00592A3B">
        <w:trPr>
          <w:trHeight w:val="300"/>
        </w:trPr>
        <w:tc>
          <w:tcPr>
            <w:tcW w:w="2093" w:type="dxa"/>
            <w:noWrap/>
            <w:vAlign w:val="center"/>
            <w:hideMark/>
          </w:tcPr>
          <w:p w:rsidR="00592A3B" w:rsidRPr="00BC0897" w:rsidRDefault="00592A3B" w:rsidP="00592A3B">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Cataract</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8/87</w:t>
            </w:r>
          </w:p>
        </w:tc>
        <w:tc>
          <w:tcPr>
            <w:tcW w:w="101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2/5</w:t>
            </w:r>
          </w:p>
        </w:tc>
        <w:tc>
          <w:tcPr>
            <w:tcW w:w="1001"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0/6</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0/4</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135"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1/5</w:t>
            </w: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2/28</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0/6</w:t>
            </w: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0/3</w:t>
            </w:r>
          </w:p>
        </w:tc>
        <w:tc>
          <w:tcPr>
            <w:tcW w:w="1134" w:type="dxa"/>
            <w:vAlign w:val="center"/>
          </w:tcPr>
          <w:p w:rsidR="00592A3B" w:rsidRPr="00BC0897" w:rsidRDefault="00592A3B" w:rsidP="00592A3B">
            <w:pPr>
              <w:spacing w:after="0"/>
              <w:jc w:val="center"/>
              <w:rPr>
                <w:rFonts w:ascii="Times New Roman" w:hAnsi="Times New Roman" w:cs="Times New Roman"/>
                <w:sz w:val="20"/>
                <w:szCs w:val="20"/>
                <w:lang w:val="en-US"/>
              </w:rPr>
            </w:pPr>
          </w:p>
        </w:tc>
      </w:tr>
      <w:tr w:rsidR="00592A3B" w:rsidRPr="00BC0897" w:rsidTr="00592A3B">
        <w:trPr>
          <w:trHeight w:val="300"/>
        </w:trPr>
        <w:tc>
          <w:tcPr>
            <w:tcW w:w="2093" w:type="dxa"/>
            <w:noWrap/>
            <w:vAlign w:val="center"/>
            <w:hideMark/>
          </w:tcPr>
          <w:p w:rsidR="00592A3B" w:rsidRPr="00BC0897" w:rsidRDefault="00284980" w:rsidP="00592A3B">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Intellectual disability</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13/53</w:t>
            </w:r>
          </w:p>
        </w:tc>
        <w:tc>
          <w:tcPr>
            <w:tcW w:w="101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3/5</w:t>
            </w:r>
          </w:p>
        </w:tc>
        <w:tc>
          <w:tcPr>
            <w:tcW w:w="1001"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1/6</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1/4</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135"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3/6</w:t>
            </w: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1/4</w:t>
            </w:r>
          </w:p>
        </w:tc>
        <w:tc>
          <w:tcPr>
            <w:tcW w:w="1276" w:type="dxa"/>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1/3</w:t>
            </w:r>
          </w:p>
        </w:tc>
        <w:tc>
          <w:tcPr>
            <w:tcW w:w="1134" w:type="dxa"/>
            <w:vAlign w:val="center"/>
          </w:tcPr>
          <w:p w:rsidR="00592A3B" w:rsidRPr="00BC0897" w:rsidRDefault="00592A3B" w:rsidP="00592A3B">
            <w:pPr>
              <w:spacing w:after="0"/>
              <w:jc w:val="center"/>
              <w:rPr>
                <w:rFonts w:ascii="Times New Roman" w:hAnsi="Times New Roman" w:cs="Times New Roman"/>
                <w:sz w:val="20"/>
                <w:szCs w:val="20"/>
                <w:lang w:val="en-US"/>
              </w:rPr>
            </w:pPr>
          </w:p>
        </w:tc>
      </w:tr>
      <w:tr w:rsidR="00592A3B" w:rsidRPr="00BC0897" w:rsidTr="00592A3B">
        <w:trPr>
          <w:trHeight w:val="300"/>
        </w:trPr>
        <w:tc>
          <w:tcPr>
            <w:tcW w:w="2093" w:type="dxa"/>
            <w:noWrap/>
            <w:vAlign w:val="center"/>
            <w:hideMark/>
          </w:tcPr>
          <w:p w:rsidR="00592A3B" w:rsidRPr="00BC0897" w:rsidRDefault="00592A3B" w:rsidP="00592A3B">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Behavioral alteration</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0/20</w:t>
            </w:r>
          </w:p>
        </w:tc>
        <w:tc>
          <w:tcPr>
            <w:tcW w:w="101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001"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0/6</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0/4</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135"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134" w:type="dxa"/>
            <w:vAlign w:val="center"/>
          </w:tcPr>
          <w:p w:rsidR="00592A3B" w:rsidRPr="00BC0897" w:rsidRDefault="00592A3B" w:rsidP="00592A3B">
            <w:pPr>
              <w:spacing w:after="0"/>
              <w:jc w:val="center"/>
              <w:rPr>
                <w:rFonts w:ascii="Times New Roman" w:hAnsi="Times New Roman" w:cs="Times New Roman"/>
                <w:sz w:val="20"/>
                <w:szCs w:val="20"/>
                <w:lang w:val="en-US"/>
              </w:rPr>
            </w:pPr>
          </w:p>
        </w:tc>
      </w:tr>
      <w:tr w:rsidR="00592A3B" w:rsidRPr="00BC0897" w:rsidTr="00592A3B">
        <w:trPr>
          <w:trHeight w:val="300"/>
        </w:trPr>
        <w:tc>
          <w:tcPr>
            <w:tcW w:w="2093" w:type="dxa"/>
            <w:noWrap/>
            <w:vAlign w:val="center"/>
            <w:hideMark/>
          </w:tcPr>
          <w:p w:rsidR="00592A3B" w:rsidRPr="00BC0897" w:rsidRDefault="00592A3B" w:rsidP="00592A3B">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Neurological symptoms</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4/16</w:t>
            </w:r>
          </w:p>
        </w:tc>
        <w:tc>
          <w:tcPr>
            <w:tcW w:w="101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001"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135"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4/6</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0/6</w:t>
            </w: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134" w:type="dxa"/>
            <w:vAlign w:val="center"/>
          </w:tcPr>
          <w:p w:rsidR="00592A3B" w:rsidRPr="00BC0897" w:rsidRDefault="00592A3B" w:rsidP="00592A3B">
            <w:pPr>
              <w:spacing w:after="0"/>
              <w:jc w:val="center"/>
              <w:rPr>
                <w:rFonts w:ascii="Times New Roman" w:hAnsi="Times New Roman" w:cs="Times New Roman"/>
                <w:sz w:val="20"/>
                <w:szCs w:val="20"/>
                <w:lang w:val="en-US"/>
              </w:rPr>
            </w:pPr>
          </w:p>
        </w:tc>
      </w:tr>
      <w:tr w:rsidR="00592A3B" w:rsidRPr="00BC0897" w:rsidTr="00592A3B">
        <w:trPr>
          <w:trHeight w:val="300"/>
        </w:trPr>
        <w:tc>
          <w:tcPr>
            <w:tcW w:w="2093" w:type="dxa"/>
            <w:noWrap/>
            <w:vAlign w:val="center"/>
            <w:hideMark/>
          </w:tcPr>
          <w:p w:rsidR="00592A3B" w:rsidRPr="00BC0897" w:rsidRDefault="00592A3B" w:rsidP="00592A3B">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Hypotonia</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1/18</w:t>
            </w:r>
          </w:p>
        </w:tc>
        <w:tc>
          <w:tcPr>
            <w:tcW w:w="101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0/5</w:t>
            </w:r>
          </w:p>
        </w:tc>
        <w:tc>
          <w:tcPr>
            <w:tcW w:w="1001"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135"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1/5</w:t>
            </w: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0/3</w:t>
            </w: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134" w:type="dxa"/>
            <w:vAlign w:val="center"/>
          </w:tcPr>
          <w:p w:rsidR="00592A3B" w:rsidRPr="00BC0897" w:rsidRDefault="00592A3B" w:rsidP="00592A3B">
            <w:pPr>
              <w:spacing w:after="0"/>
              <w:jc w:val="center"/>
              <w:rPr>
                <w:rFonts w:ascii="Times New Roman" w:hAnsi="Times New Roman" w:cs="Times New Roman"/>
                <w:sz w:val="20"/>
                <w:szCs w:val="20"/>
                <w:lang w:val="en-US"/>
              </w:rPr>
            </w:pPr>
          </w:p>
        </w:tc>
      </w:tr>
      <w:tr w:rsidR="00592A3B" w:rsidRPr="00BC0897" w:rsidTr="00592A3B">
        <w:trPr>
          <w:trHeight w:val="300"/>
        </w:trPr>
        <w:tc>
          <w:tcPr>
            <w:tcW w:w="2093" w:type="dxa"/>
            <w:noWrap/>
            <w:vAlign w:val="center"/>
            <w:hideMark/>
          </w:tcPr>
          <w:p w:rsidR="00592A3B" w:rsidRPr="00BC0897" w:rsidRDefault="00592A3B" w:rsidP="00592A3B">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Hyperuricosuria</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2/2</w:t>
            </w:r>
          </w:p>
        </w:tc>
        <w:tc>
          <w:tcPr>
            <w:tcW w:w="101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001"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2/2</w:t>
            </w:r>
          </w:p>
        </w:tc>
        <w:tc>
          <w:tcPr>
            <w:tcW w:w="1135"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134" w:type="dxa"/>
            <w:vAlign w:val="center"/>
          </w:tcPr>
          <w:p w:rsidR="00592A3B" w:rsidRPr="00BC0897" w:rsidRDefault="00592A3B" w:rsidP="00592A3B">
            <w:pPr>
              <w:spacing w:after="0"/>
              <w:jc w:val="center"/>
              <w:rPr>
                <w:rFonts w:ascii="Times New Roman" w:hAnsi="Times New Roman" w:cs="Times New Roman"/>
                <w:sz w:val="20"/>
                <w:szCs w:val="20"/>
                <w:lang w:val="en-US"/>
              </w:rPr>
            </w:pPr>
          </w:p>
        </w:tc>
      </w:tr>
      <w:tr w:rsidR="00592A3B" w:rsidRPr="00BC0897" w:rsidTr="00592A3B">
        <w:trPr>
          <w:trHeight w:val="300"/>
        </w:trPr>
        <w:tc>
          <w:tcPr>
            <w:tcW w:w="2093" w:type="dxa"/>
            <w:noWrap/>
            <w:vAlign w:val="center"/>
            <w:hideMark/>
          </w:tcPr>
          <w:p w:rsidR="00592A3B" w:rsidRPr="00BC0897" w:rsidRDefault="00592A3B" w:rsidP="00592A3B">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Hypouricemia</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3/5</w:t>
            </w:r>
          </w:p>
        </w:tc>
        <w:tc>
          <w:tcPr>
            <w:tcW w:w="101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001"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2/4</w:t>
            </w: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135"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992"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276" w:type="dxa"/>
            <w:noWrap/>
            <w:vAlign w:val="center"/>
            <w:hideMark/>
          </w:tcPr>
          <w:p w:rsidR="00592A3B" w:rsidRPr="00BC0897" w:rsidRDefault="00592A3B" w:rsidP="00592A3B">
            <w:pPr>
              <w:spacing w:after="0"/>
              <w:jc w:val="center"/>
              <w:rPr>
                <w:rFonts w:ascii="Times New Roman" w:hAnsi="Times New Roman" w:cs="Times New Roman"/>
                <w:sz w:val="20"/>
                <w:szCs w:val="20"/>
                <w:lang w:val="en-US"/>
              </w:rPr>
            </w:pPr>
          </w:p>
        </w:tc>
        <w:tc>
          <w:tcPr>
            <w:tcW w:w="1134" w:type="dxa"/>
            <w:vAlign w:val="center"/>
          </w:tcPr>
          <w:p w:rsidR="00592A3B" w:rsidRPr="00BC0897" w:rsidRDefault="00592A3B" w:rsidP="00592A3B">
            <w:pPr>
              <w:spacing w:after="0"/>
              <w:jc w:val="center"/>
              <w:rPr>
                <w:rFonts w:ascii="Times New Roman" w:hAnsi="Times New Roman" w:cs="Times New Roman"/>
                <w:sz w:val="20"/>
                <w:szCs w:val="20"/>
                <w:lang w:val="en-US"/>
              </w:rPr>
            </w:pPr>
          </w:p>
        </w:tc>
      </w:tr>
    </w:tbl>
    <w:p w:rsidR="00646A25" w:rsidRPr="00BC0897" w:rsidRDefault="00646A25" w:rsidP="00C228AD">
      <w:pPr>
        <w:spacing w:after="0" w:line="240" w:lineRule="auto"/>
        <w:rPr>
          <w:rFonts w:ascii="Times New Roman" w:hAnsi="Times New Roman" w:cs="Times New Roman"/>
          <w:sz w:val="20"/>
          <w:szCs w:val="20"/>
          <w:lang w:val="en-US"/>
        </w:rPr>
      </w:pPr>
      <w:r w:rsidRPr="00BC0897">
        <w:rPr>
          <w:rFonts w:ascii="Times New Roman" w:hAnsi="Times New Roman" w:cs="Times New Roman"/>
          <w:sz w:val="20"/>
          <w:szCs w:val="20"/>
          <w:lang w:val="en-US"/>
        </w:rPr>
        <w:t>LMWP: Low-molecular-weight proteinuria</w:t>
      </w:r>
    </w:p>
    <w:p w:rsidR="00646A25" w:rsidRPr="00BC0897" w:rsidRDefault="00646A25" w:rsidP="00646A25">
      <w:pPr>
        <w:spacing w:line="240" w:lineRule="auto"/>
        <w:rPr>
          <w:rFonts w:ascii="Times New Roman" w:hAnsi="Times New Roman" w:cs="Times New Roman"/>
          <w:sz w:val="20"/>
          <w:szCs w:val="20"/>
          <w:lang w:val="en-US"/>
        </w:rPr>
      </w:pPr>
    </w:p>
    <w:p w:rsidR="00646A25" w:rsidRPr="00BC0897" w:rsidRDefault="00646A25" w:rsidP="00646A25">
      <w:pPr>
        <w:rPr>
          <w:rFonts w:ascii="Times New Roman" w:hAnsi="Times New Roman" w:cs="Times New Roman"/>
          <w:sz w:val="20"/>
          <w:szCs w:val="20"/>
          <w:lang w:val="en-US"/>
        </w:rPr>
      </w:pPr>
      <w:r w:rsidRPr="00BC0897">
        <w:rPr>
          <w:rFonts w:ascii="Times New Roman" w:hAnsi="Times New Roman" w:cs="Times New Roman"/>
          <w:sz w:val="20"/>
          <w:szCs w:val="20"/>
          <w:lang w:val="en-US"/>
        </w:rPr>
        <w:br w:type="page"/>
      </w:r>
    </w:p>
    <w:tbl>
      <w:tblPr>
        <w:tblStyle w:val="Grigliatabella"/>
        <w:tblW w:w="14281" w:type="dxa"/>
        <w:tblLayout w:type="fixed"/>
        <w:tblLook w:val="04A0" w:firstRow="1" w:lastRow="0" w:firstColumn="1" w:lastColumn="0" w:noHBand="0" w:noVBand="1"/>
      </w:tblPr>
      <w:tblGrid>
        <w:gridCol w:w="2376"/>
        <w:gridCol w:w="1060"/>
        <w:gridCol w:w="1237"/>
        <w:gridCol w:w="1137"/>
        <w:gridCol w:w="1134"/>
        <w:gridCol w:w="993"/>
        <w:gridCol w:w="1005"/>
        <w:gridCol w:w="1118"/>
        <w:gridCol w:w="989"/>
        <w:gridCol w:w="967"/>
        <w:gridCol w:w="992"/>
        <w:gridCol w:w="1273"/>
      </w:tblGrid>
      <w:tr w:rsidR="00592A3B" w:rsidRPr="002212C2" w:rsidTr="00592A3B">
        <w:trPr>
          <w:trHeight w:val="900"/>
        </w:trPr>
        <w:tc>
          <w:tcPr>
            <w:tcW w:w="2376" w:type="dxa"/>
            <w:vAlign w:val="center"/>
            <w:hideMark/>
          </w:tcPr>
          <w:p w:rsidR="00592A3B" w:rsidRPr="00BC0897" w:rsidRDefault="00592A3B"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lastRenderedPageBreak/>
              <w:t>Clinical sign</w:t>
            </w:r>
          </w:p>
        </w:tc>
        <w:tc>
          <w:tcPr>
            <w:tcW w:w="1060" w:type="dxa"/>
            <w:vAlign w:val="center"/>
            <w:hideMark/>
          </w:tcPr>
          <w:p w:rsidR="00592A3B" w:rsidRPr="00BC0897" w:rsidRDefault="00592A3B"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Pr="00BC0897">
              <w:rPr>
                <w:rFonts w:ascii="Times New Roman" w:hAnsi="Times New Roman" w:cs="Times New Roman"/>
                <w:b/>
                <w:sz w:val="20"/>
                <w:szCs w:val="20"/>
                <w:lang w:val="en-US"/>
              </w:rPr>
              <w:instrText xml:space="preserve"> ADDIN ZOTERO_ITEM CSL_CITATION {"citationID":"5Y0pOfL9","properties":{"formattedCitation":"(Sekine et al. 2014)","plainCitation":"(Sekine et al. 2014)","noteIndex":0},"citationItems":[{"id":1485,"uris":["http://zotero.org/users/local/jkkvYBSC/items/GQWJH34Y"],"uri":["http://zotero.org/users/local/jkkvYBSC/items/GQWJH34Y"],"itemData":{"id":1485,"type":"article-journal","abstract":"Dent disease is an X-linked disorder characterized by low-molecular-weight (LMW) proteinuria, hypercalciuria, nephrocalcinosis, urolithiasis and renal dysfunction. Dent disease is caused by mutations in at least two genes, i.e. CLCN5 and OCRL1, and its genetic background and phenotypes are common among European countries and the USA. However, only few studies on Dent disease in Japan, which was originally called 'low-molecular-weight proteinuric disease', have been reported thus far. In this study, we analysed genetic background and clinical phenotype and laboratory data of 86 unrelated Japanese Dent disease patients. The results demonstrated that the genetic basis of Japanese Dent disease was nearly identical to those of Dent disease in other countries. Of 86 unrelated Japanese Dent patients, 61 possessed mutations in CLCN5 (Dent-1), of which 27 were novel mutations; 11 showed mutations in OCRL1 (Dent-2), six of which were novel, and the remaining 14 patients showed no mutations in CLCN5 or OCRL1 (Dent-NI). Despite the similarity in genetic background, hypercalciuria was detected in only 51%, rickets in 2% and nephrocalcinosis in 35%. Although the patients were relatively young, six patients (8%) showed apparent renal dysfunction. Japanese Dent disease has a wider clinical spectrum than Dent disease in Europe and the USA.","container-title":"Nephrology Dialysis Transplantation","DOI":"10.1093/ndt/gft394","ISSN":"1460-2385","issue":"2","journalAbbreviation":"Nephrol. Dial. Transplant.","language":"eng","note":"PMID: 24081861","page":"376-384","source":"PubMed","title":"Japanese Dent disease has a wider clinical spectrum than Dent disease in Europe/USA: genetic and clinical studies of 86 unrelated patients with low-molecular-weight proteinuria","title-short":"Japanese Dent disease has a wider clinical spectrum than Dent disease in Europe/USA","volume":"29","author":[{"family":"Sekine","given":"Takashi"},{"family":"Komoda","given":"Fusako"},{"family":"Miura","given":"Kenichiro"},{"family":"Takita","given":"Junko"},{"family":"Shimadzu","given":"Mitsunobu"},{"family":"Matsuyama","given":"Takeshi"},{"family":"Ashida","given":"Akira"},{"family":"Igarashi","given":"Takashi"}],"issued":{"date-parts":[["2014",2]]}}}],"schema":"https://github.com/citation-style-language/schema/raw/master/csl-citation.json"} </w:instrText>
            </w:r>
            <w:r w:rsidRPr="00BC0897">
              <w:rPr>
                <w:rFonts w:ascii="Times New Roman" w:hAnsi="Times New Roman" w:cs="Times New Roman"/>
                <w:b/>
                <w:sz w:val="20"/>
                <w:szCs w:val="20"/>
                <w:lang w:val="en-US"/>
              </w:rPr>
              <w:fldChar w:fldCharType="separate"/>
            </w:r>
            <w:r w:rsidRPr="00BC0897">
              <w:rPr>
                <w:rFonts w:ascii="Times New Roman" w:hAnsi="Times New Roman" w:cs="Times New Roman"/>
                <w:sz w:val="20"/>
                <w:szCs w:val="20"/>
              </w:rPr>
              <w:t>(Sekine et al. 2014)</w:t>
            </w:r>
            <w:r w:rsidRPr="00BC0897">
              <w:rPr>
                <w:rFonts w:ascii="Times New Roman" w:hAnsi="Times New Roman" w:cs="Times New Roman"/>
                <w:b/>
                <w:sz w:val="20"/>
                <w:szCs w:val="20"/>
                <w:lang w:val="en-US"/>
              </w:rPr>
              <w:fldChar w:fldCharType="end"/>
            </w:r>
            <w:r w:rsidRPr="00BC0897">
              <w:rPr>
                <w:rFonts w:ascii="Times New Roman" w:hAnsi="Times New Roman" w:cs="Times New Roman"/>
                <w:b/>
                <w:sz w:val="20"/>
                <w:szCs w:val="20"/>
                <w:lang w:val="en-US"/>
              </w:rPr>
              <w:br/>
              <w:t>*</w:t>
            </w:r>
            <w:r w:rsidRPr="00BC0897">
              <w:rPr>
                <w:rFonts w:ascii="Times New Roman" w:hAnsi="Times New Roman" w:cs="Times New Roman"/>
                <w:sz w:val="20"/>
                <w:szCs w:val="20"/>
                <w:lang w:val="en-US"/>
              </w:rPr>
              <w:t>1 female</w:t>
            </w:r>
          </w:p>
        </w:tc>
        <w:tc>
          <w:tcPr>
            <w:tcW w:w="1237" w:type="dxa"/>
            <w:vAlign w:val="center"/>
            <w:hideMark/>
          </w:tcPr>
          <w:p w:rsidR="00592A3B" w:rsidRPr="00BC0897" w:rsidRDefault="00592A3B"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Pr="00BC0897">
              <w:rPr>
                <w:rFonts w:ascii="Times New Roman" w:hAnsi="Times New Roman" w:cs="Times New Roman"/>
                <w:b/>
                <w:sz w:val="20"/>
                <w:szCs w:val="20"/>
                <w:lang w:val="en-US"/>
              </w:rPr>
              <w:instrText xml:space="preserve"> ADDIN ZOTERO_ITEM CSL_CITATION {"citationID":"KVcayP1C","properties":{"formattedCitation":"(De Mutiis et al. 2015)","plainCitation":"(De Mutiis et al. 2015)","noteIndex":0},"citationItems":[{"id":249,"uris":["http://zotero.org/users/local/jkkvYBSC/items/S6H7JAKI"],"uri":["http://zotero.org/users/local/jkkvYBSC/items/S6H7JAKI"],"itemData":{"id":249,"type":"article-journal","abstract":"Dent disease is a rare X-linked tubulopathy with low molecular weight proteinuria, hypercalciuria, nephrolithiasis, nephrocalcinosis and progressive renal failure. We describe the case of a 9-year-old boy who presented with nephrotic-range albuminuria at the age of 3 years. In the absence of a clear diagnosis, a renal biopsy was performed at 4 years, which revealed minimal change disease. Due to the presence of low molecular weight proteinuria, even in the absence of hypercalciuria, a diagnosis of Dent disease was considered. While there were no mutations in the CLCN5 gene, the diagnosis was confirmed by the presence of a missense mutation (p.Arg318Cys) in the OCRL gene.\nCONCLUSION: Given the large phenotypic variability of the disease and based on our experience, we believe that children with low molecular weight proteinuria, even without hypercalciuria, should be investigated for Dent disease.","container-title":"Italian Journal of Pediatrics","DOI":"10.1186/s13052-015-0152-4","ISSN":"1824-7288","journalAbbreviation":"Ital J Pediatr","language":"eng","note":"PMID: 26108450\nPMCID: PMC4479313","page":"46","source":"PubMed","title":"Nephrotic-range Albuminuria as the presenting symptom of Dent-2 disease","volume":"41","author":[{"family":"De Mutiis","given":"Chiara"},{"family":"Pasini","given":"Andrea"},{"family":"La Scola","given":"Claudio"},{"family":"Pugliese","given":"Fabrizio"},{"family":"Montini","given":"Giovanni"}],"issued":{"date-parts":[["2015",6,25]]}}}],"schema":"https://github.com/citation-style-language/schema/raw/master/csl-citation.json"} </w:instrText>
            </w:r>
            <w:r w:rsidRPr="00BC0897">
              <w:rPr>
                <w:rFonts w:ascii="Times New Roman" w:hAnsi="Times New Roman" w:cs="Times New Roman"/>
                <w:b/>
                <w:sz w:val="20"/>
                <w:szCs w:val="20"/>
                <w:lang w:val="en-US"/>
              </w:rPr>
              <w:fldChar w:fldCharType="separate"/>
            </w:r>
            <w:r w:rsidRPr="00BC0897">
              <w:rPr>
                <w:rFonts w:ascii="Times New Roman" w:hAnsi="Times New Roman" w:cs="Times New Roman"/>
                <w:sz w:val="20"/>
                <w:szCs w:val="20"/>
                <w:lang w:val="en-US"/>
              </w:rPr>
              <w:t>(De Mutiis et al. 2015)</w:t>
            </w:r>
            <w:r w:rsidRPr="00BC0897">
              <w:rPr>
                <w:rFonts w:ascii="Times New Roman" w:hAnsi="Times New Roman" w:cs="Times New Roman"/>
                <w:b/>
                <w:sz w:val="20"/>
                <w:szCs w:val="20"/>
                <w:lang w:val="en-US"/>
              </w:rPr>
              <w:fldChar w:fldCharType="end"/>
            </w:r>
          </w:p>
        </w:tc>
        <w:tc>
          <w:tcPr>
            <w:tcW w:w="1137" w:type="dxa"/>
            <w:vAlign w:val="center"/>
            <w:hideMark/>
          </w:tcPr>
          <w:p w:rsidR="00592A3B" w:rsidRPr="00BC0897" w:rsidRDefault="00592A3B"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Pr="00BC0897">
              <w:rPr>
                <w:rFonts w:ascii="Times New Roman" w:hAnsi="Times New Roman" w:cs="Times New Roman"/>
                <w:b/>
                <w:sz w:val="20"/>
                <w:szCs w:val="20"/>
                <w:lang w:val="en-US"/>
              </w:rPr>
              <w:instrText xml:space="preserve"> ADDIN ZOTERO_ITEM CSL_CITATION {"citationID":"5SewdAG8","properties":{"formattedCitation":"(Blanchard et al. 2016)","plainCitation":"(Blanchard et al. 2016)","noteIndex":0},"citationItems":[{"id":105,"uris":["http://zotero.org/users/local/jkkvYBSC/items/RIYE8UG8"],"uri":["http://zotero.org/users/local/jkkvYBSC/items/RIYE8UG8"],"itemData":{"id":105,"type":"article-journal","abstract":"Dent disease classically combines low-molecular-weight proteinuria, hypercalciuria with nephrocalcinosis, and renal failure. Nephrotic range proteinuria, normal calciuria, and hypokalemia have been rarely reported. It is unknown whether the changes in phenotype observed over time are explained by a decrease in glomerular filtration rate (GFR) or whether there is any phenotype-genotype relationship. To answer this we retrospectively analyzed data from 109 male patients with CLCN5 mutations (Dent-1) and 9 patients with mutation of the OCRL gene (Dent-2). In Dent-1 disease, the estimated GFR decreased with age, by 1.0 to 1.6 ml/min per 1.73 m2/yr in the absence and presence of nephrocalcinosis, respectively, with no significant difference. Median values of low-molecular-weight proteinuria were in the nephrotic range and remained at the same level even in late renal disease. End-stage renal disease occurred in 12 patients, at a median age of 40 years. Hypercalciuria decreased with glomerular filtration and was absent in 40% of the patients under 30 and 85% of those over the age of 30. Hypophosphatemia did not resolve with age and calcitriol concentrations were in the upper normal range. Kalemia decreased with age, with half of the patients over the age of 18 presenting with hypokalemia. Thus, no phenotype/genotype correlation was observed in this cohort of patients with Dent disease.","container-title":"Kidney International","DOI":"10.1016/j.kint.2016.04.022","ISSN":"0085-2538","issue":"2","journalAbbreviation":"Kidney International","language":"en","page":"430-439","source":"ScienceDirect","title":"Observations of a large Dent disease cohort","volume":"90","author":[{"family":"Blanchard","given":"Anne"},{"family":"Curis","given":"Emmanuel"},{"family":"Guyon-Roger","given":"Tiphaine"},{"family":"Kahila","given":"Diana"},{"family":"Treard","given":"Cyrielle"},{"family":"Baudouin","given":"Véronique"},{"family":"Bérard","given":"Etienne"},{"family":"Champion","given":"Gérard"},{"family":"Cochat","given":"Pierre"},{"family":"Dubourg","given":"Julie"},{"family":"Faille","given":"Renaud","non-dropping-particle":"de la"},{"family":"Devuyst","given":"Olivier"},{"family":"Deschenes","given":"Georges"},{"family":"Fischbach","given":"Michel"},{"family":"Harambat","given":"Jérôme"},{"family":"Houillier","given":"Pascal"},{"family":"Karras","given":"Alexandre"},{"family":"Knebelmann","given":"Bertrand"},{"family":"Lavocat","given":"Marie-Pierre"},{"family":"Loirat","given":"Chantal"},{"family":"Merieau","given":"Elodie"},{"family":"Niaudet","given":"Patrick"},{"family":"Nobili","given":"François"},{"family":"Novo","given":"Robert"},{"family":"Salomon","given":"Rémi"},{"family":"Ulinski","given":"Tim"},{"family":"Jeunemaître","given":"Xavier"},{"family":"Vargas-Poussou","given":"Rosa"}],"issued":{"date-parts":[["2016",8,1]]}}}],"schema":"https://github.com/citation-style-language/schema/raw/master/csl-citation.json"} </w:instrText>
            </w:r>
            <w:r w:rsidRPr="00BC0897">
              <w:rPr>
                <w:rFonts w:ascii="Times New Roman" w:hAnsi="Times New Roman" w:cs="Times New Roman"/>
                <w:b/>
                <w:sz w:val="20"/>
                <w:szCs w:val="20"/>
                <w:lang w:val="en-US"/>
              </w:rPr>
              <w:fldChar w:fldCharType="separate"/>
            </w:r>
            <w:r w:rsidRPr="00BC0897">
              <w:rPr>
                <w:rFonts w:ascii="Times New Roman" w:hAnsi="Times New Roman" w:cs="Times New Roman"/>
                <w:sz w:val="20"/>
                <w:szCs w:val="20"/>
              </w:rPr>
              <w:t>(Blanchard et al. 2016)</w:t>
            </w:r>
            <w:r w:rsidRPr="00BC0897">
              <w:rPr>
                <w:rFonts w:ascii="Times New Roman" w:hAnsi="Times New Roman" w:cs="Times New Roman"/>
                <w:b/>
                <w:sz w:val="20"/>
                <w:szCs w:val="20"/>
                <w:lang w:val="en-US"/>
              </w:rPr>
              <w:fldChar w:fldCharType="end"/>
            </w:r>
          </w:p>
        </w:tc>
        <w:tc>
          <w:tcPr>
            <w:tcW w:w="1134" w:type="dxa"/>
            <w:vAlign w:val="center"/>
            <w:hideMark/>
          </w:tcPr>
          <w:p w:rsidR="00592A3B" w:rsidRPr="00BC0897" w:rsidRDefault="00592A3B"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Pr="00BC0897">
              <w:rPr>
                <w:rFonts w:ascii="Times New Roman" w:hAnsi="Times New Roman" w:cs="Times New Roman"/>
                <w:b/>
                <w:sz w:val="20"/>
                <w:szCs w:val="20"/>
                <w:lang w:val="en-US"/>
              </w:rPr>
              <w:instrText xml:space="preserve"> ADDIN ZOTERO_ITEM CSL_CITATION {"citationID":"w7lfBUBd","properties":{"formattedCitation":"(Wang et al. 2016)","plainCitation":"(Wang et al. 2016)","noteIndex":0},"citationItems":[{"id":256,"uris":["http://zotero.org/users/local/jkkvYBSC/items/68BYVDJ6"],"uri":["http://zotero.org/users/local/jkkvYBSC/items/68BYVDJ6"],"itemData":{"id":256,"type":"article-journal","abstract":"BACKGROUND AND OBJECTIVES: Dent disease is a rare X-linked disorder characterized by low molecular weight proteinuria and often considered a renal tubular disease. However, glomerulosclerosis was recently reported in several patients. Thus, Dent disease renal histopathologic features were characterized and assessed, and their association with kidney function was assessed.\nDESIGN, SETTING, PARTICIPANTS, &amp; MEASUREMENTS: Clinical renal pathology reports and slides (where available) were collected from 30 boys and men in eight countries who had undergone clinical renal biopsy between 1995 and 2014.\nRESULTS: Median (25th, 75th percentiles) age at biopsy was 7.5 (5, 19) years with an eGFR of 69 (44, 94) ml/min per 1.73 m2 and a 24-hour urine protein of 2000 (1325, 2936) mg. A repeat biopsy for steroid-resistant proteinuria was performed in 13% (four of 30) of the patients. Prominent histologic findings included focal global glomerulosclerosis in 83% (25 of 30; affecting 16%±19% glomeruli), mild segmental foot process effacement in 57% (13 of 23), focal interstitial fibrosis in 60% (18 of 30), interstitial lymphocytic infiltration in 53% (16 of 30), and tubular damage in 70% (21 of 30). Higher percentages of globally sclerotic glomeruli, foot process effacement, and interstitial inflammation were associated with lower eGFR at biopsy, whereas foot process effacement was associated with steeper annual eGFR decline.\nCONCLUSIONS: These associations suggest a potential role for glomerular pathology, specifically involving the podocyte, in disease progression, which deserves further study. Furthermore, Dent disease should be suspected in boys and men who have unexplained proteinuria with focal global glomerulosclerosis and segmental foot process effacement on renal biopsy.","container-title":"Clinical journal of the American Society of Nephrology: CJASN","DOI":"10.2215/CJN.03710416","ISSN":"1555-905X","issue":"12","journalAbbreviation":"Clin J Am Soc Nephrol","language":"eng","note":"PMID: 27697782\nPMCID: PMC5142066","page":"2168-2176","source":"PubMed","title":"Glomerular Pathology in Dent Disease and Its Association with Kidney Function","volume":"11","author":[{"family":"Wang","given":"Xiangling"},{"family":"Anglani","given":"Franca"},{"family":"Beara-Lasic","given":"Lada"},{"family":"Mehta","given":"Anila J."},{"family":"Vaughan","given":"Lisa E."},{"family":"Herrera Hernandez","given":"Loren"},{"family":"Cogal","given":"Andrea"},{"family":"Scheinman","given":"Steven J."},{"family":"Ariceta","given":"Gema"},{"family":"Isom","given":"Robert"},{"family":"Copelovitch","given":"Lawrence"},{"family":"Enders","given":"Felicity T."},{"family":"Del Prete","given":"Dorella"},{"family":"Vezzoli","given":"Giuseppe"},{"family":"Paglialonga","given":"Fabio"},{"family":"Harris","given":"Peter C."},{"family":"Lieske","given":"John C."},{"literal":"Investigators of the Rare Kidney Stone Consortium"}],"issued":{"date-parts":[["2016"]],"season":"07"}}}],"schema":"https://github.com/citation-style-language/schema/raw/master/csl-citation.json"} </w:instrText>
            </w:r>
            <w:r w:rsidRPr="00BC0897">
              <w:rPr>
                <w:rFonts w:ascii="Times New Roman" w:hAnsi="Times New Roman" w:cs="Times New Roman"/>
                <w:b/>
                <w:sz w:val="20"/>
                <w:szCs w:val="20"/>
                <w:lang w:val="en-US"/>
              </w:rPr>
              <w:fldChar w:fldCharType="separate"/>
            </w:r>
            <w:r w:rsidRPr="00BC0897">
              <w:rPr>
                <w:rFonts w:ascii="Times New Roman" w:hAnsi="Times New Roman" w:cs="Times New Roman"/>
                <w:sz w:val="20"/>
                <w:szCs w:val="20"/>
              </w:rPr>
              <w:t>(Wang et al. 2016)</w:t>
            </w:r>
            <w:r w:rsidRPr="00BC0897">
              <w:rPr>
                <w:rFonts w:ascii="Times New Roman" w:hAnsi="Times New Roman" w:cs="Times New Roman"/>
                <w:b/>
                <w:sz w:val="20"/>
                <w:szCs w:val="20"/>
                <w:lang w:val="en-US"/>
              </w:rPr>
              <w:fldChar w:fldCharType="end"/>
            </w:r>
          </w:p>
        </w:tc>
        <w:tc>
          <w:tcPr>
            <w:tcW w:w="993" w:type="dxa"/>
            <w:vAlign w:val="center"/>
            <w:hideMark/>
          </w:tcPr>
          <w:p w:rsidR="00592A3B" w:rsidRPr="00BC0897" w:rsidRDefault="00592A3B"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Pr="00BC0897">
              <w:rPr>
                <w:rFonts w:ascii="Times New Roman" w:hAnsi="Times New Roman" w:cs="Times New Roman"/>
                <w:b/>
                <w:sz w:val="20"/>
                <w:szCs w:val="20"/>
                <w:lang w:val="en-US"/>
              </w:rPr>
              <w:instrText xml:space="preserve"> ADDIN ZOTERO_ITEM CSL_CITATION {"citationID":"dYK5Ahyz","properties":{"formattedCitation":"(Li et al. 2016)","plainCitation":"(Li et al. 2016)","noteIndex":0},"citationItems":[{"id":67,"uris":["http://zotero.org/users/local/jkkvYBSC/items/33KRH6XP"],"uri":["http://zotero.org/users/local/jkkvYBSC/items/33KRH6XP"],"itemData":{"id":67,"type":"article-journal","abstract":"OBJECTIVE: To characterize the phenotypes of Dent disease in Chinese children and their heterozygous mothers and to establish genetic diagnoses.\nSTUDY DESIGN: Using a modified protocol, we screened 1288 individuals with proteinuria. A diagnosis of Dent disease was established in 19 boys from 16 families by the presence of loss of function/deleterious mutations in CLCN5 or OCRL1. We also analyzed 16 available patients' mothers and examined their pregnancy records.\nRESULTS: We detected 14 loss of function/deleterious mutations of CLCN5 in 15 boys and 2 mutations of OCRL1 in 4 boys. Of the patients, 16 of 19 had been wrongly diagnosed with other diseases and 11 of 19 had incorrect or unnecessary treatment. None of the patients, but 6 of 14 mothers, had nephrocalcinosis or nephrolithiasis at diagnosis. Of the patients, 8 of 14 with Dent disease 1 were large for gestational age (&gt;90th percentile); 8 of 15 (53.3%) had rickets. We also present predicted structural changes for 4 mutant proteins.\nCONCLUSIONS: Pediatric Dent disease often is misdiagnosed; genetic testing achieves a correct diagnosis. Nephrocalcinosis or nephrolithiasis may not be sensitive diagnostic criteria. We identified 10 novel mutations in CLCN5 and OCRL1. The possibility that altered CLCN5 function could affect fetal growth and a possible link between a high rate of rickets and low calcium intake are discussed.","container-title":"The Journal of Pediatrics","DOI":"10.1016/j.jpeds.2016.04.007","ISSN":"1097-6833","journalAbbreviation":"J. Pediatr.","language":"eng","note":"PMID: 27174143","page":"204-210.e1","source":"PubMed","title":"Dent Disease in Chinese Children and Findings from Heterozygous Mothers: Phenotypic Heterogeneity, Fetal Growth, and 10 Novel Mutations","title-short":"Dent Disease in Chinese Children and Findings from Heterozygous Mothers","volume":"174","author":[{"family":"Li","given":"Fucheng"},{"family":"Yue","given":"Zhihui"},{"family":"Xu","given":"Tingting"},{"family":"Chen","given":"Minghui"},{"family":"Zhong","given":"Liangying"},{"family":"Liu","given":"Ting"},{"family":"Jing","given":"Xiangyi"},{"family":"Deng","given":"Jia"},{"family":"Hu","given":"Bin"},{"family":"Liu","given":"Yuling"},{"family":"Wang","given":"Haiyan"},{"family":"Lai","given":"Kar N."},{"family":"Sun","given":"Liangzhong"},{"family":"Liu","given":"Jinsong"},{"family":"Maxwell","given":"Patrick H."},{"family":"Wang","given":"Yiming"}],"issued":{"date-parts":[["2016"]]}}}],"schema":"https://github.com/citation-style-language/schema/raw/master/csl-citation.json"} </w:instrText>
            </w:r>
            <w:r w:rsidRPr="00BC0897">
              <w:rPr>
                <w:rFonts w:ascii="Times New Roman" w:hAnsi="Times New Roman" w:cs="Times New Roman"/>
                <w:b/>
                <w:sz w:val="20"/>
                <w:szCs w:val="20"/>
                <w:lang w:val="en-US"/>
              </w:rPr>
              <w:fldChar w:fldCharType="separate"/>
            </w:r>
            <w:r w:rsidRPr="00BC0897">
              <w:rPr>
                <w:rFonts w:ascii="Times New Roman" w:hAnsi="Times New Roman" w:cs="Times New Roman"/>
                <w:sz w:val="20"/>
              </w:rPr>
              <w:t>(Li et al. 2016)</w:t>
            </w:r>
            <w:r w:rsidRPr="00BC0897">
              <w:rPr>
                <w:rFonts w:ascii="Times New Roman" w:hAnsi="Times New Roman" w:cs="Times New Roman"/>
                <w:b/>
                <w:sz w:val="20"/>
                <w:szCs w:val="20"/>
                <w:lang w:val="en-US"/>
              </w:rPr>
              <w:fldChar w:fldCharType="end"/>
            </w:r>
          </w:p>
        </w:tc>
        <w:tc>
          <w:tcPr>
            <w:tcW w:w="1005" w:type="dxa"/>
            <w:vAlign w:val="center"/>
            <w:hideMark/>
          </w:tcPr>
          <w:p w:rsidR="00592A3B" w:rsidRPr="00BC0897" w:rsidRDefault="00592A3B"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Pr="00BC0897">
              <w:rPr>
                <w:rFonts w:ascii="Times New Roman" w:hAnsi="Times New Roman" w:cs="Times New Roman"/>
                <w:b/>
                <w:sz w:val="20"/>
                <w:szCs w:val="20"/>
                <w:lang w:val="en-US"/>
              </w:rPr>
              <w:instrText xml:space="preserve"> ADDIN ZOTERO_ITEM CSL_CITATION {"citationID":"Vqt75Bcs","properties":{"formattedCitation":"(Zhang et al. 2017)","plainCitation":"(Zhang et al. 2017)","noteIndex":0},"citationItems":[{"id":27,"uris":["http://zotero.org/users/local/jkkvYBSC/items/WAC5SMPK"],"uri":["http://zotero.org/users/local/jkkvYBSC/items/WAC5SMPK"],"itemData":{"id":27,"type":"article-journal","abstract":"Dent's disease is an X-linked inherited renal disease. Patients with Dent's disease often carry mutations in genes encoding the Cl-/H+ exchanger ClC-5 and/or inositol polyphosphate 5-phosphatase (OCRL1). However, the mutations involved and the biochemical effects of these mutations are not fully understood. To characterize genetic changes in Dent's disease patients, in this study, samples from nine Chinese patients were subjected to genetic analysis. Among the nine patients, six were classified as having Dent-1 disease, one had Dent-2 disease, and two could not be classified. Expression of ClC-5 carrying Dent's disease-associated mutations in HEK293 cells had varying effects: (1) no detectable expression of mutant protein; (2) retention of a truncated protein in the endoplasmic reticulum; or (3) diminished protein expression with normal distribution in early endosomes. Dent's disease patients showed genetic heterogeneity and over 20% of patients did not have CLCN5 or OCRL1 mutations, suggesting the existence of other genetic factors. Using next-generation sequencing, we identified possible modifier genes that have not been previously reported in Dent's disease patients. Heterozygous variants in CFTR, SCNN1A, and SCNN1B genes associated with cystic fibrosis (CF) or CF-like disease were detected in four of our nine patients. These results may form the basis for future characterization of Dent's disease and genetic counseling approaches.","container-title":"DNA and cell biology","DOI":"10.1089/dna.2017.3731","ISSN":"1557-7430","issue":"12","journalAbbreviation":"DNA Cell Biol.","language":"eng","note":"PMID: 29058463","page":"1151-1158","source":"PubMed","title":"Genetic Analysis of Dent's Disease and Functional Research of CLCN5 Mutations","volume":"36","author":[{"family":"Zhang","given":"Ya"},{"family":"Fang","given":"Xiaoyan"},{"family":"Xu","given":"Hong"},{"family":"Shen","given":"Qian"}],"issued":{"date-parts":[["2017",12]]}}}],"schema":"https://github.com/citation-style-language/schema/raw/master/csl-citation.json"} </w:instrText>
            </w:r>
            <w:r w:rsidRPr="00BC0897">
              <w:rPr>
                <w:rFonts w:ascii="Times New Roman" w:hAnsi="Times New Roman" w:cs="Times New Roman"/>
                <w:b/>
                <w:sz w:val="20"/>
                <w:szCs w:val="20"/>
                <w:lang w:val="en-US"/>
              </w:rPr>
              <w:fldChar w:fldCharType="separate"/>
            </w:r>
            <w:r w:rsidRPr="00BC0897">
              <w:rPr>
                <w:rFonts w:ascii="Times New Roman" w:hAnsi="Times New Roman" w:cs="Times New Roman"/>
                <w:sz w:val="20"/>
                <w:szCs w:val="20"/>
              </w:rPr>
              <w:t>(Zhang et al. 2017)</w:t>
            </w:r>
            <w:r w:rsidRPr="00BC0897">
              <w:rPr>
                <w:rFonts w:ascii="Times New Roman" w:hAnsi="Times New Roman" w:cs="Times New Roman"/>
                <w:b/>
                <w:sz w:val="20"/>
                <w:szCs w:val="20"/>
                <w:lang w:val="en-US"/>
              </w:rPr>
              <w:fldChar w:fldCharType="end"/>
            </w:r>
          </w:p>
        </w:tc>
        <w:tc>
          <w:tcPr>
            <w:tcW w:w="1118" w:type="dxa"/>
            <w:vAlign w:val="center"/>
            <w:hideMark/>
          </w:tcPr>
          <w:p w:rsidR="00592A3B" w:rsidRPr="00BC0897" w:rsidRDefault="00592A3B"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Pr="00BC0897">
              <w:rPr>
                <w:rFonts w:ascii="Times New Roman" w:hAnsi="Times New Roman" w:cs="Times New Roman"/>
                <w:b/>
                <w:sz w:val="20"/>
                <w:szCs w:val="20"/>
                <w:lang w:val="en-US"/>
              </w:rPr>
              <w:instrText xml:space="preserve"> ADDIN ZOTERO_ITEM CSL_CITATION {"citationID":"ajQzOTHA","properties":{"formattedCitation":"(Zaniew et al. 2018)","plainCitation":"(Zaniew et al. 2018)","noteIndex":0},"citationItems":[{"id":691,"uris":["http://zotero.org/users/local/jkkvYBSC/items/EL5M35BZ"],"uri":["http://zotero.org/users/local/jkkvYBSC/items/EL5M35BZ"],"itemData":{"id":691,"type":"article-journal","abstract":"Background: Lowe syndrome (LS) and Dent-2 disease (DD2) are disorders associated with mutations in the OCRL gene and characterized by progressive chronic kidney disease (CKD). Here, we aimed to investigate the long-term renal outcome and identify potential determinants of CKD and its progression in children with these tubulopathies.\nMethods: Retrospective analyses were conducted of clinical and genetic data in a cohort of 106 boys (LS: 88 and DD2: 18). For genotype-phenotype analysis, we grouped mutations according to their type and localization. To investigate progression of CKD we used survival analysis by Kaplan-Meier method using stage 3 CKD as the end-point.\nResults: Median estimated glomerular filtration rate (eGFR) was lower in the LS group compared with DD2 (58.8 versus 87.4 mL/min/1.73 m2, P &lt; 0.01). CKD stage II-V was found in 82% of patients, of these 58% and 28% had moderate-to-severe CKD in LS and DD2, respectively. Three patients (3%), all with LS, developed stage 5 of CKD. Survival analysis showed that LS was also associated with a faster CKD progression than DD2 (P &lt; 0.01). On multivariate analysis, eGFR was dependent only on age (b = -0.46, P &lt; 0.001). Localization, but not type of mutations, tended to correlate with eGFR. There was also no significant association between presence of nephrocalcinosis, hypercalciuria, proteinuria and number of adverse clinical events and CKD.\nConclusions: CKD is commonly found in children with OCRL mutations. CKD progression was strongly related to the underlying diagnosis but did not associate with clinical parameters, such as nephrocalcinosis or proteinuria.","container-title":"Nephrology Dialysis Transplantation","DOI":"10.1093/ndt/gfw350","ISSN":"1460-2385","issue":"1","journalAbbreviation":"Nephrol. Dial. Transplant.","language":"eng","note":"PMID: 27708066","page":"85-94","source":"PubMed","title":"Long-term renal outcome in children with OCRL mutations: retrospective analysis of a large international cohort","title-short":"Long-term renal outcome in children with OCRL mutations","volume":"33","author":[{"family":"Zaniew","given":"Marcin"},{"family":"Bökenkamp","given":"Arend"},{"family":"Kolbuc","given":"Marcin"},{"family":"La Scola","given":"Claudio"},{"family":"Baronio","given":"Federico"},{"family":"Niemirska","given":"Anna"},{"family":"Szczepanska","given":"Maria"},{"family":"Bürger","given":"Julia"},{"family":"La Manna","given":"Angela"},{"family":"Miklaszewska","given":"Monika"},{"family":"Rogowska-Kalisz","given":"Anna"},{"family":"Gellermann","given":"Jutta"},{"family":"Zampetoglou","given":"Argyroula"},{"family":"Wasilewska","given":"Anna"},{"family":"Roszak","given":"Magdalena"},{"family":"Moczko","given":"Jerzy"},{"family":"Krzemien","given":"Aleksandra"},{"family":"Runowski","given":"Dariusz"},{"family":"Siten","given":"Grzegorz"},{"family":"Zaluska-Lesniewska","given":"Iga"},{"family":"Fonduli","given":"Patrizia"},{"family":"Zurrida","given":"Franca"},{"family":"Paglialonga","given":"Fabio"},{"family":"Gucev","given":"Zoran"},{"family":"Paripovic","given":"Dusan"},{"family":"Rus","given":"Rina"},{"family":"Said-Conti","given":"Valerie"},{"family":"Sartz","given":"Lisa"},{"family":"Chung","given":"Woo Yeong"},{"family":"Park","given":"Se Jin"},{"family":"Lee","given":"Jung Won"},{"family":"Park","given":"Yong Hoon"},{"family":"Ahn","given":"Yo Han"},{"family":"Sikora","given":"Przemyslaw"},{"family":"Stefanidis","given":"Constantinos J."},{"family":"Tasic","given":"Velibor"},{"family":"Konrad","given":"Martin"},{"family":"Anglani","given":"Franca"},{"family":"Addis","given":"Maria"},{"family":"Cheong","given":"Hae Il"},{"family":"Ludwig","given":"Michael"},{"family":"Bockenhauer","given":"Detlef"}],"issued":{"date-parts":[["2018"]],"season":"01"}}}],"schema":"https://github.com/citation-style-language/schema/raw/master/csl-citation.json"} </w:instrText>
            </w:r>
            <w:r w:rsidRPr="00BC0897">
              <w:rPr>
                <w:rFonts w:ascii="Times New Roman" w:hAnsi="Times New Roman" w:cs="Times New Roman"/>
                <w:b/>
                <w:sz w:val="20"/>
                <w:szCs w:val="20"/>
                <w:lang w:val="en-US"/>
              </w:rPr>
              <w:fldChar w:fldCharType="separate"/>
            </w:r>
            <w:r w:rsidRPr="00BC0897">
              <w:rPr>
                <w:rFonts w:ascii="Times New Roman" w:hAnsi="Times New Roman" w:cs="Times New Roman"/>
                <w:sz w:val="20"/>
                <w:szCs w:val="20"/>
              </w:rPr>
              <w:t>(Zaniew et al. 2018)</w:t>
            </w:r>
            <w:r w:rsidRPr="00BC0897">
              <w:rPr>
                <w:rFonts w:ascii="Times New Roman" w:hAnsi="Times New Roman" w:cs="Times New Roman"/>
                <w:b/>
                <w:sz w:val="20"/>
                <w:szCs w:val="20"/>
                <w:lang w:val="en-US"/>
              </w:rPr>
              <w:fldChar w:fldCharType="end"/>
            </w:r>
          </w:p>
        </w:tc>
        <w:tc>
          <w:tcPr>
            <w:tcW w:w="989" w:type="dxa"/>
            <w:vAlign w:val="center"/>
            <w:hideMark/>
          </w:tcPr>
          <w:p w:rsidR="00592A3B" w:rsidRPr="00BC0897" w:rsidRDefault="00592A3B"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Pr="00BC0897">
              <w:rPr>
                <w:rFonts w:ascii="Times New Roman" w:hAnsi="Times New Roman" w:cs="Times New Roman"/>
                <w:b/>
                <w:sz w:val="20"/>
                <w:szCs w:val="20"/>
                <w:lang w:val="en-US"/>
              </w:rPr>
              <w:instrText xml:space="preserve"> ADDIN ZOTERO_ITEM CSL_CITATION {"citationID":"7z0WlnKP","properties":{"formattedCitation":"(Ye et al. 2020)","plainCitation":"(Ye et al. 2020)","noteIndex":0},"citationItems":[{"id":21,"uris":["http://zotero.org/users/local/jkkvYBSC/items/N4XWEW3F"],"uri":["http://zotero.org/users/local/jkkvYBSC/items/N4XWEW3F"],"itemData":{"id":21,"type":"article-journal","abstract":"Dent disease is a rare X-linked recessive inherited tubular disease. In this multicenter study, the clinical presentation and genetic background of Chinese children with Dent disease are studied to improve the cognition and diagnostic ability of pediatricians. In this prospective cohort, we described the genotype and phenotype of a national cohort composed of 45 pediatric probands with Dent disease belonging to 45 families from 12 different regions of China recruited from 2014 to 2018 by building up the multicenter registration system. The CLCN5 gene from 32 affected families revealed 28 different mutations. The OCRL gene from 13 affected families revealed 13 different mutations. The incidence of low-molecular-weight proteinuria (LMWP) in both Dent disease type 1 populations and Dent disease type 2 populations was 100.0%; however, the incidence of other manifestations was not high, which was similar to previously reported data. Therefore, LMWP is a key clinical feature that should alert clinicians to the possibility of Dent disease. A high amount of LMWP combined with positive gene test results can be used as the diagnostic criteria for this disease. The diagnostic criteria are helpful in reducing the missed diagnosis of this disease and are beneficial for protecting the renal function of these patients through early diagnosis and early intervention. This article is protected by copyright. All rights reserved.","container-title":"Clinical Genetics","DOI":"10.1111/cge.13663","ISSN":"1399-0004","issue":"3","journalAbbreviation":"Clin. Genet.","language":"eng","note":"PMID: 31674016","page":"407-417","source":"PubMed","title":"Multicenter study of the clinical features and mutation gene spectrum of Chinese children with Dent disease","volume":"97","author":[{"family":"Ye","given":"Qing"},{"family":"Shen","given":"Qian"},{"family":"Rao","given":"Jia"},{"family":"Zhang","given":"Aihua"},{"family":"Zheng","given":"Bixia"},{"family":"Liu","given":"Xiaorong"},{"family":"Shen","given":"Ying"},{"family":"Chen","given":"Zhi"},{"family":"Wu","given":"Yubing"},{"family":"Hou","given":"Ling"},{"family":"Jian","given":"Shan"},{"family":"Wei","given":"Min"},{"family":"Ma","given":"Shengming"},{"family":"Sun","given":"Shuzhen"},{"family":"Li","given":"Qian"},{"family":"Dang","given":"Xiqiang"},{"family":"Wang","given":"Ying"},{"family":"Xu","given":"Hong"},{"family":"Mao","given":"Jianhua"},{"literal":"for Chinese Children Genetic Kidney Disease Database (CCGKDD), “Internet Plus” Nephrology Alliance of National Center for Children's Care"}],"issued":{"date-parts":[["2020",3]]}}}],"schema":"https://github.com/citation-style-language/schema/raw/master/csl-citation.json"} </w:instrText>
            </w:r>
            <w:r w:rsidRPr="00BC0897">
              <w:rPr>
                <w:rFonts w:ascii="Times New Roman" w:hAnsi="Times New Roman" w:cs="Times New Roman"/>
                <w:b/>
                <w:sz w:val="20"/>
                <w:szCs w:val="20"/>
                <w:lang w:val="en-US"/>
              </w:rPr>
              <w:fldChar w:fldCharType="separate"/>
            </w:r>
            <w:r w:rsidRPr="00BC0897">
              <w:rPr>
                <w:rFonts w:ascii="Times New Roman" w:hAnsi="Times New Roman" w:cs="Times New Roman"/>
                <w:sz w:val="20"/>
              </w:rPr>
              <w:t>(Ye et al. 2020)</w:t>
            </w:r>
            <w:r w:rsidRPr="00BC0897">
              <w:rPr>
                <w:rFonts w:ascii="Times New Roman" w:hAnsi="Times New Roman" w:cs="Times New Roman"/>
                <w:b/>
                <w:sz w:val="20"/>
                <w:szCs w:val="20"/>
                <w:lang w:val="en-US"/>
              </w:rPr>
              <w:fldChar w:fldCharType="end"/>
            </w:r>
          </w:p>
        </w:tc>
        <w:tc>
          <w:tcPr>
            <w:tcW w:w="967" w:type="dxa"/>
            <w:vAlign w:val="center"/>
            <w:hideMark/>
          </w:tcPr>
          <w:p w:rsidR="00592A3B" w:rsidRPr="00BC0897" w:rsidRDefault="00592A3B"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Pr="00BC0897">
              <w:rPr>
                <w:rFonts w:ascii="Times New Roman" w:hAnsi="Times New Roman" w:cs="Times New Roman"/>
                <w:b/>
                <w:sz w:val="20"/>
                <w:szCs w:val="20"/>
                <w:lang w:val="en-US"/>
              </w:rPr>
              <w:instrText xml:space="preserve"> ADDIN ZOTERO_ITEM CSL_CITATION {"citationID":"1ix1JlLq","properties":{"formattedCitation":"(Bao et al. 2019)","plainCitation":"(Bao et al. 2019)","noteIndex":0},"citationItems":[{"id":259,"uris":["http://zotero.org/users/local/jkkvYBSC/items/A2LVT5AF"],"uri":["http://zotero.org/users/local/jkkvYBSC/items/A2LVT5AF"],"itemData":{"id":259,"type":"article-journal","container-title":"Science China. Life Sciences","DOI":"10.1007/s11427-018-9829-0","ISSN":"1869-1889","issue":"12","journalAbbreviation":"Sci China Life Sci","language":"eng","note":"PMID: 31701402","page":"1590-1593","source":"PubMed","title":"Clinical and genetic analysis of Dent disease with nephrotic range albuminuria in Shaanxi, China","volume":"62","author":[{"family":"Bao","given":"Ying"},{"family":"Suo","given":"Lei"},{"family":"Qian","given":"Pei"},{"family":"Huang","given":"Huimei"},{"family":"Yang","given":"Ying"},{"family":"Tang","given":"Jun"},{"family":"Zhang","given":"Min"},{"family":"Li","given":"Zhijuan"},{"family":"Wang","given":"Ying"},{"family":"Liang","given":"Nan"},{"family":"Wang","given":"Yili"}],"issued":{"date-parts":[["2019",12]]}}}],"schema":"https://github.com/citation-style-language/schema/raw/master/csl-citation.json"} </w:instrText>
            </w:r>
            <w:r w:rsidRPr="00BC0897">
              <w:rPr>
                <w:rFonts w:ascii="Times New Roman" w:hAnsi="Times New Roman" w:cs="Times New Roman"/>
                <w:b/>
                <w:sz w:val="20"/>
                <w:szCs w:val="20"/>
                <w:lang w:val="en-US"/>
              </w:rPr>
              <w:fldChar w:fldCharType="separate"/>
            </w:r>
            <w:r w:rsidRPr="00BC0897">
              <w:rPr>
                <w:rFonts w:ascii="Times New Roman" w:hAnsi="Times New Roman" w:cs="Times New Roman"/>
                <w:sz w:val="20"/>
                <w:szCs w:val="20"/>
                <w:lang w:val="en-US"/>
              </w:rPr>
              <w:t>(Bao et al. 2019)</w:t>
            </w:r>
            <w:r w:rsidRPr="00BC0897">
              <w:rPr>
                <w:rFonts w:ascii="Times New Roman" w:hAnsi="Times New Roman" w:cs="Times New Roman"/>
                <w:b/>
                <w:sz w:val="20"/>
                <w:szCs w:val="20"/>
                <w:lang w:val="en-US"/>
              </w:rPr>
              <w:fldChar w:fldCharType="end"/>
            </w:r>
          </w:p>
        </w:tc>
        <w:tc>
          <w:tcPr>
            <w:tcW w:w="992" w:type="dxa"/>
            <w:vAlign w:val="center"/>
          </w:tcPr>
          <w:p w:rsidR="00592A3B" w:rsidRPr="00BC0897" w:rsidRDefault="00592A3B" w:rsidP="001D6376">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Pr="00BC0897">
              <w:rPr>
                <w:rFonts w:ascii="Times New Roman" w:hAnsi="Times New Roman" w:cs="Times New Roman"/>
                <w:b/>
                <w:sz w:val="20"/>
                <w:szCs w:val="20"/>
                <w:lang w:val="en-US"/>
              </w:rPr>
              <w:instrText xml:space="preserve"> ADDIN ZOTERO_ITEM CSL_CITATION {"citationID":"NrnVWVqd","properties":{"formattedCitation":"(Deng et al. 2020)","plainCitation":"(Deng et al. 2020)","noteIndex":0},"citationItems":[{"id":2533,"uris":["http://zotero.org/users/local/jkkvYBSC/items/5ERYPQ5M"],"uri":["http://zotero.org/users/local/jkkvYBSC/items/5ERYPQ5M"],"itemData":{"id":2533,"type":"article-journal","abstract":"BACKGROUND: To characterize the phenotypic spectrum and assess the antialbuminuric response to angiotensin converting enzyme (ACE) inhibitor and/or angiotensin receptor blocker (ARB) therapy in a cohort of children with Dent disease.\nMETHODS: The patients' clinical findings, renal biopsy results, genetic and follow-up data were analyzed retrospectively. Mutations in CLCN5 or OCRL were detected by next-generation sequencing or Sanger sequencing.\nRESULTS: Of 31 Dent disease boys, 24 carried CLCN5 and 7 carried OCRL mutations. Low molecular weight proteinuria and albuminuria were detected in all cases. Nephrotic-range proteinuria and severe albuminuria were identified in 52% and 62% of cases, respectively; by 7 years of age, 6 patients had hematuria and nephrotic-range proteinuria, and 7 patients had hematuria and moderate to severe albuminuria. In addition to disease-related renal features, patients with Dent-1 disease also presented with congenital cataract (1/9) and developmental delay (2/7). Seventeen of 31 patients underwent renal biopsy. Glomerular changes included mild glomerular lesions, mesangial proliferative glomerulonephritis and focal segmental glomerular sclerosis. Thirteen of the 31 patients had follow-up records and received ACE inhibitor and/or ARB treatment for more than 3 months. After a median 1.7 (range 0.3-8.5) years of treatment, a reduction in the urinary microalbumin-to-creatinine ratio was observed in 54% of children.\nCONCLUSIONS: Hematuria with nephrotic-range proteinuria or moderate to severe albuminuria was common in Dent disease patients. Extrarenal manifestations were observed in Dent-1 patients, which extends the phenotypic spectrum. In addition, ACE inhibitors and ARBs are well tolerated, and they are partially effective in controlling albuminuria.","container-title":"Molecular Genetics &amp; Genomic Medicine","DOI":"10.1002/mgg3.1306","ISSN":"2324-9269","journalAbbreviation":"Mol Genet Genomic Med","language":"eng","note":"PMID: 32495484","page":"e1306","source":"PubMed","title":"Phenotypic spectrum and antialbuminuric response to angiotensin converting enzyme inhibitor and angiotensin receptor blocker therapy in pediatric Dent disease","author":[{"family":"Deng","given":"Haiyue"},{"family":"Zhang","given":"Yanqin"},{"family":"Xiao","given":"Huijie"},{"family":"Yao","given":"Yong"},{"family":"Zhang","given":"Hongwen"},{"family":"Liu","given":"Xiaoyu"},{"family":"Su","given":"Baige"},{"family":"Guan","given":"Na"},{"family":"Zhong","given":"Xuhui"},{"family":"Wang","given":"Suxia"},{"family":"Ding","given":"Jie"},{"family":"Wang","given":"Fang"}],"issued":{"date-parts":[["2020",6,3]]}}}],"schema":"https://github.com/citation-style-language/schema/raw/master/csl-citation.json"} </w:instrText>
            </w:r>
            <w:r w:rsidRPr="00BC0897">
              <w:rPr>
                <w:rFonts w:ascii="Times New Roman" w:hAnsi="Times New Roman" w:cs="Times New Roman"/>
                <w:b/>
                <w:sz w:val="20"/>
                <w:szCs w:val="20"/>
                <w:lang w:val="en-US"/>
              </w:rPr>
              <w:fldChar w:fldCharType="separate"/>
            </w:r>
            <w:r w:rsidRPr="00BC0897">
              <w:rPr>
                <w:rFonts w:ascii="Times New Roman" w:hAnsi="Times New Roman" w:cs="Times New Roman"/>
                <w:sz w:val="20"/>
                <w:lang w:val="en-US"/>
              </w:rPr>
              <w:t>(Deng et al. 2020)</w:t>
            </w:r>
            <w:r w:rsidRPr="00BC0897">
              <w:rPr>
                <w:rFonts w:ascii="Times New Roman" w:hAnsi="Times New Roman" w:cs="Times New Roman"/>
                <w:b/>
                <w:sz w:val="20"/>
                <w:szCs w:val="20"/>
                <w:lang w:val="en-US"/>
              </w:rPr>
              <w:fldChar w:fldCharType="end"/>
            </w:r>
          </w:p>
        </w:tc>
        <w:tc>
          <w:tcPr>
            <w:tcW w:w="1273" w:type="dxa"/>
            <w:vAlign w:val="center"/>
          </w:tcPr>
          <w:p w:rsidR="00592A3B" w:rsidRPr="00BC0897" w:rsidRDefault="00592A3B" w:rsidP="007F0FC3">
            <w:pPr>
              <w:spacing w:after="0"/>
              <w:jc w:val="center"/>
              <w:rPr>
                <w:rFonts w:ascii="Times New Roman" w:hAnsi="Times New Roman" w:cs="Times New Roman"/>
                <w:sz w:val="20"/>
                <w:lang w:val="en-US"/>
              </w:rPr>
            </w:pPr>
            <w:r w:rsidRPr="00BC0897">
              <w:rPr>
                <w:rFonts w:ascii="Times New Roman" w:hAnsi="Times New Roman" w:cs="Times New Roman"/>
                <w:sz w:val="20"/>
                <w:lang w:val="en-US"/>
              </w:rPr>
              <w:fldChar w:fldCharType="begin"/>
            </w:r>
            <w:r w:rsidRPr="00BC0897">
              <w:rPr>
                <w:rFonts w:ascii="Times New Roman" w:hAnsi="Times New Roman" w:cs="Times New Roman"/>
                <w:sz w:val="20"/>
                <w:lang w:val="en-US"/>
              </w:rPr>
              <w:instrText xml:space="preserve"> ADDIN ZOTERO_ITEM CSL_CITATION {"citationID":"t9B1Ed6d","properties":{"formattedCitation":"(Sakakibara et al. 2020)","plainCitation":"(Sakakibara et al. 2020)","noteIndex":0},"citationItems":[{"id":2562,"uris":["http://zotero.org/users/local/jkkvYBSC/items/A553IMF9"],"uri":["http://zotero.org/users/local/jkkvYBSC/items/A553IMF9"],"itemData":{"id":2562,"type":"article-journal","abstract":"BACKGROUND: Dent disease is associated with low molecular weight proteinuria and hypercalciuria and caused by pathogenic variants in either of two genes: CLCN5 (Dent disease 1) and OCRL (Dent disease 2). It is generally not accompanied by extrarenal manifestations and it is difficult to distinguish Dent disease 1 from Dent disease 2 without gene testing. We retrospectively compared the characteristics of these two diseases using one of the largest cohorts to date.\nMETHODS: We performed gene testing for clinically suspected Dent disease, leading to the genetic diagnosis of 85 males: 72 with Dent disease 1 and 13 with Dent disease 2. A retrospective review of the clinical findings and laboratory data obtained from questionnaires submitted in association with the gene testing was conducted for these cases.\nRESULTS: The following variables had significantly higher levels in Dent disease 2 than in Dent disease 1: height standard deviation score (height SDS), serum creatinine-based estimated GFR (Cr-eGFR) (median: 84 vs. 127 mL/min/1.73 m2, p &lt; 0.01), serum aspartate aminotransferase (AST), serum alanine aminotransferase (ALT), serum lactate dehydrogenase (LDH), serum creatine phosphokinase (CK), serum potassium, serum inorganic phosphorus, serum uric acid, urine protein/creatinine ratio (median: 3.5 vs. 1.6 mg/mg, p &lt; 0.01), and urine calcium/creatinine ratio. There were no significant differences in serum sodium, serum calcium, alkaline phosphatase (ALP), urine β2-microglobulin, incidence of nephrocalcinosis, and prevalence of intellectual disability or autism spectrum disorder.\nCONCLUSIONS: The clinical and laboratory features of Dent disease 1 and Dent disease 2 were shown in this study. Notably, patients with Dent disease 2 showed kidney dysfunction at a younger age, which should provide a clue for the differential diagnosis of these diseases.","container-title":"Pediatric Nephrology (Berlin, Germany)","DOI":"10.1007/s00467-020-04701-5","ISSN":"1432-198X","journalAbbreviation":"Pediatr. Nephrol.","language":"eng","note":"PMID: 32683654","source":"PubMed","title":"Comparison of clinical and genetic characteristics between Dent disease 1 and Dent disease 2","author":[{"family":"Sakakibara","given":"Nana"},{"family":"Nagano","given":"China"},{"family":"Ishiko","given":"Shinya"},{"family":"Horinouchi","given":"Tomoko"},{"family":"Yamamura","given":"Tomohiko"},{"family":"Minamikawa","given":"Shogo"},{"family":"Shima","given":"Yuko"},{"family":"Nakanishi","given":"Koichi"},{"family":"Ishimori","given":"Shingo"},{"family":"Morisada","given":"Naoya"},{"family":"Iijima","given":"Kazumoto"},{"family":"Nozu","given":"Kandai"}],"issued":{"date-parts":[["2020",7,18]]}}}],"schema":"https://github.com/citation-style-language/schema/raw/master/csl-citation.json"} </w:instrText>
            </w:r>
            <w:r w:rsidRPr="00BC0897">
              <w:rPr>
                <w:rFonts w:ascii="Times New Roman" w:hAnsi="Times New Roman" w:cs="Times New Roman"/>
                <w:sz w:val="20"/>
                <w:lang w:val="en-US"/>
              </w:rPr>
              <w:fldChar w:fldCharType="separate"/>
            </w:r>
            <w:r w:rsidRPr="00BC0897">
              <w:rPr>
                <w:rFonts w:ascii="Times New Roman" w:hAnsi="Times New Roman" w:cs="Times New Roman"/>
                <w:sz w:val="20"/>
                <w:lang w:val="en-US"/>
              </w:rPr>
              <w:t>(Sakakibara et al. 2020)</w:t>
            </w:r>
            <w:r w:rsidRPr="00BC0897">
              <w:rPr>
                <w:rFonts w:ascii="Times New Roman" w:hAnsi="Times New Roman" w:cs="Times New Roman"/>
                <w:sz w:val="20"/>
                <w:lang w:val="en-US"/>
              </w:rPr>
              <w:fldChar w:fldCharType="end"/>
            </w:r>
          </w:p>
        </w:tc>
      </w:tr>
      <w:tr w:rsidR="00592A3B" w:rsidRPr="002212C2" w:rsidTr="00592A3B">
        <w:trPr>
          <w:trHeight w:val="300"/>
        </w:trPr>
        <w:tc>
          <w:tcPr>
            <w:tcW w:w="2376" w:type="dxa"/>
            <w:vAlign w:val="center"/>
            <w:hideMark/>
          </w:tcPr>
          <w:p w:rsidR="00592A3B" w:rsidRPr="00BC0897" w:rsidRDefault="00592A3B"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n</w:t>
            </w:r>
          </w:p>
        </w:tc>
        <w:tc>
          <w:tcPr>
            <w:tcW w:w="1060" w:type="dxa"/>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c>
          <w:tcPr>
            <w:tcW w:w="1237" w:type="dxa"/>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137" w:type="dxa"/>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9</w:t>
            </w:r>
          </w:p>
        </w:tc>
        <w:tc>
          <w:tcPr>
            <w:tcW w:w="1134" w:type="dxa"/>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w:t>
            </w:r>
          </w:p>
        </w:tc>
        <w:tc>
          <w:tcPr>
            <w:tcW w:w="993" w:type="dxa"/>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w:t>
            </w:r>
          </w:p>
        </w:tc>
        <w:tc>
          <w:tcPr>
            <w:tcW w:w="1005" w:type="dxa"/>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118" w:type="dxa"/>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18</w:t>
            </w:r>
          </w:p>
        </w:tc>
        <w:tc>
          <w:tcPr>
            <w:tcW w:w="989" w:type="dxa"/>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13</w:t>
            </w:r>
          </w:p>
        </w:tc>
        <w:tc>
          <w:tcPr>
            <w:tcW w:w="967" w:type="dxa"/>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w:t>
            </w:r>
          </w:p>
        </w:tc>
        <w:tc>
          <w:tcPr>
            <w:tcW w:w="992" w:type="dxa"/>
            <w:vAlign w:val="center"/>
          </w:tcPr>
          <w:p w:rsidR="00592A3B" w:rsidRPr="00BC0897" w:rsidRDefault="00592A3B" w:rsidP="001D6376">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7</w:t>
            </w:r>
          </w:p>
        </w:tc>
        <w:tc>
          <w:tcPr>
            <w:tcW w:w="1273" w:type="dxa"/>
            <w:vAlign w:val="center"/>
          </w:tcPr>
          <w:p w:rsidR="00592A3B" w:rsidRPr="00BC0897" w:rsidRDefault="00592A3B" w:rsidP="007F0FC3">
            <w:pPr>
              <w:spacing w:after="0"/>
              <w:jc w:val="center"/>
              <w:rPr>
                <w:rFonts w:ascii="Times New Roman" w:hAnsi="Times New Roman" w:cs="Times New Roman"/>
                <w:sz w:val="20"/>
                <w:lang w:val="en-US"/>
              </w:rPr>
            </w:pPr>
            <w:r w:rsidRPr="00BC0897">
              <w:rPr>
                <w:rFonts w:ascii="Times New Roman" w:hAnsi="Times New Roman" w:cs="Times New Roman"/>
                <w:sz w:val="20"/>
                <w:lang w:val="en-US"/>
              </w:rPr>
              <w:t>13</w:t>
            </w:r>
          </w:p>
        </w:tc>
      </w:tr>
      <w:tr w:rsidR="00592A3B" w:rsidRPr="002212C2" w:rsidTr="00592A3B">
        <w:trPr>
          <w:trHeight w:val="300"/>
        </w:trPr>
        <w:tc>
          <w:tcPr>
            <w:tcW w:w="2376" w:type="dxa"/>
            <w:noWrap/>
            <w:vAlign w:val="center"/>
            <w:hideMark/>
          </w:tcPr>
          <w:p w:rsidR="00592A3B" w:rsidRPr="00BC0897" w:rsidRDefault="00592A3B"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Population</w:t>
            </w:r>
          </w:p>
        </w:tc>
        <w:tc>
          <w:tcPr>
            <w:tcW w:w="1060"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Japanese</w:t>
            </w:r>
          </w:p>
        </w:tc>
        <w:tc>
          <w:tcPr>
            <w:tcW w:w="1237" w:type="dxa"/>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Italian</w:t>
            </w:r>
          </w:p>
        </w:tc>
        <w:tc>
          <w:tcPr>
            <w:tcW w:w="11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French</w:t>
            </w:r>
          </w:p>
        </w:tc>
        <w:tc>
          <w:tcPr>
            <w:tcW w:w="1134"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American</w:t>
            </w:r>
          </w:p>
        </w:tc>
        <w:tc>
          <w:tcPr>
            <w:tcW w:w="993"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Chinese</w:t>
            </w:r>
          </w:p>
        </w:tc>
        <w:tc>
          <w:tcPr>
            <w:tcW w:w="1005"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Chinese</w:t>
            </w:r>
          </w:p>
        </w:tc>
        <w:tc>
          <w:tcPr>
            <w:tcW w:w="1118"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Global</w:t>
            </w:r>
          </w:p>
        </w:tc>
        <w:tc>
          <w:tcPr>
            <w:tcW w:w="989"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Chinese</w:t>
            </w:r>
          </w:p>
        </w:tc>
        <w:tc>
          <w:tcPr>
            <w:tcW w:w="967" w:type="dxa"/>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Chinese</w:t>
            </w:r>
          </w:p>
        </w:tc>
        <w:tc>
          <w:tcPr>
            <w:tcW w:w="992" w:type="dxa"/>
            <w:vAlign w:val="center"/>
          </w:tcPr>
          <w:p w:rsidR="00592A3B" w:rsidRPr="00BC0897" w:rsidRDefault="00592A3B" w:rsidP="001D6376">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Chinese</w:t>
            </w:r>
          </w:p>
        </w:tc>
        <w:tc>
          <w:tcPr>
            <w:tcW w:w="1273" w:type="dxa"/>
            <w:vAlign w:val="center"/>
          </w:tcPr>
          <w:p w:rsidR="00592A3B" w:rsidRPr="00BC0897" w:rsidRDefault="00592A3B" w:rsidP="007F0FC3">
            <w:pPr>
              <w:spacing w:after="0"/>
              <w:jc w:val="center"/>
              <w:rPr>
                <w:rFonts w:ascii="Times New Roman" w:hAnsi="Times New Roman" w:cs="Times New Roman"/>
                <w:sz w:val="20"/>
                <w:lang w:val="en-US"/>
              </w:rPr>
            </w:pPr>
            <w:r w:rsidRPr="00BC0897">
              <w:rPr>
                <w:rFonts w:ascii="Times New Roman" w:hAnsi="Times New Roman" w:cs="Times New Roman"/>
                <w:sz w:val="20"/>
                <w:lang w:val="en-US"/>
              </w:rPr>
              <w:t>Japanese</w:t>
            </w:r>
          </w:p>
        </w:tc>
      </w:tr>
      <w:tr w:rsidR="00592A3B" w:rsidRPr="002212C2" w:rsidTr="00592A3B">
        <w:trPr>
          <w:trHeight w:val="300"/>
        </w:trPr>
        <w:tc>
          <w:tcPr>
            <w:tcW w:w="2376" w:type="dxa"/>
            <w:vAlign w:val="center"/>
            <w:hideMark/>
          </w:tcPr>
          <w:p w:rsidR="00592A3B" w:rsidRPr="00BC0897" w:rsidRDefault="00592A3B"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Age (years, range)</w:t>
            </w:r>
          </w:p>
        </w:tc>
        <w:tc>
          <w:tcPr>
            <w:tcW w:w="1060" w:type="dxa"/>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0.3-24.8</w:t>
            </w:r>
          </w:p>
        </w:tc>
        <w:tc>
          <w:tcPr>
            <w:tcW w:w="1237" w:type="dxa"/>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w:t>
            </w:r>
          </w:p>
        </w:tc>
        <w:tc>
          <w:tcPr>
            <w:tcW w:w="1137" w:type="dxa"/>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3-8</w:t>
            </w:r>
          </w:p>
        </w:tc>
        <w:tc>
          <w:tcPr>
            <w:tcW w:w="1134" w:type="dxa"/>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7</w:t>
            </w:r>
          </w:p>
        </w:tc>
        <w:tc>
          <w:tcPr>
            <w:tcW w:w="993" w:type="dxa"/>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5.6-30.5</w:t>
            </w:r>
          </w:p>
        </w:tc>
        <w:tc>
          <w:tcPr>
            <w:tcW w:w="1005" w:type="dxa"/>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6</w:t>
            </w:r>
          </w:p>
        </w:tc>
        <w:tc>
          <w:tcPr>
            <w:tcW w:w="1118" w:type="dxa"/>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7-17</w:t>
            </w:r>
          </w:p>
        </w:tc>
        <w:tc>
          <w:tcPr>
            <w:tcW w:w="989" w:type="dxa"/>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0.17-10</w:t>
            </w:r>
          </w:p>
        </w:tc>
        <w:tc>
          <w:tcPr>
            <w:tcW w:w="967" w:type="dxa"/>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2" w:type="dxa"/>
            <w:vAlign w:val="center"/>
          </w:tcPr>
          <w:p w:rsidR="00592A3B" w:rsidRPr="00BC0897" w:rsidRDefault="00592A3B" w:rsidP="001D6376">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0.2-7.2</w:t>
            </w:r>
          </w:p>
        </w:tc>
        <w:tc>
          <w:tcPr>
            <w:tcW w:w="1273" w:type="dxa"/>
            <w:vAlign w:val="center"/>
          </w:tcPr>
          <w:p w:rsidR="00592A3B" w:rsidRPr="00BC0897" w:rsidRDefault="00592A3B" w:rsidP="007F0FC3">
            <w:pPr>
              <w:spacing w:after="0"/>
              <w:jc w:val="center"/>
              <w:rPr>
                <w:rFonts w:ascii="Times New Roman" w:hAnsi="Times New Roman" w:cs="Times New Roman"/>
                <w:sz w:val="20"/>
                <w:lang w:val="en-US"/>
              </w:rPr>
            </w:pPr>
            <w:r w:rsidRPr="00BC0897">
              <w:rPr>
                <w:rFonts w:ascii="Times New Roman" w:hAnsi="Times New Roman" w:cs="Times New Roman"/>
                <w:sz w:val="20"/>
                <w:lang w:val="en-US"/>
              </w:rPr>
              <w:t>1.5-5.5</w:t>
            </w:r>
          </w:p>
        </w:tc>
      </w:tr>
      <w:tr w:rsidR="00592A3B" w:rsidRPr="002212C2" w:rsidTr="00592A3B">
        <w:trPr>
          <w:trHeight w:val="300"/>
        </w:trPr>
        <w:tc>
          <w:tcPr>
            <w:tcW w:w="2376" w:type="dxa"/>
            <w:noWrap/>
            <w:vAlign w:val="center"/>
            <w:hideMark/>
          </w:tcPr>
          <w:p w:rsidR="00592A3B" w:rsidRPr="00BC0897" w:rsidRDefault="00592A3B"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Proteinuria</w:t>
            </w:r>
          </w:p>
        </w:tc>
        <w:tc>
          <w:tcPr>
            <w:tcW w:w="1060" w:type="dxa"/>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237" w:type="dxa"/>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c>
          <w:tcPr>
            <w:tcW w:w="1137" w:type="dxa"/>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993" w:type="dxa"/>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2/2</w:t>
            </w:r>
          </w:p>
        </w:tc>
        <w:tc>
          <w:tcPr>
            <w:tcW w:w="1005" w:type="dxa"/>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18" w:type="dxa"/>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17/17</w:t>
            </w:r>
          </w:p>
        </w:tc>
        <w:tc>
          <w:tcPr>
            <w:tcW w:w="989" w:type="dxa"/>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967" w:type="dxa"/>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3/3</w:t>
            </w:r>
          </w:p>
        </w:tc>
        <w:tc>
          <w:tcPr>
            <w:tcW w:w="992" w:type="dxa"/>
            <w:vAlign w:val="center"/>
          </w:tcPr>
          <w:p w:rsidR="00592A3B" w:rsidRPr="00BC0897" w:rsidRDefault="00592A3B" w:rsidP="001D6376">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273" w:type="dxa"/>
            <w:vAlign w:val="center"/>
          </w:tcPr>
          <w:p w:rsidR="00592A3B" w:rsidRPr="00BC0897" w:rsidRDefault="00592A3B" w:rsidP="007F0FC3">
            <w:pPr>
              <w:spacing w:after="0"/>
              <w:jc w:val="center"/>
              <w:rPr>
                <w:rFonts w:ascii="Times New Roman" w:hAnsi="Times New Roman" w:cs="Times New Roman"/>
                <w:sz w:val="20"/>
                <w:lang w:val="en-US"/>
              </w:rPr>
            </w:pPr>
          </w:p>
        </w:tc>
      </w:tr>
      <w:tr w:rsidR="00592A3B" w:rsidRPr="002212C2" w:rsidTr="00592A3B">
        <w:trPr>
          <w:trHeight w:val="300"/>
        </w:trPr>
        <w:tc>
          <w:tcPr>
            <w:tcW w:w="2376" w:type="dxa"/>
            <w:noWrap/>
            <w:vAlign w:val="center"/>
            <w:hideMark/>
          </w:tcPr>
          <w:p w:rsidR="00592A3B" w:rsidRPr="00BC0897" w:rsidRDefault="00592A3B"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Nephrotic range proteinuria</w:t>
            </w:r>
          </w:p>
        </w:tc>
        <w:tc>
          <w:tcPr>
            <w:tcW w:w="1060" w:type="dxa"/>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237" w:type="dxa"/>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c>
          <w:tcPr>
            <w:tcW w:w="1137" w:type="dxa"/>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34" w:type="dxa"/>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993" w:type="dxa"/>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c>
          <w:tcPr>
            <w:tcW w:w="1005" w:type="dxa"/>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18" w:type="dxa"/>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0/17</w:t>
            </w:r>
          </w:p>
        </w:tc>
        <w:tc>
          <w:tcPr>
            <w:tcW w:w="989" w:type="dxa"/>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967" w:type="dxa"/>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3/3</w:t>
            </w:r>
          </w:p>
        </w:tc>
        <w:tc>
          <w:tcPr>
            <w:tcW w:w="992" w:type="dxa"/>
            <w:vAlign w:val="center"/>
          </w:tcPr>
          <w:p w:rsidR="00592A3B" w:rsidRPr="00BC0897" w:rsidRDefault="00592A3B" w:rsidP="001D6376">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3/7</w:t>
            </w:r>
          </w:p>
        </w:tc>
        <w:tc>
          <w:tcPr>
            <w:tcW w:w="1273" w:type="dxa"/>
            <w:vAlign w:val="center"/>
          </w:tcPr>
          <w:p w:rsidR="00592A3B" w:rsidRPr="00BC0897" w:rsidRDefault="00592A3B" w:rsidP="007F0FC3">
            <w:pPr>
              <w:spacing w:after="0"/>
              <w:jc w:val="center"/>
              <w:rPr>
                <w:rFonts w:ascii="Times New Roman" w:hAnsi="Times New Roman" w:cs="Times New Roman"/>
                <w:sz w:val="20"/>
                <w:lang w:val="en-US"/>
              </w:rPr>
            </w:pPr>
          </w:p>
        </w:tc>
      </w:tr>
      <w:tr w:rsidR="00592A3B" w:rsidRPr="002212C2" w:rsidTr="00592A3B">
        <w:trPr>
          <w:trHeight w:val="300"/>
        </w:trPr>
        <w:tc>
          <w:tcPr>
            <w:tcW w:w="2376" w:type="dxa"/>
            <w:noWrap/>
            <w:vAlign w:val="center"/>
            <w:hideMark/>
          </w:tcPr>
          <w:p w:rsidR="00592A3B" w:rsidRPr="00BC0897" w:rsidRDefault="00592A3B"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LMWP</w:t>
            </w:r>
          </w:p>
        </w:tc>
        <w:tc>
          <w:tcPr>
            <w:tcW w:w="1060"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11/11</w:t>
            </w:r>
          </w:p>
        </w:tc>
        <w:tc>
          <w:tcPr>
            <w:tcW w:w="12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c>
          <w:tcPr>
            <w:tcW w:w="11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7/7</w:t>
            </w:r>
          </w:p>
        </w:tc>
        <w:tc>
          <w:tcPr>
            <w:tcW w:w="1134"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2/2</w:t>
            </w:r>
          </w:p>
        </w:tc>
        <w:tc>
          <w:tcPr>
            <w:tcW w:w="993"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005"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c>
          <w:tcPr>
            <w:tcW w:w="1118"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17/17</w:t>
            </w:r>
          </w:p>
        </w:tc>
        <w:tc>
          <w:tcPr>
            <w:tcW w:w="989"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13/13</w:t>
            </w:r>
          </w:p>
        </w:tc>
        <w:tc>
          <w:tcPr>
            <w:tcW w:w="96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3/3</w:t>
            </w:r>
          </w:p>
        </w:tc>
        <w:tc>
          <w:tcPr>
            <w:tcW w:w="992" w:type="dxa"/>
            <w:vAlign w:val="center"/>
          </w:tcPr>
          <w:p w:rsidR="00592A3B" w:rsidRPr="00BC0897" w:rsidRDefault="00592A3B" w:rsidP="001D6376">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7/7</w:t>
            </w:r>
          </w:p>
        </w:tc>
        <w:tc>
          <w:tcPr>
            <w:tcW w:w="1273" w:type="dxa"/>
            <w:vAlign w:val="center"/>
          </w:tcPr>
          <w:p w:rsidR="00592A3B" w:rsidRPr="00BC0897" w:rsidRDefault="00592A3B" w:rsidP="007F0FC3">
            <w:pPr>
              <w:spacing w:after="0"/>
              <w:jc w:val="center"/>
              <w:rPr>
                <w:rFonts w:ascii="Times New Roman" w:hAnsi="Times New Roman" w:cs="Times New Roman"/>
                <w:sz w:val="20"/>
                <w:lang w:val="en-US"/>
              </w:rPr>
            </w:pPr>
            <w:r w:rsidRPr="00BC0897">
              <w:rPr>
                <w:rFonts w:ascii="Times New Roman" w:hAnsi="Times New Roman" w:cs="Times New Roman"/>
                <w:sz w:val="20"/>
                <w:lang w:val="en-US"/>
              </w:rPr>
              <w:t>13/13</w:t>
            </w:r>
          </w:p>
        </w:tc>
      </w:tr>
      <w:tr w:rsidR="00592A3B" w:rsidRPr="002212C2" w:rsidTr="00592A3B">
        <w:trPr>
          <w:trHeight w:val="300"/>
        </w:trPr>
        <w:tc>
          <w:tcPr>
            <w:tcW w:w="2376" w:type="dxa"/>
            <w:noWrap/>
            <w:vAlign w:val="center"/>
            <w:hideMark/>
          </w:tcPr>
          <w:p w:rsidR="00592A3B" w:rsidRPr="00BC0897" w:rsidRDefault="00592A3B"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Hypercalciuria</w:t>
            </w:r>
          </w:p>
        </w:tc>
        <w:tc>
          <w:tcPr>
            <w:tcW w:w="1060"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7/10</w:t>
            </w:r>
          </w:p>
        </w:tc>
        <w:tc>
          <w:tcPr>
            <w:tcW w:w="12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11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3/3</w:t>
            </w:r>
          </w:p>
        </w:tc>
        <w:tc>
          <w:tcPr>
            <w:tcW w:w="1134"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2/2</w:t>
            </w:r>
          </w:p>
        </w:tc>
        <w:tc>
          <w:tcPr>
            <w:tcW w:w="993"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005"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c>
          <w:tcPr>
            <w:tcW w:w="1118"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12/18</w:t>
            </w:r>
          </w:p>
        </w:tc>
        <w:tc>
          <w:tcPr>
            <w:tcW w:w="989"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12/13</w:t>
            </w:r>
          </w:p>
        </w:tc>
        <w:tc>
          <w:tcPr>
            <w:tcW w:w="96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3/3</w:t>
            </w:r>
          </w:p>
        </w:tc>
        <w:tc>
          <w:tcPr>
            <w:tcW w:w="992" w:type="dxa"/>
            <w:vAlign w:val="center"/>
          </w:tcPr>
          <w:p w:rsidR="00592A3B" w:rsidRPr="00BC0897" w:rsidRDefault="00592A3B" w:rsidP="001D6376">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7/7</w:t>
            </w:r>
          </w:p>
        </w:tc>
        <w:tc>
          <w:tcPr>
            <w:tcW w:w="1273" w:type="dxa"/>
            <w:vAlign w:val="center"/>
          </w:tcPr>
          <w:p w:rsidR="00592A3B" w:rsidRPr="00BC0897" w:rsidRDefault="00592A3B" w:rsidP="007F0FC3">
            <w:pPr>
              <w:spacing w:after="0"/>
              <w:jc w:val="center"/>
              <w:rPr>
                <w:rFonts w:ascii="Times New Roman" w:hAnsi="Times New Roman" w:cs="Times New Roman"/>
                <w:sz w:val="20"/>
                <w:lang w:val="en-US"/>
              </w:rPr>
            </w:pPr>
            <w:r w:rsidRPr="00BC0897">
              <w:rPr>
                <w:rFonts w:ascii="Times New Roman" w:hAnsi="Times New Roman" w:cs="Times New Roman"/>
                <w:sz w:val="20"/>
                <w:lang w:val="en-US"/>
              </w:rPr>
              <w:t>7/10</w:t>
            </w:r>
          </w:p>
        </w:tc>
      </w:tr>
      <w:tr w:rsidR="00592A3B" w:rsidRPr="002212C2" w:rsidTr="00592A3B">
        <w:trPr>
          <w:trHeight w:val="300"/>
        </w:trPr>
        <w:tc>
          <w:tcPr>
            <w:tcW w:w="2376" w:type="dxa"/>
            <w:noWrap/>
            <w:vAlign w:val="center"/>
            <w:hideMark/>
          </w:tcPr>
          <w:p w:rsidR="00592A3B" w:rsidRPr="00BC0897" w:rsidRDefault="00592A3B"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Hematuria</w:t>
            </w:r>
          </w:p>
        </w:tc>
        <w:tc>
          <w:tcPr>
            <w:tcW w:w="1060"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2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c>
          <w:tcPr>
            <w:tcW w:w="11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34"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3"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4/4</w:t>
            </w:r>
          </w:p>
        </w:tc>
        <w:tc>
          <w:tcPr>
            <w:tcW w:w="1005"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c>
          <w:tcPr>
            <w:tcW w:w="1118"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89"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6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2" w:type="dxa"/>
            <w:vAlign w:val="center"/>
          </w:tcPr>
          <w:p w:rsidR="00592A3B" w:rsidRPr="00BC0897" w:rsidRDefault="00592A3B" w:rsidP="001D6376">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3/7</w:t>
            </w:r>
          </w:p>
        </w:tc>
        <w:tc>
          <w:tcPr>
            <w:tcW w:w="1273" w:type="dxa"/>
            <w:vAlign w:val="center"/>
          </w:tcPr>
          <w:p w:rsidR="00592A3B" w:rsidRPr="00BC0897" w:rsidRDefault="00592A3B" w:rsidP="007F0FC3">
            <w:pPr>
              <w:spacing w:after="0"/>
              <w:jc w:val="center"/>
              <w:rPr>
                <w:rFonts w:ascii="Times New Roman" w:hAnsi="Times New Roman" w:cs="Times New Roman"/>
                <w:sz w:val="20"/>
                <w:lang w:val="en-US"/>
              </w:rPr>
            </w:pPr>
          </w:p>
        </w:tc>
      </w:tr>
      <w:tr w:rsidR="00592A3B" w:rsidRPr="002212C2" w:rsidTr="00592A3B">
        <w:trPr>
          <w:trHeight w:val="300"/>
        </w:trPr>
        <w:tc>
          <w:tcPr>
            <w:tcW w:w="2376" w:type="dxa"/>
            <w:noWrap/>
            <w:vAlign w:val="center"/>
            <w:hideMark/>
          </w:tcPr>
          <w:p w:rsidR="00592A3B" w:rsidRPr="00BC0897" w:rsidRDefault="00592A3B"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Failure to thrive</w:t>
            </w:r>
          </w:p>
        </w:tc>
        <w:tc>
          <w:tcPr>
            <w:tcW w:w="1060"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2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11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4/6</w:t>
            </w:r>
          </w:p>
        </w:tc>
        <w:tc>
          <w:tcPr>
            <w:tcW w:w="1134"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3"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4/4</w:t>
            </w:r>
          </w:p>
        </w:tc>
        <w:tc>
          <w:tcPr>
            <w:tcW w:w="1005"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1118"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9/18</w:t>
            </w:r>
          </w:p>
        </w:tc>
        <w:tc>
          <w:tcPr>
            <w:tcW w:w="989"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6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2" w:type="dxa"/>
            <w:vAlign w:val="center"/>
          </w:tcPr>
          <w:p w:rsidR="00592A3B" w:rsidRPr="00BC0897" w:rsidRDefault="00592A3B" w:rsidP="001D6376">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5/7</w:t>
            </w:r>
          </w:p>
        </w:tc>
        <w:tc>
          <w:tcPr>
            <w:tcW w:w="1273" w:type="dxa"/>
            <w:vAlign w:val="center"/>
          </w:tcPr>
          <w:p w:rsidR="00592A3B" w:rsidRPr="00BC0897" w:rsidRDefault="00592A3B" w:rsidP="007F0FC3">
            <w:pPr>
              <w:spacing w:after="0"/>
              <w:jc w:val="center"/>
              <w:rPr>
                <w:rFonts w:ascii="Times New Roman" w:hAnsi="Times New Roman" w:cs="Times New Roman"/>
                <w:sz w:val="20"/>
                <w:lang w:val="en-US"/>
              </w:rPr>
            </w:pPr>
          </w:p>
        </w:tc>
      </w:tr>
      <w:tr w:rsidR="00592A3B" w:rsidRPr="002212C2" w:rsidTr="00592A3B">
        <w:trPr>
          <w:trHeight w:val="300"/>
        </w:trPr>
        <w:tc>
          <w:tcPr>
            <w:tcW w:w="2376" w:type="dxa"/>
            <w:noWrap/>
            <w:vAlign w:val="center"/>
            <w:hideMark/>
          </w:tcPr>
          <w:p w:rsidR="00592A3B" w:rsidRPr="00BC0897" w:rsidRDefault="00592A3B" w:rsidP="00C228AD">
            <w:pPr>
              <w:spacing w:after="0"/>
              <w:rPr>
                <w:rFonts w:ascii="Times New Roman" w:hAnsi="Times New Roman" w:cs="Times New Roman"/>
                <w:b/>
                <w:sz w:val="20"/>
                <w:szCs w:val="20"/>
                <w:lang w:val="en-US"/>
              </w:rPr>
            </w:pPr>
            <w:proofErr w:type="spellStart"/>
            <w:r w:rsidRPr="00BC0897">
              <w:rPr>
                <w:rFonts w:ascii="Times New Roman" w:hAnsi="Times New Roman" w:cs="Times New Roman"/>
                <w:b/>
                <w:sz w:val="20"/>
                <w:szCs w:val="20"/>
                <w:lang w:val="en-US"/>
              </w:rPr>
              <w:t>Fanconi</w:t>
            </w:r>
            <w:proofErr w:type="spellEnd"/>
            <w:r w:rsidRPr="00BC0897">
              <w:rPr>
                <w:rFonts w:ascii="Times New Roman" w:hAnsi="Times New Roman" w:cs="Times New Roman"/>
                <w:b/>
                <w:sz w:val="20"/>
                <w:szCs w:val="20"/>
                <w:lang w:val="en-US"/>
              </w:rPr>
              <w:t xml:space="preserve"> incomplete</w:t>
            </w:r>
          </w:p>
        </w:tc>
        <w:tc>
          <w:tcPr>
            <w:tcW w:w="1060"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2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5/9</w:t>
            </w:r>
          </w:p>
        </w:tc>
        <w:tc>
          <w:tcPr>
            <w:tcW w:w="1134"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3"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005"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18"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89"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6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2" w:type="dxa"/>
            <w:vAlign w:val="center"/>
          </w:tcPr>
          <w:p w:rsidR="00592A3B" w:rsidRPr="00BC0897" w:rsidRDefault="00592A3B" w:rsidP="001D6376">
            <w:pPr>
              <w:spacing w:after="0"/>
              <w:jc w:val="center"/>
              <w:rPr>
                <w:rFonts w:ascii="Times New Roman" w:hAnsi="Times New Roman" w:cs="Times New Roman"/>
                <w:sz w:val="20"/>
                <w:szCs w:val="20"/>
                <w:lang w:val="en-US"/>
              </w:rPr>
            </w:pPr>
          </w:p>
        </w:tc>
        <w:tc>
          <w:tcPr>
            <w:tcW w:w="1273" w:type="dxa"/>
            <w:vAlign w:val="center"/>
          </w:tcPr>
          <w:p w:rsidR="00592A3B" w:rsidRPr="00BC0897" w:rsidRDefault="00592A3B" w:rsidP="007F0FC3">
            <w:pPr>
              <w:spacing w:after="0"/>
              <w:jc w:val="center"/>
              <w:rPr>
                <w:rFonts w:ascii="Times New Roman" w:hAnsi="Times New Roman" w:cs="Times New Roman"/>
                <w:sz w:val="20"/>
                <w:lang w:val="en-US"/>
              </w:rPr>
            </w:pPr>
          </w:p>
        </w:tc>
      </w:tr>
      <w:tr w:rsidR="00592A3B" w:rsidRPr="002212C2" w:rsidTr="00592A3B">
        <w:trPr>
          <w:trHeight w:val="300"/>
        </w:trPr>
        <w:tc>
          <w:tcPr>
            <w:tcW w:w="2376" w:type="dxa"/>
            <w:noWrap/>
            <w:vAlign w:val="center"/>
            <w:hideMark/>
          </w:tcPr>
          <w:p w:rsidR="00592A3B" w:rsidRPr="00BC0897" w:rsidRDefault="00592A3B"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Renal failure</w:t>
            </w:r>
          </w:p>
        </w:tc>
        <w:tc>
          <w:tcPr>
            <w:tcW w:w="1060"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0/10</w:t>
            </w:r>
          </w:p>
        </w:tc>
        <w:tc>
          <w:tcPr>
            <w:tcW w:w="12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11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34"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2/2</w:t>
            </w:r>
          </w:p>
        </w:tc>
        <w:tc>
          <w:tcPr>
            <w:tcW w:w="993"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005"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1118"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18/18</w:t>
            </w:r>
          </w:p>
        </w:tc>
        <w:tc>
          <w:tcPr>
            <w:tcW w:w="989"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6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2" w:type="dxa"/>
            <w:vAlign w:val="center"/>
          </w:tcPr>
          <w:p w:rsidR="00592A3B" w:rsidRPr="00BC0897" w:rsidRDefault="00592A3B" w:rsidP="001D6376">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2/7</w:t>
            </w:r>
          </w:p>
        </w:tc>
        <w:tc>
          <w:tcPr>
            <w:tcW w:w="1273" w:type="dxa"/>
            <w:vAlign w:val="center"/>
          </w:tcPr>
          <w:p w:rsidR="00592A3B" w:rsidRPr="00BC0897" w:rsidRDefault="00592A3B" w:rsidP="007F0FC3">
            <w:pPr>
              <w:spacing w:after="0"/>
              <w:jc w:val="center"/>
              <w:rPr>
                <w:rFonts w:ascii="Times New Roman" w:hAnsi="Times New Roman" w:cs="Times New Roman"/>
                <w:sz w:val="20"/>
                <w:lang w:val="en-US"/>
              </w:rPr>
            </w:pPr>
            <w:r w:rsidRPr="00BC0897">
              <w:rPr>
                <w:rFonts w:ascii="Times New Roman" w:hAnsi="Times New Roman" w:cs="Times New Roman"/>
                <w:sz w:val="20"/>
                <w:lang w:val="en-US"/>
              </w:rPr>
              <w:t>7/12</w:t>
            </w:r>
          </w:p>
        </w:tc>
      </w:tr>
      <w:tr w:rsidR="00592A3B" w:rsidRPr="002212C2" w:rsidTr="00592A3B">
        <w:trPr>
          <w:trHeight w:val="300"/>
        </w:trPr>
        <w:tc>
          <w:tcPr>
            <w:tcW w:w="2376" w:type="dxa"/>
            <w:noWrap/>
            <w:vAlign w:val="center"/>
            <w:hideMark/>
          </w:tcPr>
          <w:p w:rsidR="00592A3B" w:rsidRPr="00BC0897" w:rsidRDefault="00592A3B"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Aminoaciduria</w:t>
            </w:r>
          </w:p>
        </w:tc>
        <w:tc>
          <w:tcPr>
            <w:tcW w:w="1060"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2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11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4/5</w:t>
            </w:r>
          </w:p>
        </w:tc>
        <w:tc>
          <w:tcPr>
            <w:tcW w:w="1134"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3"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0/4</w:t>
            </w:r>
          </w:p>
        </w:tc>
        <w:tc>
          <w:tcPr>
            <w:tcW w:w="1005"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18"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4/18</w:t>
            </w:r>
          </w:p>
        </w:tc>
        <w:tc>
          <w:tcPr>
            <w:tcW w:w="989"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6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2" w:type="dxa"/>
            <w:vAlign w:val="center"/>
          </w:tcPr>
          <w:p w:rsidR="00592A3B" w:rsidRPr="00BC0897" w:rsidRDefault="00592A3B" w:rsidP="001D6376">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3/3</w:t>
            </w:r>
          </w:p>
        </w:tc>
        <w:tc>
          <w:tcPr>
            <w:tcW w:w="1273" w:type="dxa"/>
            <w:vAlign w:val="center"/>
          </w:tcPr>
          <w:p w:rsidR="00592A3B" w:rsidRPr="00BC0897" w:rsidRDefault="00592A3B" w:rsidP="007F0FC3">
            <w:pPr>
              <w:spacing w:after="0"/>
              <w:jc w:val="center"/>
              <w:rPr>
                <w:rFonts w:ascii="Times New Roman" w:hAnsi="Times New Roman" w:cs="Times New Roman"/>
                <w:sz w:val="20"/>
                <w:lang w:val="en-US"/>
              </w:rPr>
            </w:pPr>
          </w:p>
        </w:tc>
      </w:tr>
      <w:tr w:rsidR="00592A3B" w:rsidRPr="002212C2" w:rsidTr="00592A3B">
        <w:trPr>
          <w:trHeight w:val="300"/>
        </w:trPr>
        <w:tc>
          <w:tcPr>
            <w:tcW w:w="2376" w:type="dxa"/>
            <w:noWrap/>
            <w:vAlign w:val="center"/>
            <w:hideMark/>
          </w:tcPr>
          <w:p w:rsidR="00592A3B" w:rsidRPr="00BC0897" w:rsidRDefault="00592A3B"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Nephrocalcinosis</w:t>
            </w:r>
          </w:p>
        </w:tc>
        <w:tc>
          <w:tcPr>
            <w:tcW w:w="1060"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1/10</w:t>
            </w:r>
          </w:p>
        </w:tc>
        <w:tc>
          <w:tcPr>
            <w:tcW w:w="12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11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1/9</w:t>
            </w:r>
          </w:p>
        </w:tc>
        <w:tc>
          <w:tcPr>
            <w:tcW w:w="1134"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3"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0/4</w:t>
            </w:r>
          </w:p>
        </w:tc>
        <w:tc>
          <w:tcPr>
            <w:tcW w:w="1005"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1118"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9/18</w:t>
            </w:r>
          </w:p>
        </w:tc>
        <w:tc>
          <w:tcPr>
            <w:tcW w:w="989"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2/13</w:t>
            </w:r>
          </w:p>
        </w:tc>
        <w:tc>
          <w:tcPr>
            <w:tcW w:w="96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2" w:type="dxa"/>
            <w:vAlign w:val="center"/>
          </w:tcPr>
          <w:p w:rsidR="00592A3B" w:rsidRPr="00BC0897" w:rsidRDefault="00592A3B" w:rsidP="001D6376">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1/5</w:t>
            </w:r>
          </w:p>
        </w:tc>
        <w:tc>
          <w:tcPr>
            <w:tcW w:w="1273" w:type="dxa"/>
            <w:vAlign w:val="center"/>
          </w:tcPr>
          <w:p w:rsidR="00592A3B" w:rsidRPr="00BC0897" w:rsidRDefault="00592A3B" w:rsidP="007F0FC3">
            <w:pPr>
              <w:spacing w:after="0"/>
              <w:jc w:val="center"/>
              <w:rPr>
                <w:rFonts w:ascii="Times New Roman" w:hAnsi="Times New Roman" w:cs="Times New Roman"/>
                <w:sz w:val="20"/>
                <w:lang w:val="en-US"/>
              </w:rPr>
            </w:pPr>
            <w:r w:rsidRPr="00BC0897">
              <w:rPr>
                <w:rFonts w:ascii="Times New Roman" w:hAnsi="Times New Roman" w:cs="Times New Roman"/>
                <w:sz w:val="20"/>
                <w:lang w:val="en-US"/>
              </w:rPr>
              <w:t>0/12</w:t>
            </w:r>
          </w:p>
        </w:tc>
      </w:tr>
      <w:tr w:rsidR="00592A3B" w:rsidRPr="002212C2" w:rsidTr="00592A3B">
        <w:trPr>
          <w:trHeight w:val="300"/>
        </w:trPr>
        <w:tc>
          <w:tcPr>
            <w:tcW w:w="2376" w:type="dxa"/>
            <w:noWrap/>
            <w:vAlign w:val="center"/>
            <w:hideMark/>
          </w:tcPr>
          <w:p w:rsidR="00592A3B" w:rsidRPr="00BC0897" w:rsidRDefault="00592A3B" w:rsidP="00C228AD">
            <w:pPr>
              <w:spacing w:after="0"/>
              <w:rPr>
                <w:rFonts w:ascii="Times New Roman" w:hAnsi="Times New Roman" w:cs="Times New Roman"/>
                <w:b/>
                <w:sz w:val="20"/>
                <w:szCs w:val="20"/>
                <w:lang w:val="en-US"/>
              </w:rPr>
            </w:pPr>
            <w:proofErr w:type="spellStart"/>
            <w:r w:rsidRPr="00BC0897">
              <w:rPr>
                <w:rFonts w:ascii="Times New Roman" w:hAnsi="Times New Roman" w:cs="Times New Roman"/>
                <w:b/>
                <w:sz w:val="20"/>
                <w:szCs w:val="20"/>
                <w:lang w:val="en-US"/>
              </w:rPr>
              <w:t>Hypochloremia</w:t>
            </w:r>
            <w:proofErr w:type="spellEnd"/>
          </w:p>
        </w:tc>
        <w:tc>
          <w:tcPr>
            <w:tcW w:w="1060"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2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34"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3"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1/4</w:t>
            </w:r>
          </w:p>
        </w:tc>
        <w:tc>
          <w:tcPr>
            <w:tcW w:w="1005"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18"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89"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6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2" w:type="dxa"/>
            <w:vAlign w:val="center"/>
          </w:tcPr>
          <w:p w:rsidR="00592A3B" w:rsidRPr="00BC0897" w:rsidRDefault="00592A3B" w:rsidP="001D6376">
            <w:pPr>
              <w:spacing w:after="0"/>
              <w:jc w:val="center"/>
              <w:rPr>
                <w:rFonts w:ascii="Times New Roman" w:hAnsi="Times New Roman" w:cs="Times New Roman"/>
                <w:sz w:val="20"/>
                <w:szCs w:val="20"/>
                <w:lang w:val="en-US"/>
              </w:rPr>
            </w:pPr>
          </w:p>
        </w:tc>
        <w:tc>
          <w:tcPr>
            <w:tcW w:w="1273" w:type="dxa"/>
            <w:vAlign w:val="center"/>
          </w:tcPr>
          <w:p w:rsidR="00592A3B" w:rsidRPr="00BC0897" w:rsidRDefault="00592A3B" w:rsidP="007F0FC3">
            <w:pPr>
              <w:spacing w:after="0"/>
              <w:jc w:val="center"/>
              <w:rPr>
                <w:rFonts w:ascii="Times New Roman" w:hAnsi="Times New Roman" w:cs="Times New Roman"/>
                <w:sz w:val="20"/>
                <w:lang w:val="en-US"/>
              </w:rPr>
            </w:pPr>
          </w:p>
        </w:tc>
      </w:tr>
      <w:tr w:rsidR="00592A3B" w:rsidRPr="002212C2" w:rsidTr="00592A3B">
        <w:trPr>
          <w:trHeight w:val="300"/>
        </w:trPr>
        <w:tc>
          <w:tcPr>
            <w:tcW w:w="2376" w:type="dxa"/>
            <w:noWrap/>
            <w:vAlign w:val="center"/>
            <w:hideMark/>
          </w:tcPr>
          <w:p w:rsidR="00592A3B" w:rsidRPr="00BC0897" w:rsidRDefault="00592A3B"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Hyperphosphaturia</w:t>
            </w:r>
          </w:p>
        </w:tc>
        <w:tc>
          <w:tcPr>
            <w:tcW w:w="1060"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2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34"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3"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005"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18"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1/18</w:t>
            </w:r>
          </w:p>
        </w:tc>
        <w:tc>
          <w:tcPr>
            <w:tcW w:w="989"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6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2" w:type="dxa"/>
            <w:vAlign w:val="center"/>
          </w:tcPr>
          <w:p w:rsidR="00592A3B" w:rsidRPr="00BC0897" w:rsidRDefault="00592A3B" w:rsidP="001D6376">
            <w:pPr>
              <w:spacing w:after="0"/>
              <w:jc w:val="center"/>
              <w:rPr>
                <w:rFonts w:ascii="Times New Roman" w:hAnsi="Times New Roman" w:cs="Times New Roman"/>
                <w:sz w:val="20"/>
                <w:szCs w:val="20"/>
                <w:lang w:val="en-US"/>
              </w:rPr>
            </w:pPr>
          </w:p>
        </w:tc>
        <w:tc>
          <w:tcPr>
            <w:tcW w:w="1273" w:type="dxa"/>
            <w:vAlign w:val="center"/>
          </w:tcPr>
          <w:p w:rsidR="00592A3B" w:rsidRPr="00BC0897" w:rsidRDefault="00592A3B" w:rsidP="007F0FC3">
            <w:pPr>
              <w:spacing w:after="0"/>
              <w:jc w:val="center"/>
              <w:rPr>
                <w:rFonts w:ascii="Times New Roman" w:hAnsi="Times New Roman" w:cs="Times New Roman"/>
                <w:sz w:val="20"/>
                <w:lang w:val="en-US"/>
              </w:rPr>
            </w:pPr>
          </w:p>
        </w:tc>
      </w:tr>
      <w:tr w:rsidR="00592A3B" w:rsidRPr="002212C2" w:rsidTr="00592A3B">
        <w:trPr>
          <w:trHeight w:val="300"/>
        </w:trPr>
        <w:tc>
          <w:tcPr>
            <w:tcW w:w="2376" w:type="dxa"/>
            <w:noWrap/>
            <w:vAlign w:val="center"/>
            <w:hideMark/>
          </w:tcPr>
          <w:p w:rsidR="00592A3B" w:rsidRPr="00BC0897" w:rsidRDefault="00345414"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Nephrolithiasis</w:t>
            </w:r>
          </w:p>
        </w:tc>
        <w:tc>
          <w:tcPr>
            <w:tcW w:w="1060"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2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11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1/6</w:t>
            </w:r>
          </w:p>
        </w:tc>
        <w:tc>
          <w:tcPr>
            <w:tcW w:w="1134"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0/2</w:t>
            </w:r>
          </w:p>
        </w:tc>
        <w:tc>
          <w:tcPr>
            <w:tcW w:w="993"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0/4</w:t>
            </w:r>
          </w:p>
        </w:tc>
        <w:tc>
          <w:tcPr>
            <w:tcW w:w="1005"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1118"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6/18</w:t>
            </w:r>
          </w:p>
        </w:tc>
        <w:tc>
          <w:tcPr>
            <w:tcW w:w="989"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2/13</w:t>
            </w:r>
          </w:p>
        </w:tc>
        <w:tc>
          <w:tcPr>
            <w:tcW w:w="96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2" w:type="dxa"/>
            <w:vAlign w:val="center"/>
          </w:tcPr>
          <w:p w:rsidR="00592A3B" w:rsidRPr="00BC0897" w:rsidRDefault="00592A3B" w:rsidP="001D6376">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0/5</w:t>
            </w:r>
          </w:p>
        </w:tc>
        <w:tc>
          <w:tcPr>
            <w:tcW w:w="1273" w:type="dxa"/>
            <w:vAlign w:val="center"/>
          </w:tcPr>
          <w:p w:rsidR="00592A3B" w:rsidRPr="00BC0897" w:rsidRDefault="00592A3B" w:rsidP="007F0FC3">
            <w:pPr>
              <w:spacing w:after="0"/>
              <w:jc w:val="center"/>
              <w:rPr>
                <w:rFonts w:ascii="Times New Roman" w:hAnsi="Times New Roman" w:cs="Times New Roman"/>
                <w:sz w:val="20"/>
                <w:lang w:val="en-US"/>
              </w:rPr>
            </w:pPr>
          </w:p>
        </w:tc>
      </w:tr>
      <w:tr w:rsidR="00592A3B" w:rsidRPr="002212C2" w:rsidTr="00592A3B">
        <w:trPr>
          <w:trHeight w:val="300"/>
        </w:trPr>
        <w:tc>
          <w:tcPr>
            <w:tcW w:w="2376" w:type="dxa"/>
            <w:noWrap/>
            <w:vAlign w:val="center"/>
            <w:hideMark/>
          </w:tcPr>
          <w:p w:rsidR="00592A3B" w:rsidRPr="00BC0897" w:rsidRDefault="00592A3B"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Metabolic acidosis</w:t>
            </w:r>
          </w:p>
        </w:tc>
        <w:tc>
          <w:tcPr>
            <w:tcW w:w="1060"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2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11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2/8</w:t>
            </w:r>
          </w:p>
        </w:tc>
        <w:tc>
          <w:tcPr>
            <w:tcW w:w="1134"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3"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0/4</w:t>
            </w:r>
          </w:p>
        </w:tc>
        <w:tc>
          <w:tcPr>
            <w:tcW w:w="1005"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18"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3/18</w:t>
            </w:r>
          </w:p>
        </w:tc>
        <w:tc>
          <w:tcPr>
            <w:tcW w:w="989"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6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2" w:type="dxa"/>
            <w:vAlign w:val="center"/>
          </w:tcPr>
          <w:p w:rsidR="00592A3B" w:rsidRPr="00BC0897" w:rsidRDefault="00592A3B" w:rsidP="001D6376">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0/7</w:t>
            </w:r>
          </w:p>
        </w:tc>
        <w:tc>
          <w:tcPr>
            <w:tcW w:w="1273" w:type="dxa"/>
            <w:vAlign w:val="center"/>
          </w:tcPr>
          <w:p w:rsidR="00592A3B" w:rsidRPr="00BC0897" w:rsidRDefault="00592A3B" w:rsidP="007F0FC3">
            <w:pPr>
              <w:spacing w:after="0"/>
              <w:jc w:val="center"/>
              <w:rPr>
                <w:rFonts w:ascii="Times New Roman" w:hAnsi="Times New Roman" w:cs="Times New Roman"/>
                <w:sz w:val="20"/>
                <w:lang w:val="en-US"/>
              </w:rPr>
            </w:pPr>
            <w:r w:rsidRPr="00BC0897">
              <w:rPr>
                <w:rFonts w:ascii="Times New Roman" w:hAnsi="Times New Roman" w:cs="Times New Roman"/>
                <w:sz w:val="20"/>
                <w:lang w:val="en-US"/>
              </w:rPr>
              <w:t>0/13</w:t>
            </w:r>
          </w:p>
        </w:tc>
      </w:tr>
      <w:tr w:rsidR="00592A3B" w:rsidRPr="002212C2" w:rsidTr="00592A3B">
        <w:trPr>
          <w:trHeight w:val="300"/>
        </w:trPr>
        <w:tc>
          <w:tcPr>
            <w:tcW w:w="2376" w:type="dxa"/>
            <w:noWrap/>
            <w:vAlign w:val="center"/>
            <w:hideMark/>
          </w:tcPr>
          <w:p w:rsidR="00592A3B" w:rsidRPr="00BC0897" w:rsidRDefault="00592A3B"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Bone disorders</w:t>
            </w:r>
          </w:p>
        </w:tc>
        <w:tc>
          <w:tcPr>
            <w:tcW w:w="1060"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1/11</w:t>
            </w:r>
          </w:p>
        </w:tc>
        <w:tc>
          <w:tcPr>
            <w:tcW w:w="12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1/7</w:t>
            </w:r>
          </w:p>
        </w:tc>
        <w:tc>
          <w:tcPr>
            <w:tcW w:w="1134"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3"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0/4</w:t>
            </w:r>
          </w:p>
        </w:tc>
        <w:tc>
          <w:tcPr>
            <w:tcW w:w="1005"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1118"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89"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2/13</w:t>
            </w:r>
          </w:p>
        </w:tc>
        <w:tc>
          <w:tcPr>
            <w:tcW w:w="96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2" w:type="dxa"/>
            <w:vAlign w:val="center"/>
          </w:tcPr>
          <w:p w:rsidR="00592A3B" w:rsidRPr="00BC0897" w:rsidRDefault="00592A3B" w:rsidP="001D6376">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0/7</w:t>
            </w:r>
          </w:p>
        </w:tc>
        <w:tc>
          <w:tcPr>
            <w:tcW w:w="1273" w:type="dxa"/>
            <w:vAlign w:val="center"/>
          </w:tcPr>
          <w:p w:rsidR="00592A3B" w:rsidRPr="00BC0897" w:rsidRDefault="00592A3B" w:rsidP="007F0FC3">
            <w:pPr>
              <w:spacing w:after="0"/>
              <w:jc w:val="center"/>
              <w:rPr>
                <w:rFonts w:ascii="Times New Roman" w:hAnsi="Times New Roman" w:cs="Times New Roman"/>
                <w:sz w:val="20"/>
                <w:lang w:val="en-US"/>
              </w:rPr>
            </w:pPr>
          </w:p>
        </w:tc>
      </w:tr>
      <w:tr w:rsidR="00592A3B" w:rsidRPr="002212C2" w:rsidTr="00592A3B">
        <w:trPr>
          <w:trHeight w:val="300"/>
        </w:trPr>
        <w:tc>
          <w:tcPr>
            <w:tcW w:w="2376" w:type="dxa"/>
            <w:noWrap/>
            <w:vAlign w:val="center"/>
            <w:hideMark/>
          </w:tcPr>
          <w:p w:rsidR="00592A3B" w:rsidRPr="00BC0897" w:rsidRDefault="00592A3B"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Glycosuria</w:t>
            </w:r>
          </w:p>
        </w:tc>
        <w:tc>
          <w:tcPr>
            <w:tcW w:w="1060"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2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11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0/6</w:t>
            </w:r>
          </w:p>
        </w:tc>
        <w:tc>
          <w:tcPr>
            <w:tcW w:w="1134"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3"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0/4</w:t>
            </w:r>
          </w:p>
        </w:tc>
        <w:tc>
          <w:tcPr>
            <w:tcW w:w="1005"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18"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4/18</w:t>
            </w:r>
          </w:p>
        </w:tc>
        <w:tc>
          <w:tcPr>
            <w:tcW w:w="989"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6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2" w:type="dxa"/>
            <w:vAlign w:val="center"/>
          </w:tcPr>
          <w:p w:rsidR="00592A3B" w:rsidRPr="00BC0897" w:rsidRDefault="00592A3B" w:rsidP="001D6376">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0/7</w:t>
            </w:r>
          </w:p>
        </w:tc>
        <w:tc>
          <w:tcPr>
            <w:tcW w:w="1273" w:type="dxa"/>
            <w:vAlign w:val="center"/>
          </w:tcPr>
          <w:p w:rsidR="00592A3B" w:rsidRPr="00BC0897" w:rsidRDefault="00592A3B" w:rsidP="007F0FC3">
            <w:pPr>
              <w:spacing w:after="0"/>
              <w:jc w:val="center"/>
              <w:rPr>
                <w:rFonts w:ascii="Times New Roman" w:hAnsi="Times New Roman" w:cs="Times New Roman"/>
                <w:sz w:val="20"/>
                <w:lang w:val="en-US"/>
              </w:rPr>
            </w:pPr>
            <w:r w:rsidRPr="00BC0897">
              <w:rPr>
                <w:rFonts w:ascii="Times New Roman" w:hAnsi="Times New Roman" w:cs="Times New Roman"/>
                <w:sz w:val="20"/>
                <w:lang w:val="en-US"/>
              </w:rPr>
              <w:t>0/13</w:t>
            </w:r>
          </w:p>
        </w:tc>
      </w:tr>
      <w:tr w:rsidR="00592A3B" w:rsidRPr="002212C2" w:rsidTr="00592A3B">
        <w:trPr>
          <w:trHeight w:val="300"/>
        </w:trPr>
        <w:tc>
          <w:tcPr>
            <w:tcW w:w="2376" w:type="dxa"/>
            <w:noWrap/>
            <w:vAlign w:val="center"/>
            <w:hideMark/>
          </w:tcPr>
          <w:p w:rsidR="00592A3B" w:rsidRPr="00BC0897" w:rsidRDefault="00592A3B"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 xml:space="preserve">Metabolic </w:t>
            </w:r>
            <w:r w:rsidR="00345414" w:rsidRPr="00BC0897">
              <w:rPr>
                <w:rFonts w:ascii="Times New Roman" w:hAnsi="Times New Roman" w:cs="Times New Roman"/>
                <w:b/>
                <w:sz w:val="20"/>
                <w:szCs w:val="20"/>
                <w:lang w:val="en-US"/>
              </w:rPr>
              <w:t>alkalosis</w:t>
            </w:r>
          </w:p>
        </w:tc>
        <w:tc>
          <w:tcPr>
            <w:tcW w:w="1060"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2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34"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3"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1/4</w:t>
            </w:r>
          </w:p>
        </w:tc>
        <w:tc>
          <w:tcPr>
            <w:tcW w:w="1005"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18"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89"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6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2" w:type="dxa"/>
            <w:vAlign w:val="center"/>
          </w:tcPr>
          <w:p w:rsidR="00592A3B" w:rsidRPr="00BC0897" w:rsidRDefault="00592A3B" w:rsidP="001D6376">
            <w:pPr>
              <w:spacing w:after="0"/>
              <w:jc w:val="center"/>
              <w:rPr>
                <w:rFonts w:ascii="Times New Roman" w:hAnsi="Times New Roman" w:cs="Times New Roman"/>
                <w:sz w:val="20"/>
                <w:szCs w:val="20"/>
                <w:lang w:val="en-US"/>
              </w:rPr>
            </w:pPr>
          </w:p>
        </w:tc>
        <w:tc>
          <w:tcPr>
            <w:tcW w:w="1273" w:type="dxa"/>
            <w:vAlign w:val="center"/>
          </w:tcPr>
          <w:p w:rsidR="00592A3B" w:rsidRPr="00BC0897" w:rsidRDefault="00592A3B" w:rsidP="007F0FC3">
            <w:pPr>
              <w:spacing w:after="0"/>
              <w:jc w:val="center"/>
              <w:rPr>
                <w:rFonts w:ascii="Times New Roman" w:hAnsi="Times New Roman" w:cs="Times New Roman"/>
                <w:sz w:val="20"/>
                <w:lang w:val="en-US"/>
              </w:rPr>
            </w:pPr>
          </w:p>
        </w:tc>
      </w:tr>
      <w:tr w:rsidR="00592A3B" w:rsidRPr="002212C2" w:rsidTr="00592A3B">
        <w:trPr>
          <w:trHeight w:val="300"/>
        </w:trPr>
        <w:tc>
          <w:tcPr>
            <w:tcW w:w="2376" w:type="dxa"/>
            <w:noWrap/>
            <w:vAlign w:val="center"/>
            <w:hideMark/>
          </w:tcPr>
          <w:p w:rsidR="00592A3B" w:rsidRPr="00BC0897" w:rsidRDefault="00592A3B"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Hypokalemia</w:t>
            </w:r>
          </w:p>
        </w:tc>
        <w:tc>
          <w:tcPr>
            <w:tcW w:w="1060"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2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1/4</w:t>
            </w:r>
          </w:p>
        </w:tc>
        <w:tc>
          <w:tcPr>
            <w:tcW w:w="1134"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3"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1/4</w:t>
            </w:r>
          </w:p>
        </w:tc>
        <w:tc>
          <w:tcPr>
            <w:tcW w:w="1005"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18"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1/18</w:t>
            </w:r>
          </w:p>
        </w:tc>
        <w:tc>
          <w:tcPr>
            <w:tcW w:w="989"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6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2" w:type="dxa"/>
            <w:vAlign w:val="center"/>
          </w:tcPr>
          <w:p w:rsidR="00592A3B" w:rsidRPr="00BC0897" w:rsidRDefault="00592A3B" w:rsidP="001D6376">
            <w:pPr>
              <w:spacing w:after="0"/>
              <w:jc w:val="center"/>
              <w:rPr>
                <w:rFonts w:ascii="Times New Roman" w:hAnsi="Times New Roman" w:cs="Times New Roman"/>
                <w:sz w:val="20"/>
                <w:szCs w:val="20"/>
                <w:lang w:val="en-US"/>
              </w:rPr>
            </w:pPr>
          </w:p>
        </w:tc>
        <w:tc>
          <w:tcPr>
            <w:tcW w:w="1273" w:type="dxa"/>
            <w:vAlign w:val="center"/>
          </w:tcPr>
          <w:p w:rsidR="00592A3B" w:rsidRPr="00BC0897" w:rsidRDefault="00592A3B" w:rsidP="007F0FC3">
            <w:pPr>
              <w:spacing w:after="0"/>
              <w:jc w:val="center"/>
              <w:rPr>
                <w:rFonts w:ascii="Times New Roman" w:hAnsi="Times New Roman" w:cs="Times New Roman"/>
                <w:sz w:val="20"/>
                <w:lang w:val="en-US"/>
              </w:rPr>
            </w:pPr>
          </w:p>
        </w:tc>
      </w:tr>
      <w:tr w:rsidR="00592A3B" w:rsidRPr="002212C2" w:rsidTr="00592A3B">
        <w:trPr>
          <w:trHeight w:val="300"/>
        </w:trPr>
        <w:tc>
          <w:tcPr>
            <w:tcW w:w="2376" w:type="dxa"/>
            <w:noWrap/>
            <w:vAlign w:val="center"/>
            <w:hideMark/>
          </w:tcPr>
          <w:p w:rsidR="00592A3B" w:rsidRPr="00BC0897" w:rsidRDefault="00592A3B"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Hypomagnesemia</w:t>
            </w:r>
          </w:p>
        </w:tc>
        <w:tc>
          <w:tcPr>
            <w:tcW w:w="1060"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2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34"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3"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0/4</w:t>
            </w:r>
          </w:p>
        </w:tc>
        <w:tc>
          <w:tcPr>
            <w:tcW w:w="1005"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18"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1/10</w:t>
            </w:r>
          </w:p>
        </w:tc>
        <w:tc>
          <w:tcPr>
            <w:tcW w:w="989"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6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2" w:type="dxa"/>
            <w:vAlign w:val="center"/>
          </w:tcPr>
          <w:p w:rsidR="00592A3B" w:rsidRPr="00BC0897" w:rsidRDefault="00592A3B" w:rsidP="001D6376">
            <w:pPr>
              <w:spacing w:after="0"/>
              <w:jc w:val="center"/>
              <w:rPr>
                <w:rFonts w:ascii="Times New Roman" w:hAnsi="Times New Roman" w:cs="Times New Roman"/>
                <w:sz w:val="20"/>
                <w:szCs w:val="20"/>
                <w:lang w:val="en-US"/>
              </w:rPr>
            </w:pPr>
          </w:p>
        </w:tc>
        <w:tc>
          <w:tcPr>
            <w:tcW w:w="1273" w:type="dxa"/>
            <w:vAlign w:val="center"/>
          </w:tcPr>
          <w:p w:rsidR="00592A3B" w:rsidRPr="00BC0897" w:rsidRDefault="00592A3B" w:rsidP="007F0FC3">
            <w:pPr>
              <w:spacing w:after="0"/>
              <w:jc w:val="center"/>
              <w:rPr>
                <w:rFonts w:ascii="Times New Roman" w:hAnsi="Times New Roman" w:cs="Times New Roman"/>
                <w:sz w:val="20"/>
                <w:lang w:val="en-US"/>
              </w:rPr>
            </w:pPr>
          </w:p>
        </w:tc>
      </w:tr>
      <w:tr w:rsidR="00592A3B" w:rsidRPr="002212C2" w:rsidTr="00592A3B">
        <w:trPr>
          <w:trHeight w:val="300"/>
        </w:trPr>
        <w:tc>
          <w:tcPr>
            <w:tcW w:w="2376" w:type="dxa"/>
            <w:noWrap/>
            <w:vAlign w:val="center"/>
            <w:hideMark/>
          </w:tcPr>
          <w:p w:rsidR="00592A3B" w:rsidRPr="00BC0897" w:rsidRDefault="00592A3B" w:rsidP="00C228AD">
            <w:pPr>
              <w:spacing w:after="0"/>
              <w:rPr>
                <w:rFonts w:ascii="Times New Roman" w:hAnsi="Times New Roman" w:cs="Times New Roman"/>
                <w:b/>
                <w:sz w:val="20"/>
                <w:szCs w:val="20"/>
                <w:lang w:val="en-US"/>
              </w:rPr>
            </w:pPr>
            <w:proofErr w:type="spellStart"/>
            <w:r w:rsidRPr="00BC0897">
              <w:rPr>
                <w:rFonts w:ascii="Times New Roman" w:hAnsi="Times New Roman" w:cs="Times New Roman"/>
                <w:b/>
                <w:sz w:val="20"/>
                <w:szCs w:val="20"/>
                <w:lang w:val="en-US"/>
              </w:rPr>
              <w:t>Fanconi</w:t>
            </w:r>
            <w:proofErr w:type="spellEnd"/>
            <w:r w:rsidRPr="00BC0897">
              <w:rPr>
                <w:rFonts w:ascii="Times New Roman" w:hAnsi="Times New Roman" w:cs="Times New Roman"/>
                <w:b/>
                <w:sz w:val="20"/>
                <w:szCs w:val="20"/>
                <w:lang w:val="en-US"/>
              </w:rPr>
              <w:t xml:space="preserve"> complete</w:t>
            </w:r>
          </w:p>
        </w:tc>
        <w:tc>
          <w:tcPr>
            <w:tcW w:w="1060"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0/11</w:t>
            </w:r>
          </w:p>
        </w:tc>
        <w:tc>
          <w:tcPr>
            <w:tcW w:w="12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1/9</w:t>
            </w:r>
          </w:p>
        </w:tc>
        <w:tc>
          <w:tcPr>
            <w:tcW w:w="1134"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3"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005"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18"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0/18</w:t>
            </w:r>
          </w:p>
        </w:tc>
        <w:tc>
          <w:tcPr>
            <w:tcW w:w="989"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6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2" w:type="dxa"/>
            <w:vAlign w:val="center"/>
          </w:tcPr>
          <w:p w:rsidR="00592A3B" w:rsidRPr="00BC0897" w:rsidRDefault="00592A3B" w:rsidP="001D6376">
            <w:pPr>
              <w:spacing w:after="0"/>
              <w:jc w:val="center"/>
              <w:rPr>
                <w:rFonts w:ascii="Times New Roman" w:hAnsi="Times New Roman" w:cs="Times New Roman"/>
                <w:sz w:val="20"/>
                <w:szCs w:val="20"/>
                <w:lang w:val="en-US"/>
              </w:rPr>
            </w:pPr>
          </w:p>
        </w:tc>
        <w:tc>
          <w:tcPr>
            <w:tcW w:w="1273" w:type="dxa"/>
            <w:vAlign w:val="center"/>
          </w:tcPr>
          <w:p w:rsidR="00592A3B" w:rsidRPr="00BC0897" w:rsidRDefault="00592A3B" w:rsidP="007F0FC3">
            <w:pPr>
              <w:spacing w:after="0"/>
              <w:jc w:val="center"/>
              <w:rPr>
                <w:rFonts w:ascii="Times New Roman" w:hAnsi="Times New Roman" w:cs="Times New Roman"/>
                <w:sz w:val="20"/>
                <w:lang w:val="en-US"/>
              </w:rPr>
            </w:pPr>
          </w:p>
        </w:tc>
      </w:tr>
      <w:tr w:rsidR="00592A3B" w:rsidRPr="002212C2" w:rsidTr="00592A3B">
        <w:trPr>
          <w:trHeight w:val="300"/>
        </w:trPr>
        <w:tc>
          <w:tcPr>
            <w:tcW w:w="2376" w:type="dxa"/>
            <w:noWrap/>
            <w:vAlign w:val="center"/>
            <w:hideMark/>
          </w:tcPr>
          <w:p w:rsidR="00592A3B" w:rsidRPr="00BC0897" w:rsidRDefault="00592A3B"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Hypophosphatemia</w:t>
            </w:r>
          </w:p>
        </w:tc>
        <w:tc>
          <w:tcPr>
            <w:tcW w:w="1060"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2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34"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3"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0/4</w:t>
            </w:r>
          </w:p>
        </w:tc>
        <w:tc>
          <w:tcPr>
            <w:tcW w:w="1005"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18"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0/18</w:t>
            </w:r>
          </w:p>
        </w:tc>
        <w:tc>
          <w:tcPr>
            <w:tcW w:w="989"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6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2" w:type="dxa"/>
            <w:vAlign w:val="center"/>
          </w:tcPr>
          <w:p w:rsidR="00592A3B" w:rsidRPr="00BC0897" w:rsidRDefault="00592A3B" w:rsidP="001D6376">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1/7</w:t>
            </w:r>
          </w:p>
        </w:tc>
        <w:tc>
          <w:tcPr>
            <w:tcW w:w="1273" w:type="dxa"/>
            <w:vAlign w:val="center"/>
          </w:tcPr>
          <w:p w:rsidR="00592A3B" w:rsidRPr="00BC0897" w:rsidRDefault="00592A3B" w:rsidP="007F0FC3">
            <w:pPr>
              <w:spacing w:after="0"/>
              <w:jc w:val="center"/>
              <w:rPr>
                <w:rFonts w:ascii="Times New Roman" w:hAnsi="Times New Roman" w:cs="Times New Roman"/>
                <w:sz w:val="20"/>
                <w:lang w:val="en-US"/>
              </w:rPr>
            </w:pPr>
          </w:p>
        </w:tc>
      </w:tr>
      <w:tr w:rsidR="00592A3B" w:rsidRPr="002212C2" w:rsidTr="00592A3B">
        <w:trPr>
          <w:trHeight w:val="300"/>
        </w:trPr>
        <w:tc>
          <w:tcPr>
            <w:tcW w:w="2376" w:type="dxa"/>
            <w:noWrap/>
            <w:vAlign w:val="center"/>
            <w:hideMark/>
          </w:tcPr>
          <w:p w:rsidR="00592A3B" w:rsidRPr="00BC0897" w:rsidRDefault="00592A3B"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Hyponatremia</w:t>
            </w:r>
          </w:p>
        </w:tc>
        <w:tc>
          <w:tcPr>
            <w:tcW w:w="1060"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2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34"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3"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0/4</w:t>
            </w:r>
          </w:p>
        </w:tc>
        <w:tc>
          <w:tcPr>
            <w:tcW w:w="1005"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18"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89"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6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2" w:type="dxa"/>
            <w:vAlign w:val="center"/>
          </w:tcPr>
          <w:p w:rsidR="00592A3B" w:rsidRPr="00BC0897" w:rsidRDefault="00592A3B" w:rsidP="001D6376">
            <w:pPr>
              <w:spacing w:after="0"/>
              <w:jc w:val="center"/>
              <w:rPr>
                <w:rFonts w:ascii="Times New Roman" w:hAnsi="Times New Roman" w:cs="Times New Roman"/>
                <w:sz w:val="20"/>
                <w:szCs w:val="20"/>
                <w:lang w:val="en-US"/>
              </w:rPr>
            </w:pPr>
          </w:p>
        </w:tc>
        <w:tc>
          <w:tcPr>
            <w:tcW w:w="1273" w:type="dxa"/>
            <w:vAlign w:val="center"/>
          </w:tcPr>
          <w:p w:rsidR="00592A3B" w:rsidRPr="00BC0897" w:rsidRDefault="00592A3B" w:rsidP="007F0FC3">
            <w:pPr>
              <w:spacing w:after="0"/>
              <w:jc w:val="center"/>
              <w:rPr>
                <w:rFonts w:ascii="Times New Roman" w:hAnsi="Times New Roman" w:cs="Times New Roman"/>
                <w:sz w:val="20"/>
                <w:lang w:val="en-US"/>
              </w:rPr>
            </w:pPr>
          </w:p>
        </w:tc>
      </w:tr>
      <w:tr w:rsidR="00592A3B" w:rsidRPr="002212C2" w:rsidTr="00592A3B">
        <w:trPr>
          <w:trHeight w:val="300"/>
        </w:trPr>
        <w:tc>
          <w:tcPr>
            <w:tcW w:w="2376" w:type="dxa"/>
            <w:noWrap/>
            <w:vAlign w:val="center"/>
            <w:hideMark/>
          </w:tcPr>
          <w:p w:rsidR="00592A3B" w:rsidRPr="00BC0897" w:rsidRDefault="00592A3B"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Hypocalcemia</w:t>
            </w:r>
          </w:p>
        </w:tc>
        <w:tc>
          <w:tcPr>
            <w:tcW w:w="1060"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2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34"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3"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0/4</w:t>
            </w:r>
          </w:p>
        </w:tc>
        <w:tc>
          <w:tcPr>
            <w:tcW w:w="1005"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18"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89"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6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2" w:type="dxa"/>
            <w:vAlign w:val="center"/>
          </w:tcPr>
          <w:p w:rsidR="00592A3B" w:rsidRPr="00BC0897" w:rsidRDefault="00592A3B" w:rsidP="001D6376">
            <w:pPr>
              <w:spacing w:after="0"/>
              <w:jc w:val="center"/>
              <w:rPr>
                <w:rFonts w:ascii="Times New Roman" w:hAnsi="Times New Roman" w:cs="Times New Roman"/>
                <w:sz w:val="20"/>
                <w:szCs w:val="20"/>
                <w:lang w:val="en-US"/>
              </w:rPr>
            </w:pPr>
          </w:p>
        </w:tc>
        <w:tc>
          <w:tcPr>
            <w:tcW w:w="1273" w:type="dxa"/>
            <w:vAlign w:val="center"/>
          </w:tcPr>
          <w:p w:rsidR="00592A3B" w:rsidRPr="00BC0897" w:rsidRDefault="00592A3B" w:rsidP="007F0FC3">
            <w:pPr>
              <w:spacing w:after="0"/>
              <w:jc w:val="center"/>
              <w:rPr>
                <w:rFonts w:ascii="Times New Roman" w:hAnsi="Times New Roman" w:cs="Times New Roman"/>
                <w:sz w:val="20"/>
                <w:lang w:val="en-US"/>
              </w:rPr>
            </w:pPr>
          </w:p>
        </w:tc>
      </w:tr>
      <w:tr w:rsidR="00592A3B" w:rsidRPr="002212C2" w:rsidTr="00592A3B">
        <w:trPr>
          <w:trHeight w:val="300"/>
        </w:trPr>
        <w:tc>
          <w:tcPr>
            <w:tcW w:w="2376" w:type="dxa"/>
            <w:noWrap/>
            <w:vAlign w:val="center"/>
            <w:hideMark/>
          </w:tcPr>
          <w:p w:rsidR="00592A3B" w:rsidRPr="00BC0897" w:rsidRDefault="00592A3B"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Hypertension</w:t>
            </w:r>
          </w:p>
        </w:tc>
        <w:tc>
          <w:tcPr>
            <w:tcW w:w="1060"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2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34"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3"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005"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18"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0/18</w:t>
            </w:r>
          </w:p>
        </w:tc>
        <w:tc>
          <w:tcPr>
            <w:tcW w:w="989"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6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2" w:type="dxa"/>
            <w:vAlign w:val="center"/>
          </w:tcPr>
          <w:p w:rsidR="00592A3B" w:rsidRPr="00BC0897" w:rsidRDefault="00592A3B" w:rsidP="001D6376">
            <w:pPr>
              <w:spacing w:after="0"/>
              <w:jc w:val="center"/>
              <w:rPr>
                <w:rFonts w:ascii="Times New Roman" w:hAnsi="Times New Roman" w:cs="Times New Roman"/>
                <w:sz w:val="20"/>
                <w:szCs w:val="20"/>
                <w:lang w:val="en-US"/>
              </w:rPr>
            </w:pPr>
          </w:p>
        </w:tc>
        <w:tc>
          <w:tcPr>
            <w:tcW w:w="1273" w:type="dxa"/>
            <w:vAlign w:val="center"/>
          </w:tcPr>
          <w:p w:rsidR="00592A3B" w:rsidRPr="00BC0897" w:rsidRDefault="00592A3B" w:rsidP="007F0FC3">
            <w:pPr>
              <w:spacing w:after="0"/>
              <w:jc w:val="center"/>
              <w:rPr>
                <w:rFonts w:ascii="Times New Roman" w:hAnsi="Times New Roman" w:cs="Times New Roman"/>
                <w:sz w:val="20"/>
                <w:lang w:val="en-US"/>
              </w:rPr>
            </w:pPr>
          </w:p>
        </w:tc>
      </w:tr>
      <w:tr w:rsidR="00592A3B" w:rsidRPr="002212C2" w:rsidTr="00592A3B">
        <w:trPr>
          <w:trHeight w:val="300"/>
        </w:trPr>
        <w:tc>
          <w:tcPr>
            <w:tcW w:w="2376" w:type="dxa"/>
            <w:noWrap/>
            <w:vAlign w:val="center"/>
            <w:hideMark/>
          </w:tcPr>
          <w:p w:rsidR="00592A3B" w:rsidRPr="00BC0897" w:rsidRDefault="00592A3B"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lastRenderedPageBreak/>
              <w:t>Cataract</w:t>
            </w:r>
          </w:p>
        </w:tc>
        <w:tc>
          <w:tcPr>
            <w:tcW w:w="1060"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1/6</w:t>
            </w:r>
          </w:p>
        </w:tc>
        <w:tc>
          <w:tcPr>
            <w:tcW w:w="12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11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34"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3"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0/4</w:t>
            </w:r>
          </w:p>
        </w:tc>
        <w:tc>
          <w:tcPr>
            <w:tcW w:w="1005"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18"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0/6</w:t>
            </w:r>
          </w:p>
        </w:tc>
        <w:tc>
          <w:tcPr>
            <w:tcW w:w="989"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6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0/3</w:t>
            </w:r>
          </w:p>
        </w:tc>
        <w:tc>
          <w:tcPr>
            <w:tcW w:w="992" w:type="dxa"/>
            <w:vAlign w:val="center"/>
          </w:tcPr>
          <w:p w:rsidR="00592A3B" w:rsidRPr="00BC0897" w:rsidRDefault="00592A3B" w:rsidP="001D6376">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2/3</w:t>
            </w:r>
          </w:p>
        </w:tc>
        <w:tc>
          <w:tcPr>
            <w:tcW w:w="1273" w:type="dxa"/>
            <w:vAlign w:val="center"/>
          </w:tcPr>
          <w:p w:rsidR="00592A3B" w:rsidRPr="00BC0897" w:rsidRDefault="00592A3B" w:rsidP="007F0FC3">
            <w:pPr>
              <w:spacing w:after="0"/>
              <w:jc w:val="center"/>
              <w:rPr>
                <w:rFonts w:ascii="Times New Roman" w:hAnsi="Times New Roman" w:cs="Times New Roman"/>
                <w:sz w:val="20"/>
                <w:lang w:val="en-US"/>
              </w:rPr>
            </w:pPr>
            <w:r w:rsidRPr="00BC0897">
              <w:rPr>
                <w:rFonts w:ascii="Times New Roman" w:hAnsi="Times New Roman" w:cs="Times New Roman"/>
                <w:sz w:val="20"/>
                <w:lang w:val="en-US"/>
              </w:rPr>
              <w:t>0/13</w:t>
            </w:r>
          </w:p>
        </w:tc>
      </w:tr>
      <w:tr w:rsidR="00592A3B" w:rsidRPr="002212C2" w:rsidTr="00592A3B">
        <w:trPr>
          <w:trHeight w:val="300"/>
        </w:trPr>
        <w:tc>
          <w:tcPr>
            <w:tcW w:w="2376" w:type="dxa"/>
            <w:noWrap/>
            <w:vAlign w:val="center"/>
            <w:hideMark/>
          </w:tcPr>
          <w:p w:rsidR="00592A3B" w:rsidRPr="00BC0897" w:rsidRDefault="00284980"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Intellectual disability</w:t>
            </w:r>
          </w:p>
        </w:tc>
        <w:tc>
          <w:tcPr>
            <w:tcW w:w="1060"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0/7</w:t>
            </w:r>
          </w:p>
        </w:tc>
        <w:tc>
          <w:tcPr>
            <w:tcW w:w="1237" w:type="dxa"/>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11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34"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3"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0/4</w:t>
            </w:r>
          </w:p>
        </w:tc>
        <w:tc>
          <w:tcPr>
            <w:tcW w:w="1005"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18"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89"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6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0/3</w:t>
            </w:r>
          </w:p>
        </w:tc>
        <w:tc>
          <w:tcPr>
            <w:tcW w:w="992" w:type="dxa"/>
            <w:vAlign w:val="center"/>
          </w:tcPr>
          <w:p w:rsidR="00592A3B" w:rsidRPr="00BC0897" w:rsidRDefault="00592A3B" w:rsidP="001D6376">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1273" w:type="dxa"/>
            <w:vAlign w:val="center"/>
          </w:tcPr>
          <w:p w:rsidR="00592A3B" w:rsidRPr="00BC0897" w:rsidRDefault="00592A3B" w:rsidP="007F0FC3">
            <w:pPr>
              <w:spacing w:after="0"/>
              <w:jc w:val="center"/>
              <w:rPr>
                <w:rFonts w:ascii="Times New Roman" w:hAnsi="Times New Roman" w:cs="Times New Roman"/>
                <w:sz w:val="20"/>
                <w:lang w:val="en-US"/>
              </w:rPr>
            </w:pPr>
            <w:r w:rsidRPr="00BC0897">
              <w:rPr>
                <w:rFonts w:ascii="Times New Roman" w:hAnsi="Times New Roman" w:cs="Times New Roman"/>
                <w:sz w:val="20"/>
                <w:lang w:val="en-US"/>
              </w:rPr>
              <w:t>3/13</w:t>
            </w:r>
          </w:p>
        </w:tc>
      </w:tr>
      <w:tr w:rsidR="00592A3B" w:rsidRPr="002212C2" w:rsidTr="00592A3B">
        <w:trPr>
          <w:trHeight w:val="300"/>
        </w:trPr>
        <w:tc>
          <w:tcPr>
            <w:tcW w:w="2376" w:type="dxa"/>
            <w:noWrap/>
            <w:vAlign w:val="center"/>
            <w:hideMark/>
          </w:tcPr>
          <w:p w:rsidR="00592A3B" w:rsidRPr="00BC0897" w:rsidRDefault="00592A3B"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Behavioral alteration</w:t>
            </w:r>
          </w:p>
        </w:tc>
        <w:tc>
          <w:tcPr>
            <w:tcW w:w="1060"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0/7</w:t>
            </w:r>
          </w:p>
        </w:tc>
        <w:tc>
          <w:tcPr>
            <w:tcW w:w="12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34"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3"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005"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18"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89"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6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0/3</w:t>
            </w:r>
          </w:p>
        </w:tc>
        <w:tc>
          <w:tcPr>
            <w:tcW w:w="992" w:type="dxa"/>
            <w:vAlign w:val="center"/>
          </w:tcPr>
          <w:p w:rsidR="00592A3B" w:rsidRPr="00BC0897" w:rsidRDefault="00592A3B" w:rsidP="001D6376">
            <w:pPr>
              <w:spacing w:after="0"/>
              <w:jc w:val="center"/>
              <w:rPr>
                <w:rFonts w:ascii="Times New Roman" w:hAnsi="Times New Roman" w:cs="Times New Roman"/>
                <w:sz w:val="20"/>
                <w:szCs w:val="20"/>
                <w:lang w:val="en-US"/>
              </w:rPr>
            </w:pPr>
          </w:p>
        </w:tc>
        <w:tc>
          <w:tcPr>
            <w:tcW w:w="1273" w:type="dxa"/>
            <w:vAlign w:val="center"/>
          </w:tcPr>
          <w:p w:rsidR="00592A3B" w:rsidRPr="00BC0897" w:rsidRDefault="00592A3B" w:rsidP="007F0FC3">
            <w:pPr>
              <w:spacing w:after="0"/>
              <w:jc w:val="center"/>
              <w:rPr>
                <w:rFonts w:ascii="Times New Roman" w:hAnsi="Times New Roman" w:cs="Times New Roman"/>
                <w:sz w:val="20"/>
                <w:lang w:val="en-US"/>
              </w:rPr>
            </w:pPr>
          </w:p>
        </w:tc>
      </w:tr>
      <w:tr w:rsidR="00592A3B" w:rsidRPr="002212C2" w:rsidTr="00592A3B">
        <w:trPr>
          <w:trHeight w:val="300"/>
        </w:trPr>
        <w:tc>
          <w:tcPr>
            <w:tcW w:w="2376" w:type="dxa"/>
            <w:noWrap/>
            <w:vAlign w:val="center"/>
            <w:hideMark/>
          </w:tcPr>
          <w:p w:rsidR="00592A3B" w:rsidRPr="00BC0897" w:rsidRDefault="00592A3B"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Neurological symptoms</w:t>
            </w:r>
          </w:p>
        </w:tc>
        <w:tc>
          <w:tcPr>
            <w:tcW w:w="1060"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2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34"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3"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005"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18"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0/4</w:t>
            </w:r>
          </w:p>
        </w:tc>
        <w:tc>
          <w:tcPr>
            <w:tcW w:w="989"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6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2" w:type="dxa"/>
            <w:vAlign w:val="center"/>
          </w:tcPr>
          <w:p w:rsidR="00592A3B" w:rsidRPr="00BC0897" w:rsidRDefault="00592A3B" w:rsidP="001D6376">
            <w:pPr>
              <w:spacing w:after="0"/>
              <w:jc w:val="center"/>
              <w:rPr>
                <w:rFonts w:ascii="Times New Roman" w:hAnsi="Times New Roman" w:cs="Times New Roman"/>
                <w:sz w:val="20"/>
                <w:szCs w:val="20"/>
                <w:lang w:val="en-US"/>
              </w:rPr>
            </w:pPr>
          </w:p>
        </w:tc>
        <w:tc>
          <w:tcPr>
            <w:tcW w:w="1273" w:type="dxa"/>
            <w:vAlign w:val="center"/>
          </w:tcPr>
          <w:p w:rsidR="00592A3B" w:rsidRPr="00BC0897" w:rsidRDefault="00592A3B" w:rsidP="007F0FC3">
            <w:pPr>
              <w:spacing w:after="0"/>
              <w:jc w:val="center"/>
              <w:rPr>
                <w:rFonts w:ascii="Times New Roman" w:hAnsi="Times New Roman" w:cs="Times New Roman"/>
                <w:sz w:val="20"/>
                <w:lang w:val="en-US"/>
              </w:rPr>
            </w:pPr>
          </w:p>
        </w:tc>
      </w:tr>
      <w:tr w:rsidR="00592A3B" w:rsidRPr="002212C2" w:rsidTr="00592A3B">
        <w:trPr>
          <w:trHeight w:val="300"/>
        </w:trPr>
        <w:tc>
          <w:tcPr>
            <w:tcW w:w="2376" w:type="dxa"/>
            <w:noWrap/>
            <w:vAlign w:val="center"/>
            <w:hideMark/>
          </w:tcPr>
          <w:p w:rsidR="00592A3B" w:rsidRPr="00BC0897" w:rsidRDefault="00592A3B"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Hypotonia</w:t>
            </w:r>
          </w:p>
        </w:tc>
        <w:tc>
          <w:tcPr>
            <w:tcW w:w="1060"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2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11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34"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3"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0/4</w:t>
            </w:r>
          </w:p>
        </w:tc>
        <w:tc>
          <w:tcPr>
            <w:tcW w:w="1005"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18"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89"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6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2" w:type="dxa"/>
            <w:vAlign w:val="center"/>
          </w:tcPr>
          <w:p w:rsidR="00592A3B" w:rsidRPr="00BC0897" w:rsidRDefault="00592A3B" w:rsidP="001D6376">
            <w:pPr>
              <w:spacing w:after="0"/>
              <w:jc w:val="center"/>
              <w:rPr>
                <w:rFonts w:ascii="Times New Roman" w:hAnsi="Times New Roman" w:cs="Times New Roman"/>
                <w:sz w:val="20"/>
                <w:szCs w:val="20"/>
                <w:lang w:val="en-US"/>
              </w:rPr>
            </w:pPr>
          </w:p>
        </w:tc>
        <w:tc>
          <w:tcPr>
            <w:tcW w:w="1273" w:type="dxa"/>
            <w:vAlign w:val="center"/>
          </w:tcPr>
          <w:p w:rsidR="00592A3B" w:rsidRPr="00BC0897" w:rsidRDefault="00592A3B" w:rsidP="007F0FC3">
            <w:pPr>
              <w:spacing w:after="0"/>
              <w:jc w:val="center"/>
              <w:rPr>
                <w:rFonts w:ascii="Times New Roman" w:hAnsi="Times New Roman" w:cs="Times New Roman"/>
                <w:sz w:val="20"/>
                <w:lang w:val="en-US"/>
              </w:rPr>
            </w:pPr>
          </w:p>
        </w:tc>
      </w:tr>
      <w:tr w:rsidR="00592A3B" w:rsidRPr="002212C2" w:rsidTr="00592A3B">
        <w:trPr>
          <w:trHeight w:val="300"/>
        </w:trPr>
        <w:tc>
          <w:tcPr>
            <w:tcW w:w="2376" w:type="dxa"/>
            <w:noWrap/>
            <w:vAlign w:val="center"/>
            <w:hideMark/>
          </w:tcPr>
          <w:p w:rsidR="00592A3B" w:rsidRPr="00BC0897" w:rsidRDefault="00592A3B"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Hyperuricosuria</w:t>
            </w:r>
          </w:p>
        </w:tc>
        <w:tc>
          <w:tcPr>
            <w:tcW w:w="1060"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2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34"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3"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005"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18"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89"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6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2" w:type="dxa"/>
            <w:vAlign w:val="center"/>
          </w:tcPr>
          <w:p w:rsidR="00592A3B" w:rsidRPr="00BC0897" w:rsidRDefault="00592A3B" w:rsidP="001D6376">
            <w:pPr>
              <w:spacing w:after="0"/>
              <w:jc w:val="center"/>
              <w:rPr>
                <w:rFonts w:ascii="Times New Roman" w:hAnsi="Times New Roman" w:cs="Times New Roman"/>
                <w:sz w:val="20"/>
                <w:szCs w:val="20"/>
                <w:lang w:val="en-US"/>
              </w:rPr>
            </w:pPr>
          </w:p>
        </w:tc>
        <w:tc>
          <w:tcPr>
            <w:tcW w:w="1273" w:type="dxa"/>
            <w:vAlign w:val="center"/>
          </w:tcPr>
          <w:p w:rsidR="00592A3B" w:rsidRPr="00BC0897" w:rsidRDefault="00592A3B" w:rsidP="007F0FC3">
            <w:pPr>
              <w:spacing w:after="0"/>
              <w:jc w:val="center"/>
              <w:rPr>
                <w:rFonts w:ascii="Times New Roman" w:hAnsi="Times New Roman" w:cs="Times New Roman"/>
                <w:sz w:val="20"/>
                <w:lang w:val="en-US"/>
              </w:rPr>
            </w:pPr>
          </w:p>
        </w:tc>
      </w:tr>
      <w:tr w:rsidR="00592A3B" w:rsidRPr="002212C2" w:rsidTr="00592A3B">
        <w:trPr>
          <w:trHeight w:val="300"/>
        </w:trPr>
        <w:tc>
          <w:tcPr>
            <w:tcW w:w="2376" w:type="dxa"/>
            <w:noWrap/>
            <w:vAlign w:val="center"/>
            <w:hideMark/>
          </w:tcPr>
          <w:p w:rsidR="00592A3B" w:rsidRPr="00BC0897" w:rsidRDefault="00592A3B"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Hypouricemia</w:t>
            </w:r>
          </w:p>
        </w:tc>
        <w:tc>
          <w:tcPr>
            <w:tcW w:w="1060"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2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3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c>
          <w:tcPr>
            <w:tcW w:w="1134"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3"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005"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1118"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89"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67" w:type="dxa"/>
            <w:noWrap/>
            <w:vAlign w:val="center"/>
            <w:hideMark/>
          </w:tcPr>
          <w:p w:rsidR="00592A3B" w:rsidRPr="00BC0897" w:rsidRDefault="00592A3B" w:rsidP="00C228AD">
            <w:pPr>
              <w:spacing w:after="0"/>
              <w:jc w:val="center"/>
              <w:rPr>
                <w:rFonts w:ascii="Times New Roman" w:hAnsi="Times New Roman" w:cs="Times New Roman"/>
                <w:sz w:val="20"/>
                <w:szCs w:val="20"/>
                <w:lang w:val="en-US"/>
              </w:rPr>
            </w:pPr>
          </w:p>
        </w:tc>
        <w:tc>
          <w:tcPr>
            <w:tcW w:w="992" w:type="dxa"/>
            <w:vAlign w:val="center"/>
          </w:tcPr>
          <w:p w:rsidR="00592A3B" w:rsidRPr="00BC0897" w:rsidRDefault="00592A3B" w:rsidP="001D6376">
            <w:pPr>
              <w:spacing w:after="0"/>
              <w:jc w:val="center"/>
              <w:rPr>
                <w:rFonts w:ascii="Times New Roman" w:hAnsi="Times New Roman" w:cs="Times New Roman"/>
                <w:sz w:val="20"/>
                <w:szCs w:val="20"/>
                <w:lang w:val="en-US"/>
              </w:rPr>
            </w:pPr>
          </w:p>
        </w:tc>
        <w:tc>
          <w:tcPr>
            <w:tcW w:w="1273" w:type="dxa"/>
            <w:vAlign w:val="center"/>
          </w:tcPr>
          <w:p w:rsidR="00592A3B" w:rsidRPr="00BC0897" w:rsidRDefault="00592A3B" w:rsidP="007F0FC3">
            <w:pPr>
              <w:spacing w:after="0"/>
              <w:jc w:val="center"/>
              <w:rPr>
                <w:rFonts w:ascii="Times New Roman" w:hAnsi="Times New Roman" w:cs="Times New Roman"/>
                <w:sz w:val="20"/>
                <w:lang w:val="en-US"/>
              </w:rPr>
            </w:pPr>
          </w:p>
        </w:tc>
      </w:tr>
    </w:tbl>
    <w:p w:rsidR="00646A25" w:rsidRPr="00BC0897" w:rsidRDefault="00646A25" w:rsidP="00C228AD">
      <w:pPr>
        <w:spacing w:after="0" w:line="240" w:lineRule="auto"/>
        <w:rPr>
          <w:rFonts w:ascii="Times New Roman" w:hAnsi="Times New Roman" w:cs="Times New Roman"/>
          <w:sz w:val="20"/>
          <w:szCs w:val="20"/>
          <w:lang w:val="en-US"/>
        </w:rPr>
      </w:pPr>
      <w:r w:rsidRPr="00BC0897">
        <w:rPr>
          <w:rFonts w:ascii="Times New Roman" w:hAnsi="Times New Roman" w:cs="Times New Roman"/>
          <w:sz w:val="20"/>
          <w:szCs w:val="20"/>
          <w:lang w:val="en-US"/>
        </w:rPr>
        <w:t>LMWP: Low-molecular-weight proteinuria</w:t>
      </w:r>
    </w:p>
    <w:p w:rsidR="00646A25" w:rsidRPr="00BC0897" w:rsidRDefault="00646A25" w:rsidP="00646A25">
      <w:pPr>
        <w:rPr>
          <w:rFonts w:ascii="Times New Roman" w:hAnsi="Times New Roman" w:cs="Times New Roman"/>
          <w:sz w:val="20"/>
          <w:szCs w:val="20"/>
          <w:lang w:val="en-US"/>
        </w:rPr>
      </w:pPr>
      <w:r w:rsidRPr="00BC0897">
        <w:rPr>
          <w:rFonts w:ascii="Times New Roman" w:hAnsi="Times New Roman" w:cs="Times New Roman"/>
          <w:sz w:val="20"/>
          <w:szCs w:val="20"/>
          <w:lang w:val="en-US"/>
        </w:rPr>
        <w:br w:type="page"/>
      </w:r>
    </w:p>
    <w:p w:rsidR="00646A25" w:rsidRPr="00BC0897" w:rsidRDefault="00646A25" w:rsidP="00646A25">
      <w:pPr>
        <w:spacing w:line="240" w:lineRule="auto"/>
        <w:rPr>
          <w:rFonts w:ascii="Times New Roman" w:hAnsi="Times New Roman" w:cs="Times New Roman"/>
          <w:sz w:val="20"/>
          <w:szCs w:val="20"/>
          <w:lang w:val="en-US"/>
        </w:rPr>
      </w:pPr>
      <w:r w:rsidRPr="00BC0897">
        <w:rPr>
          <w:rFonts w:ascii="Times New Roman" w:hAnsi="Times New Roman" w:cs="Times New Roman"/>
          <w:b/>
          <w:sz w:val="20"/>
          <w:szCs w:val="20"/>
          <w:lang w:val="en-US"/>
        </w:rPr>
        <w:lastRenderedPageBreak/>
        <w:t>Supplementary Table 4</w:t>
      </w:r>
      <w:r w:rsidRPr="00BC0897">
        <w:rPr>
          <w:rFonts w:ascii="Times New Roman" w:hAnsi="Times New Roman" w:cs="Times New Roman"/>
          <w:sz w:val="20"/>
          <w:szCs w:val="20"/>
          <w:lang w:val="en-US"/>
        </w:rPr>
        <w:t xml:space="preserve">: Clinical and biochemical data collected from Dent disease patients without </w:t>
      </w:r>
      <w:r w:rsidRPr="00BC0897">
        <w:rPr>
          <w:rFonts w:ascii="Times New Roman" w:hAnsi="Times New Roman" w:cs="Times New Roman"/>
          <w:i/>
          <w:sz w:val="20"/>
          <w:szCs w:val="20"/>
          <w:lang w:val="en-US"/>
        </w:rPr>
        <w:t>CLCN5</w:t>
      </w:r>
      <w:r w:rsidRPr="00BC0897">
        <w:rPr>
          <w:rFonts w:ascii="Times New Roman" w:hAnsi="Times New Roman" w:cs="Times New Roman"/>
          <w:sz w:val="20"/>
          <w:szCs w:val="20"/>
          <w:lang w:val="en-US"/>
        </w:rPr>
        <w:t xml:space="preserve"> and </w:t>
      </w:r>
      <w:r w:rsidRPr="00BC0897">
        <w:rPr>
          <w:rFonts w:ascii="Times New Roman" w:hAnsi="Times New Roman" w:cs="Times New Roman"/>
          <w:i/>
          <w:sz w:val="20"/>
          <w:szCs w:val="20"/>
          <w:lang w:val="en-US"/>
        </w:rPr>
        <w:t>OCRL</w:t>
      </w:r>
      <w:r w:rsidRPr="00BC0897">
        <w:rPr>
          <w:rFonts w:ascii="Times New Roman" w:hAnsi="Times New Roman" w:cs="Times New Roman"/>
          <w:sz w:val="20"/>
          <w:szCs w:val="20"/>
          <w:lang w:val="en-US"/>
        </w:rPr>
        <w:t xml:space="preserve"> mutations (DD3)</w:t>
      </w:r>
    </w:p>
    <w:tbl>
      <w:tblPr>
        <w:tblStyle w:val="Grigliatabella"/>
        <w:tblW w:w="13693" w:type="dxa"/>
        <w:tblLayout w:type="fixed"/>
        <w:tblLook w:val="04A0" w:firstRow="1" w:lastRow="0" w:firstColumn="1" w:lastColumn="0" w:noHBand="0" w:noVBand="1"/>
      </w:tblPr>
      <w:tblGrid>
        <w:gridCol w:w="2547"/>
        <w:gridCol w:w="850"/>
        <w:gridCol w:w="1144"/>
        <w:gridCol w:w="1144"/>
        <w:gridCol w:w="1144"/>
        <w:gridCol w:w="1144"/>
        <w:gridCol w:w="1144"/>
        <w:gridCol w:w="1144"/>
        <w:gridCol w:w="1144"/>
        <w:gridCol w:w="1144"/>
        <w:gridCol w:w="1144"/>
      </w:tblGrid>
      <w:tr w:rsidR="00646A25" w:rsidRPr="00BC0897" w:rsidTr="00C228AD">
        <w:trPr>
          <w:trHeight w:val="900"/>
        </w:trPr>
        <w:tc>
          <w:tcPr>
            <w:tcW w:w="2547" w:type="dxa"/>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Clinical sign</w:t>
            </w:r>
          </w:p>
        </w:tc>
        <w:tc>
          <w:tcPr>
            <w:tcW w:w="850" w:type="dxa"/>
            <w:vAlign w:val="center"/>
            <w:hideMark/>
          </w:tcPr>
          <w:p w:rsidR="00646A25" w:rsidRPr="00BC0897" w:rsidRDefault="00646A25" w:rsidP="00C228AD">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t>TOT</w:t>
            </w:r>
          </w:p>
        </w:tc>
        <w:tc>
          <w:tcPr>
            <w:tcW w:w="1144" w:type="dxa"/>
            <w:vAlign w:val="center"/>
          </w:tcPr>
          <w:p w:rsidR="00646A25" w:rsidRPr="00BC0897" w:rsidRDefault="00646A25"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000F21AB" w:rsidRPr="00BC0897">
              <w:rPr>
                <w:rFonts w:ascii="Times New Roman" w:hAnsi="Times New Roman" w:cs="Times New Roman"/>
                <w:b/>
                <w:sz w:val="20"/>
                <w:szCs w:val="20"/>
                <w:lang w:val="en-US"/>
              </w:rPr>
              <w:instrText xml:space="preserve"> ADDIN ZOTERO_ITEM CSL_CITATION {"citationID":"fTPEKhy3","properties":{"formattedCitation":"(Hoopes et al. 2004, 2005)","plainCitation":"(Hoopes et al. 2004, 2005)","noteIndex":0},"citationItems":[{"id":439,"uris":["http://zotero.org/users/local/jkkvYBSC/items/VVSZXVD9"],"uri":["http://zotero.org/users/local/jkkvYBSC/items/VVSZXVD9"],"itemData":{"id":439,"type":"article-journal","abstract":"BACKGROUND: Dent's disease (X-linked nephrolithiasis) is a proximal tubulopathy that has been consistently associated with inactivating mutations in the CLCN5 gene encoding the ClC-5 chloride channel expressed in tubular epithelial cells.\nMETHODS: We performed mutation analysis of the coding region of CLCN5 by DNA sequencing in 32 unrelated males, all of whom met the following three clinical criteria for the diagnosis of Dent's disease: (1) low-molecular-weight (LMW) proteinuria; (2) hypercalciuria; and (3) at least one of the following: nephrocalcinosis, kidney stones, renal insufficiency, hypophosphatemia, or hematuria.\nRESULTS: Sixteen mutations (ten missense, four nonsense, two frameshift) were found in 19 patients. Mutations were confirmed by restriction analysis or allele-specific polymerase chain reaction (PCR), segregated with disease in the families, and were not polymorphisms. In the other 13 patients with Dent's disease, the coding sequence of CLCN5 was normal. In these 13 patients, we also sequenced two regions of the CLCN5 promoter (626 and 586 bp, respectively, 2.1 and 1 kb upstream of exon 2) containing regulatory sites [activating protein-1 (AP-1)-like, AP-4, and cyclic adenosine monophosphate (cAMP)-receptor element binding protein (CREB)] and primary and secondary transcription start sites. We found no mutations in these promoter sequences in any of the 13 patients. In one three-generation family, the absence of mutation was confirmed by sequencing in two additional affected family members, and in this family haplotype analysis excluded linkage to the region of the CLCN5 gene. There were no differences between the 19 patients with CLCN5 mutations and the 13 without mutations with regard to any clinical features of Dent's disease.\nCONCLUSION: These findings suggest that mutation in other gene(s) may be responsible for the phenotype of Dent's disease in some patients.","container-title":"Kidney International","DOI":"10.1111/j.1523-1755.2004.00571.x","ISSN":"0085-2538","issue":"5","journalAbbreviation":"Kidney Int.","language":"eng","note":"PMID: 15086899","page":"1615-1620","source":"PubMed","title":"Evidence for genetic heterogeneity in Dent's disease","volume":"65","author":[{"family":"Hoopes","given":"Richard R."},{"family":"Raja","given":"Khalid M."},{"family":"Koich","given":"April"},{"family":"Hueber","given":"Paul"},{"family":"Reid","given":"Robert"},{"family":"Knohl","given":"Stephen J."},{"family":"Scheinman","given":"Steven J."}],"issued":{"date-parts":[["2004",5]]}}},{"id":501,"uris":["http://zotero.org/users/local/jkkvYBSC/items/M4D9YZWI"],"uri":["http://zotero.org/users/local/jkkvYBSC/items/M4D9YZWI"],"itemData":{"id":501,"type":"article-journal","abstract":"Dent disease is an X-linked renal proximal tubulopathy associated with mutations in the chloride channel gene CLCN5. Lowe syndrome, a multisystem disease characterized by renal tubulopathy, congenital cataracts, and mental retardation, is associated with mutations in the gene OCRL1, which encodes a phosphatidylinositol 4,5-bisphosphate (PIP(2)) 5-phosphatase. Genetic heterogeneity has been suspected in Dent disease, but no other gene for Dent disease has been reported. We studied male probands in 13 families, all of whom met strict criteria for Dent disease but lacked mutations in CLCN5. Linkage analysis in the one large family localized the gene to a candidate region at Xq25-Xq27.1. Sequencing of candidate genes revealed a mutation in the OCRL1 gene. Of the 13 families studied, OCRL1 mutations were found in 5. PIP(2) 5-phosphatase activity was markedly reduced in skin fibroblasts cultured from the probands of these five families, and protein expression, measured by western blotting, was reduced or absent. Slit-lamp examinations performed in childhood or adulthood for all five probands showed normal results. Unlike patients with typical Lowe syndrome, none of these patients had metabolic acidosis. Three of the five probands had mild mental retardation, whereas two had no developmental delay or behavioral disturbance. These findings demonstrate that mutations in OCRL1 can occur with the isolated renal phenotype of Dent disease in patients lacking the cataracts, renal tubular acidosis, and neurological abnormalities that are characteristic of Lowe syndrome. This observation confirms genetic heterogeneity in Dent disease and demonstrates more-extensive phenotypic heterogeneity in Lowe syndrome than was previously appreciated. It establishes that the diagnostic criteria for disorders resulting from mutations in the Lowe syndrome gene OCRL1 need to be revised.","container-title":"American Journal of Human Genetics","DOI":"10.1086/427887","ISSN":"0002-9297","issue":"2","journalAbbreviation":"Am. J. Hum. Genet.","language":"eng","note":"PMID: 15627218\nPMCID: PMC1196371","page":"260-267","source":"PubMed","title":"Dent Disease with mutations in OCRL1","volume":"76","author":[{"family":"Hoopes","given":"Richard R."},{"family":"Shrimpton","given":"Antony E."},{"family":"Knohl","given":"Stephen J."},{"family":"Hueber","given":"Paul"},{"family":"Hoppe","given":"Bernd"},{"family":"Matyus","given":"Janos"},{"family":"Simckes","given":"Ari"},{"family":"Tasic","given":"Velibor"},{"family":"Toenshoff","given":"Burkhard"},{"family":"Suchy","given":"Sharon F."},{"family":"Nussbaum","given":"Robert L."},{"family":"Scheinman","given":"Steven J."}],"issued":{"date-parts":[["2005",2]]}}}],"schema":"https://github.com/citation-style-language/schema/raw/master/csl-citation.json"} </w:instrText>
            </w:r>
            <w:r w:rsidRPr="00BC0897">
              <w:rPr>
                <w:rFonts w:ascii="Times New Roman" w:hAnsi="Times New Roman" w:cs="Times New Roman"/>
                <w:b/>
                <w:sz w:val="20"/>
                <w:szCs w:val="20"/>
                <w:lang w:val="en-US"/>
              </w:rPr>
              <w:fldChar w:fldCharType="separate"/>
            </w:r>
            <w:r w:rsidR="000F21AB" w:rsidRPr="00BC0897">
              <w:rPr>
                <w:rFonts w:ascii="Times New Roman" w:hAnsi="Times New Roman" w:cs="Times New Roman"/>
                <w:sz w:val="20"/>
                <w:szCs w:val="20"/>
              </w:rPr>
              <w:t>(Hoopes et al. 2004, 2005)</w:t>
            </w:r>
            <w:r w:rsidRPr="00BC0897">
              <w:rPr>
                <w:rFonts w:ascii="Times New Roman" w:hAnsi="Times New Roman" w:cs="Times New Roman"/>
                <w:b/>
                <w:sz w:val="20"/>
                <w:szCs w:val="20"/>
                <w:lang w:val="en-US"/>
              </w:rPr>
              <w:fldChar w:fldCharType="end"/>
            </w:r>
          </w:p>
        </w:tc>
        <w:tc>
          <w:tcPr>
            <w:tcW w:w="1144" w:type="dxa"/>
            <w:vAlign w:val="center"/>
          </w:tcPr>
          <w:p w:rsidR="00646A25" w:rsidRPr="00BC0897" w:rsidRDefault="00646A25"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005C2768" w:rsidRPr="00BC0897">
              <w:rPr>
                <w:rFonts w:ascii="Times New Roman" w:hAnsi="Times New Roman" w:cs="Times New Roman"/>
                <w:b/>
                <w:sz w:val="20"/>
                <w:szCs w:val="20"/>
                <w:lang w:val="en-US"/>
              </w:rPr>
              <w:instrText xml:space="preserve"> ADDIN ZOTERO_ITEM CSL_CITATION {"citationID":"F2PI8cZO","properties":{"formattedCitation":"(Utsch et al. 2006)","plainCitation":"(Utsch et al. 2006)","noteIndex":0},"citationItems":[{"id":1583,"uris":["http://zotero.org/users/local/jkkvYBSC/items/LQGXRSFG"],"uri":["http://zotero.org/users/local/jkkvYBSC/items/LQGXRSFG"],"itemData":{"id":1583,"type":"article-journal","abstract":"BACKGROUND: Dent disease is an X-linked tubulopathy frequently caused by mutations affecting the voltage-gated chloride channel and chloride/proton antiporter ClC-5. A recent study showed that defects in OCRL1, encoding a phosphatidylinositol 4,5-bisphosphate 5-phosphatase (Ocrl) and usually found mutated in patients with Lowe syndrome, also can provoke a Dent-like phenotype (Dent 2 disease).\nMETHODS: We investigated 20 CLCN5-negative males from 17 families with a phenotype resembling Dent disease for defects in OCRL1.\nRESULTS: In our complete series of 35 families with a phenotype of Dent disease, a mutation in the OCRL1 gene was detected in 6 kindreds. All were novel frameshift (Q70RfsX88 and T121NfsX122, detected twice) or missense mutations (I257T and R476W). None of our patients had cognitive or behavioral impairment or cataracts, 2 classic hallmarks of Lowe syndrome. All patients had mild increases in lactate dehydrogenase and/or creatine kinase levels, which rarely is observed in CLCN5-positive patients, but frequently found in patients with Lowe syndrome. To explain the phenotypic heterogeneity caused by OCRL1 mutations, we performed extensive data-bank mining and extended reverse-transcriptase polymerase chain reaction analysis, which provided no evidence for yet unknown (tissue-specific) alternative OCRL1 transcripts.\nCONCLUSION: Mutations in the OCRL1 gene are found in approximately 23% of kindreds with a Dent phenotype. Defective protein sorting/targeting of Ocrl might be the reason for mildly elevated creatine kinase and lactate dehydrogenase serum concentrations in these patients and a clue to suspect Dent disease unrelated to CLCN5 mutations. It remains to be elucidated why the various OCRL1 mutations found in patients with Dent 2 disease do not cause cataracts.","container-title":"American Journal of Kidney Diseases","DOI":"10.1053/j.ajkd.2006.08.018","ISSN":"1523-6838","issue":"6","journalAbbreviation":"Am. J. Kidney Dis.","language":"eng","note":"PMID: 17162149","page":"942.e1-14","source":"PubMed","title":"Novel OCRL1 mutations in patients with the phenotype of Dent disease","volume":"48","author":[{"family":"Utsch","given":"Boris"},{"family":"Bökenkamp","given":"Arend"},{"family":"Benz","given":"Marcus R."},{"family":"Besbas","given":"Nesrin"},{"family":"Dötsch","given":"Jörg"},{"family":"Franke","given":"Ingo"},{"family":"Fründ","given":"Stefan"},{"family":"Gok","given":"Faysal"},{"family":"Hoppe","given":"Bernd"},{"family":"Karle","given":"Stephanie"},{"family":"Kuwertz-Bröking","given":"Eberhard"},{"family":"Laube","given":"Guido"},{"family":"Neb","given":"Margarita"},{"family":"Nuutinen","given":"Matti"},{"family":"Ozaltin","given":"Fatih"},{"family":"Rascher","given":"Wolfgang"},{"family":"Ring","given":"Troels"},{"family":"Tasic","given":"Velibor"},{"family":"Wijk","given":"Joanna A. E.","non-dropping-particle":"van"},{"family":"Ludwig","given":"Michael"}],"issued":{"date-parts":[["2006",12]]}}}],"schema":"https://github.com/citation-style-language/schema/raw/master/csl-citation.json"} </w:instrText>
            </w:r>
            <w:r w:rsidRPr="00BC0897">
              <w:rPr>
                <w:rFonts w:ascii="Times New Roman" w:hAnsi="Times New Roman" w:cs="Times New Roman"/>
                <w:b/>
                <w:sz w:val="20"/>
                <w:szCs w:val="20"/>
                <w:lang w:val="en-US"/>
              </w:rPr>
              <w:fldChar w:fldCharType="separate"/>
            </w:r>
            <w:r w:rsidR="000F21AB" w:rsidRPr="00BC0897">
              <w:rPr>
                <w:rFonts w:ascii="Times New Roman" w:hAnsi="Times New Roman" w:cs="Times New Roman"/>
                <w:sz w:val="20"/>
                <w:szCs w:val="20"/>
              </w:rPr>
              <w:t>(Utsch et al. 2006)</w:t>
            </w:r>
            <w:r w:rsidRPr="00BC0897">
              <w:rPr>
                <w:rFonts w:ascii="Times New Roman" w:hAnsi="Times New Roman" w:cs="Times New Roman"/>
                <w:b/>
                <w:sz w:val="20"/>
                <w:szCs w:val="20"/>
                <w:lang w:val="en-US"/>
              </w:rPr>
              <w:fldChar w:fldCharType="end"/>
            </w:r>
          </w:p>
        </w:tc>
        <w:tc>
          <w:tcPr>
            <w:tcW w:w="1144" w:type="dxa"/>
            <w:vAlign w:val="center"/>
            <w:hideMark/>
          </w:tcPr>
          <w:p w:rsidR="00646A25" w:rsidRPr="00BC0897" w:rsidRDefault="00646A25"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00040F98" w:rsidRPr="00BC0897">
              <w:rPr>
                <w:rFonts w:ascii="Times New Roman" w:hAnsi="Times New Roman" w:cs="Times New Roman"/>
                <w:b/>
                <w:sz w:val="20"/>
                <w:szCs w:val="20"/>
                <w:lang w:val="en-US"/>
              </w:rPr>
              <w:instrText xml:space="preserve"> ADDIN ZOTERO_ITEM CSL_CITATION {"citationID":"oZs5YdwR","properties":{"formattedCitation":"(Sekine et al. 2007)","plainCitation":"(Sekine et al. 2007)","noteIndex":0},"citationItems":[{"id":"p7ATYret/PCD0guYr","uris":["http://zotero.org/users/local/jkkvYBSC/items/YMWL63LB"],"uri":["http://zotero.org/users/local/jkkvYBSC/items/YMWL63LB"],"itemData":{"id":"p7ATYret/PCD0guYr","type":"article-journal","abstract":"Three distinct OCRL1 mutations in three patients with the Dent disease phenotype are described. All the patients manifested an extremely high degree of low-molecular-weight proteinuria and showed no ocular abnormalities or apparent mental retardation. Urinalysis and blood chemistry showed no findings suggestive of Fanconi syndrome with renal tubular acidosis. Mutations in CLCN5 were ruled out. The mutations identified in OCRL1 are one frame-shift mutation (I127stop) and two missense mutations (R301C and R476W). R301C and R476W mutations might be hot spots in OCRL1, which develop very similar phenotypes as Dent-2.","container-title":"Pediatric Nephrology (Berlin, Germany)","DOI":"10.1007/s00467-007-0454-x","ISSN":"0931-041X","issue":"7","journalAbbreviation":"Pediatr. Nephrol.","language":"eng","note":"PMID: 17384968","page":"975-980","source":"PubMed","title":"OCRL1 mutations in patients with Dent disease phenotype in Japan","volume":"22","author":[{"family":"Sekine","given":"Takashi"},{"family":"Nozu","given":"Kandai"},{"family":"Iyengar","given":"Rashmi"},{"family":"Fu","given":"Xue Jun"},{"family":"Matsuo","given":"Masafumi"},{"family":"Tanaka","given":"Ryojiro"},{"family":"Iijima","given":"Kazumoto"},{"family":"Matsui","given":"Emiko"},{"family":"Harita","given":"Yutaka"},{"family":"Inatomi","given":"Jun"},{"family":"Igarashi","given":"Takashi"}],"issued":{"date-parts":[["2007",7]]}}}],"schema":"https://github.com/citation-style-language/schema/raw/master/csl-citation.json"} </w:instrText>
            </w:r>
            <w:r w:rsidRPr="00BC0897">
              <w:rPr>
                <w:rFonts w:ascii="Times New Roman" w:hAnsi="Times New Roman" w:cs="Times New Roman"/>
                <w:b/>
                <w:sz w:val="20"/>
                <w:szCs w:val="20"/>
                <w:lang w:val="en-US"/>
              </w:rPr>
              <w:fldChar w:fldCharType="separate"/>
            </w:r>
            <w:r w:rsidR="00040F98" w:rsidRPr="00BC0897">
              <w:rPr>
                <w:rFonts w:ascii="Times New Roman" w:hAnsi="Times New Roman" w:cs="Times New Roman"/>
                <w:sz w:val="20"/>
              </w:rPr>
              <w:t>(Sekine et al. 2007)</w:t>
            </w:r>
            <w:r w:rsidRPr="00BC0897">
              <w:rPr>
                <w:rFonts w:ascii="Times New Roman" w:hAnsi="Times New Roman" w:cs="Times New Roman"/>
                <w:b/>
                <w:sz w:val="20"/>
                <w:szCs w:val="20"/>
                <w:lang w:val="en-US"/>
              </w:rPr>
              <w:fldChar w:fldCharType="end"/>
            </w:r>
          </w:p>
        </w:tc>
        <w:tc>
          <w:tcPr>
            <w:tcW w:w="1144" w:type="dxa"/>
            <w:vAlign w:val="center"/>
          </w:tcPr>
          <w:p w:rsidR="00646A25" w:rsidRPr="00BC0897" w:rsidRDefault="00646A25" w:rsidP="00A44008">
            <w:pPr>
              <w:spacing w:after="0"/>
              <w:jc w:val="center"/>
              <w:rPr>
                <w:rFonts w:ascii="Times New Roman" w:hAnsi="Times New Roman" w:cs="Times New Roman"/>
                <w:b/>
                <w:sz w:val="20"/>
                <w:szCs w:val="20"/>
              </w:rPr>
            </w:pPr>
            <w:r w:rsidRPr="00BC0897">
              <w:rPr>
                <w:rFonts w:ascii="Times New Roman" w:hAnsi="Times New Roman" w:cs="Times New Roman"/>
                <w:b/>
                <w:sz w:val="20"/>
                <w:szCs w:val="20"/>
                <w:lang w:val="en-US"/>
              </w:rPr>
              <w:fldChar w:fldCharType="begin"/>
            </w:r>
            <w:r w:rsidR="00040F98" w:rsidRPr="00BC0897">
              <w:rPr>
                <w:rFonts w:ascii="Times New Roman" w:hAnsi="Times New Roman" w:cs="Times New Roman"/>
                <w:b/>
                <w:sz w:val="20"/>
                <w:szCs w:val="20"/>
              </w:rPr>
              <w:instrText xml:space="preserve"> ADDIN ZOTERO_ITEM CSL_CITATION {"citationID":"v1EvVYN9","properties":{"formattedCitation":"(Ramos-Trujillo et al. 2007b)","plainCitation":"(Ramos-Trujillo et al. 2007b)","noteIndex":0},"citationItems":[{"id":1436,"uris":["http://zotero.org/users/local/jkkvYBSC/items/P5TTMMDS"],"uri":["http://zotero.org/users/local/jkkvYBSC/items/P5TTMMDS"],"itemData":{"id":1436,"type":"article-journal","abstract":"Mutations in the voltage-gated chloride/proton antiporter ClC-5 gene, CLCN5, are associated with Dent's disease, an X-linked renal tubulopathy. Our interest is to identify and characterize disease-causing CLCN5 mutations, especially those that alter the splicing of the pre-mRNA. We analyzed the CLCN5 gene from nine unrelated Spanish Dent's disease patients and their relatives by DNA sequencing. Pre-mRNA splicing analysis was performed by RT-PCR. Seven new mutations were identified, consisting of three missense mutations (C219R, F273L, and W547G), one splice-site mutation (IVS-2A &gt; G), one deletion (976delG), and two non-sense mutations (Y140X and W314X). We found that missense mutation W547G also led to increased expression of a new alternative isoform lacking exons 10 and 11 that was expressed in several human tissues. In addition, we describe another novel CLCN5 splicing variant lacking exon 11 alone, which was expressed only in human skeletal muscle. We conclude that missense mutation W547G can also alter the expression levels of a CLCN5 mRNA splicing variant. This type of mutation has not been previously described in the CLCN5 gene. Our results support the importance of a routine analysis at the pre-mRNA level of mutations that are commonly assumed to cause single amino acids alterations.","container-title":"Journal of Human Genetics","DOI":"10.1007/s10038-007-0112-y","ISSN":"1434-5161","issue":"3","journalAbbreviation":"J. Hum. Genet.","language":"eng","note":"PMID: 17262170","page":"255-261","source":"PubMed","title":"A missense mutation in the chloride/proton ClC-5 antiporter gene results in increased expression of an alternative mRNA form that lacks exons 10 and 11. Identification of seven new CLCN5 mutations in patients with Dent's disease","volume":"52","author":[{"family":"Ramos-Trujillo","given":"Elena"},{"family":"González-Acosta","given":"Hilaria"},{"family":"Flores","given":"Carlos"},{"family":"García-Nieto","given":"Víctor"},{"family":"Guillén","given":"Encarna"},{"family":"Gracia","given":"Salvador"},{"family":"Vicente","given":"Carmen"},{"family":"Espinosa","given":"Laura"},{"family":"Maseda","given":"Maria A. Fernández"},{"family":"Santos","given":"Fernando"},{"family":"Camacho","given":"Juan A."},{"family":"Claverie-Martín","given":"Félix"}],"issued":{"date-parts":[["2007"]]}}}],"schema":"https://github.com/citation-style-language/schema/raw/master/csl-citation.json"} </w:instrText>
            </w:r>
            <w:r w:rsidRPr="00BC0897">
              <w:rPr>
                <w:rFonts w:ascii="Times New Roman" w:hAnsi="Times New Roman" w:cs="Times New Roman"/>
                <w:b/>
                <w:sz w:val="20"/>
                <w:szCs w:val="20"/>
                <w:lang w:val="en-US"/>
              </w:rPr>
              <w:fldChar w:fldCharType="separate"/>
            </w:r>
            <w:r w:rsidR="00040F98" w:rsidRPr="00BC0897">
              <w:rPr>
                <w:rFonts w:ascii="Times New Roman" w:hAnsi="Times New Roman" w:cs="Times New Roman"/>
                <w:sz w:val="20"/>
              </w:rPr>
              <w:t>(Ramos-Trujillo et al. 2007b)</w:t>
            </w:r>
            <w:r w:rsidRPr="00BC0897">
              <w:rPr>
                <w:rFonts w:ascii="Times New Roman" w:hAnsi="Times New Roman" w:cs="Times New Roman"/>
                <w:b/>
                <w:sz w:val="20"/>
                <w:szCs w:val="20"/>
                <w:lang w:val="en-US"/>
              </w:rPr>
              <w:fldChar w:fldCharType="end"/>
            </w:r>
          </w:p>
        </w:tc>
        <w:tc>
          <w:tcPr>
            <w:tcW w:w="1144" w:type="dxa"/>
            <w:vAlign w:val="center"/>
          </w:tcPr>
          <w:p w:rsidR="00646A25" w:rsidRPr="00BC0897" w:rsidRDefault="00646A25"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000F21AB" w:rsidRPr="00BC0897">
              <w:rPr>
                <w:rFonts w:ascii="Times New Roman" w:hAnsi="Times New Roman" w:cs="Times New Roman"/>
                <w:b/>
                <w:sz w:val="20"/>
                <w:szCs w:val="20"/>
                <w:lang w:val="en-US"/>
              </w:rPr>
              <w:instrText xml:space="preserve"> ADDIN ZOTERO_ITEM CSL_CITATION {"citationID":"RrFFi4q7","properties":{"formattedCitation":"(Cho et al. 2008)","plainCitation":"(Cho et al. 2008)","noteIndex":0},"citationItems":[{"id":1488,"uris":["http://zotero.org/users/local/jkkvYBSC/items/STXMLTSC"],"uri":["http://zotero.org/users/local/jkkvYBSC/items/STXMLTSC"],"itemData":{"id":1488,"type":"article-journal","abstract":"To date, two responsible genes for the development of Dent disease have been identified: CLCN5 and OCRL1. In this study, genotype-phenotype correlations were studied in patients with Dent disease and those with Lowe syndrome. Among the 12 boys with a phenotype typical of Dent disease, nine had a mutation in CLCN5 (Dent disease 1), two had a mutation in OCRL1 (Dent disease 2), and one had no mutations in either gene. All seven boys with a clinical diagnosis of Lowe syndrome had a mutation in OCRL1. Patients with Lowe syndrome showed more frequent hypophosphatemia/rickets and more prominent tubular proteinuria than patients with Dent disease 1, and patients with Dent disease 2 had higher degree of tubular proteinuria and hypercalciuria than patients with Dent disease 1. Additionally, one patient with Dent disease 2 showed a mild degree of developmental delay, elevated serum muscle enzyme levels, and cryptorchidism. In this study, the genetic heterogeneity in Dent disease and the phenotypic heterogeneity in Lowe syndrome were confirmed. In patients with Dent disease, the presence of the above-mentioned extrarenal manifestations indicates that it is more likely that the patient is affected by Dent disease 2 than by Dent disease 1.","container-title":"Pediatric Nephrology (Berlin, Germany)","DOI":"10.1007/s00467-007-0686-9","ISSN":"0931-041X","issue":"2","journalAbbreviation":"Pediatr. Nephrol.","language":"eng","note":"PMID: 18038239","page":"243-249","source":"PubMed","title":"Renal manifestations of Dent disease and Lowe syndrome","volume":"23","author":[{"family":"Cho","given":"Hee Yeon"},{"family":"Lee","given":"Bum Hee"},{"family":"Choi","given":"Hyun Jin"},{"family":"Ha","given":"Il Soo"},{"family":"Choi","given":"Yong"},{"family":"Cheong","given":"Hae Il"}],"issued":{"date-parts":[["2008",2]]}}}],"schema":"https://github.com/citation-style-language/schema/raw/master/csl-citation.json"} </w:instrText>
            </w:r>
            <w:r w:rsidRPr="00BC0897">
              <w:rPr>
                <w:rFonts w:ascii="Times New Roman" w:hAnsi="Times New Roman" w:cs="Times New Roman"/>
                <w:b/>
                <w:sz w:val="20"/>
                <w:szCs w:val="20"/>
                <w:lang w:val="en-US"/>
              </w:rPr>
              <w:fldChar w:fldCharType="separate"/>
            </w:r>
            <w:r w:rsidR="000F21AB" w:rsidRPr="00BC0897">
              <w:rPr>
                <w:rFonts w:ascii="Times New Roman" w:hAnsi="Times New Roman" w:cs="Times New Roman"/>
                <w:sz w:val="20"/>
                <w:szCs w:val="20"/>
              </w:rPr>
              <w:t>(Cho et al. 2008)</w:t>
            </w:r>
            <w:r w:rsidRPr="00BC0897">
              <w:rPr>
                <w:rFonts w:ascii="Times New Roman" w:hAnsi="Times New Roman" w:cs="Times New Roman"/>
                <w:b/>
                <w:sz w:val="20"/>
                <w:szCs w:val="20"/>
                <w:lang w:val="en-US"/>
              </w:rPr>
              <w:fldChar w:fldCharType="end"/>
            </w:r>
          </w:p>
        </w:tc>
        <w:tc>
          <w:tcPr>
            <w:tcW w:w="1144" w:type="dxa"/>
            <w:vAlign w:val="center"/>
            <w:hideMark/>
          </w:tcPr>
          <w:p w:rsidR="00646A25" w:rsidRPr="00BC0897" w:rsidRDefault="00646A25"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00040F98" w:rsidRPr="00BC0897">
              <w:rPr>
                <w:rFonts w:ascii="Times New Roman" w:hAnsi="Times New Roman" w:cs="Times New Roman"/>
                <w:b/>
                <w:sz w:val="20"/>
                <w:szCs w:val="20"/>
                <w:lang w:val="en-US"/>
              </w:rPr>
              <w:instrText xml:space="preserve"> ADDIN ZOTERO_ITEM CSL_CITATION {"citationID":"Vh0iz0jO","properties":{"formattedCitation":"(Saida et al. 2014)","plainCitation":"(Saida et al. 2014)","noteIndex":0},"citationItems":[{"id":1469,"uris":["http://zotero.org/users/local/jkkvYBSC/items/9AJYXX43"],"uri":["http://zotero.org/users/local/jkkvYBSC/items/9AJYXX43"],"itemData":{"id":1469,"type":"article-journal","abstract":"Dent disease is an inherited tubulopathy caused by a mutation in the CLCN5 chloride channel gene. In cases of Dent disease in Japan (Japanese Dent, J-Dent), renal function is generally preserved and rarely progresses to advanced kidney dysfunction. However, the long-term prognosis of J-Dent remains unknown. We report the case of a 32-year-old man with J-Dent who developed advanced kidney dysfunction. Since the age of 3 years, he persistently exhibited proteinuria, and examination of a kidney biopsy specimen indicated focal segmental glomerulosclerosis (FSGS)-like lesions. Repeated corticosteroid treatments were found to be ineffective. After the age of 18 years, the patient was lost to follow-up and treatment was discontinued. The patient presented to our hospital again at the age of 32 years with advanced kidney dysfunction with low-molecular-weight proteinuria (LMWP), along with proximal tubular dysfunction and nephrocalcinosis. The patient's 5-year-old nephew was also found to have LMWP from the age of 7 months. Therefore, Dent disease was suspected and genetic testing in the patient and his nephew revealed a CLCN5 mutation. Our case report suggests that J-Dent may cause advanced kidney dysfunction in adulthood, and, therefore, close collaboration between pediatricians and nephrologists is essential for the early identification of this complication. When male patients exhibit chronic kidney disease (CKD) of unknown etiology along with proximal tubular dysfunction and nephrocalcinosis, Dent disease should be considered. Investigations of undiagnosed adult J-Dent cases and further research on the natural history of J-Dent will help us better understand its clinical characteristics, prognosis, and effective treatment options.","container-title":"CEN case reports","DOI":"10.1007/s13730-013-0102-1","ISSN":"2192-4449","issue":"2","journalAbbreviation":"CEN Case Rep","language":"eng","note":"PMID: 28509186\nPMCID: PMC5411561","page":"132-138","source":"PubMed","title":"A case of adult Dent disease in Japan with advanced chronic kidney disease","volume":"3","author":[{"family":"Saida","given":"Ken"},{"family":"Kamijo","given":"Yuji"},{"family":"Matsuoka","given":"Daisuke"},{"family":"Noda","given":"Shunsuke"},{"family":"Hidaka","given":"Yoshihiko"},{"family":"Mori","given":"Tetsuo"},{"family":"Shimojo","given":"Hisashi"},{"family":"Ehara","given":"Takashi"},{"family":"Miura","given":"Kenichiro"},{"family":"Takita","given":"Junko"},{"family":"Sekine","given":"Takashi"},{"family":"Igarashi","given":"Takashi"},{"family":"Koike","given":"Kenichi"}],"issued":{"date-parts":[["2014",11]]}}}],"schema":"https://github.com/citation-style-language/schema/raw/master/csl-citation.json"} </w:instrText>
            </w:r>
            <w:r w:rsidRPr="00BC0897">
              <w:rPr>
                <w:rFonts w:ascii="Times New Roman" w:hAnsi="Times New Roman" w:cs="Times New Roman"/>
                <w:b/>
                <w:sz w:val="20"/>
                <w:szCs w:val="20"/>
                <w:lang w:val="en-US"/>
              </w:rPr>
              <w:fldChar w:fldCharType="separate"/>
            </w:r>
            <w:r w:rsidR="00040F98" w:rsidRPr="00BC0897">
              <w:rPr>
                <w:rFonts w:ascii="Times New Roman" w:hAnsi="Times New Roman" w:cs="Times New Roman"/>
                <w:sz w:val="20"/>
              </w:rPr>
              <w:t>(Saida et al. 2014)</w:t>
            </w:r>
            <w:r w:rsidRPr="00BC0897">
              <w:rPr>
                <w:rFonts w:ascii="Times New Roman" w:hAnsi="Times New Roman" w:cs="Times New Roman"/>
                <w:b/>
                <w:sz w:val="20"/>
                <w:szCs w:val="20"/>
                <w:lang w:val="en-US"/>
              </w:rPr>
              <w:fldChar w:fldCharType="end"/>
            </w:r>
            <w:r w:rsidRPr="00BC0897">
              <w:rPr>
                <w:rFonts w:ascii="Times New Roman" w:hAnsi="Times New Roman" w:cs="Times New Roman"/>
                <w:b/>
                <w:sz w:val="20"/>
                <w:szCs w:val="20"/>
                <w:lang w:val="en-US"/>
              </w:rPr>
              <w:br/>
              <w:t>*</w:t>
            </w:r>
            <w:r w:rsidRPr="00BC0897">
              <w:rPr>
                <w:rFonts w:ascii="Times New Roman" w:hAnsi="Times New Roman" w:cs="Times New Roman"/>
                <w:sz w:val="20"/>
                <w:szCs w:val="20"/>
                <w:lang w:val="en-US"/>
              </w:rPr>
              <w:t>1 female</w:t>
            </w:r>
          </w:p>
        </w:tc>
        <w:tc>
          <w:tcPr>
            <w:tcW w:w="1144" w:type="dxa"/>
            <w:vAlign w:val="center"/>
            <w:hideMark/>
          </w:tcPr>
          <w:p w:rsidR="00646A25" w:rsidRPr="00BC0897" w:rsidRDefault="00646A25"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000F21AB" w:rsidRPr="00BC0897">
              <w:rPr>
                <w:rFonts w:ascii="Times New Roman" w:hAnsi="Times New Roman" w:cs="Times New Roman"/>
                <w:b/>
                <w:sz w:val="20"/>
                <w:szCs w:val="20"/>
                <w:lang w:val="en-US"/>
              </w:rPr>
              <w:instrText xml:space="preserve"> ADDIN ZOTERO_ITEM CSL_CITATION {"citationID":"tRirfh35","properties":{"formattedCitation":"(Anglani et al. 2015)","plainCitation":"(Anglani et al. 2015)","noteIndex":0},"citationItems":[{"id":504,"uris":["http://zotero.org/users/local/jkkvYBSC/items/KW642SUV"],"uri":["http://zotero.org/users/local/jkkvYBSC/items/KW642SUV"],"itemData":{"id":504,"type":"article-journal","abstract":"Dent disease (DD) is a rare X-linked recessive renal tubulopathy characterised by low-molecular-weight proteinuria (LMWP), hypercalciuria, nephrocalcinosis and/or nephrolithiasis. DD is caused by mutations in both the CLCN5 and OCRL genes. CLCN5 encodes the electrogenic chloride/proton exchanger ClC-5 which is involved in the tubular reabsorption of albumin and LMW proteins, OCRL encodes the inositol polyphosphate 5-phosphatase, and was initially associated with Lowe syndrome. In approximately 25 % of patients, no CLCN5 and OCRL mutations were detected. The aim of our study was to evaluate whether calcium phosphate metabolism disorders and their clinical complications are differently distributed among DD patients with and without CLCN5 mutations. Sixty-four male subjects were studied and classified into three groups: Group I (with CLCN5 mutations), Group II (without CLCN5 mutations) and Group III (family members with the same CLCN5 mutation). LMWP, hypercalciuria and phosphaturic tubulopathy and the consequent clinical complications nephrocalcinosis, nephrolithiasis, bone disorders, and chronic kidney disease (CKD) were considered present or absent in each patient. We found that the distribution of nephrolithiasis, bone disorders and CKD differs among patients with and without CLCN5 mutations. Only in patients harbouring CLCN5 mutations was age-independent nephrolithiasis associated with hypercalciuria, suggesting that nephrolithiasis is linked to altered proximal tubular function caused by a loss of ClC-5 function, in agreement with ClC-5 KO animal models. Similarly, only in patients harbouring CLCN5 mutations was age-independent kidney failure associated with nephrocalcinosis, suggesting that kidney failure is the consequence of a ClC-5 dysfunction, as in ClC-5 KO animal models. Bone disorders are a relevant feature of DD phenotype, as patients were mainly young males and this complication occurred independently of age. The triad of symptoms, LMWP, hypercalciuria, and nephrocalcinosis, was present in almost all patients with CLCN5 mutations but not in those without CLCN5 mutations. This lack of homogeneity of clinical manifestations suggests that the difference in phenotypes between the two groups might reflect different pathophysiological mechanisms, probably depending on the diverse genes involved. Overall, our results might suggest that in patients without CLCN5 mutations several genes instead of the prospected third DD underpin patients' phenotypes.","container-title":"SpringerPlus","DOI":"10.1186/s40064-015-1294-y","ISSN":"2193-1801","journalAbbreviation":"Springerplus","language":"eng","note":"PMID: 26389017\nPMCID: PMC4571032","page":"492","source":"PubMed","title":"Nephrolithiasis, kidney failure and bone disorders in Dent disease patients with and without CLCN5 mutations","volume":"4","author":[{"family":"Anglani","given":"Franca"},{"family":"D'Angelo","given":"Angela"},{"family":"Bertizzolo","given":"Luisa Maria"},{"family":"Tosetto","given":"Enrica"},{"family":"Ceol","given":"Monica"},{"family":"Cremasco","given":"Daniela"},{"family":"Bonfante","given":"Luciana"},{"family":"Addis","given":"Maria Antonietta"},{"family":"Del Prete","given":"Dorella"},{"literal":"Dent Disease Italian Network"}],"issued":{"date-parts":[["2015"]]}}}],"schema":"https://github.com/citation-style-language/schema/raw/master/csl-citation.json"} </w:instrText>
            </w:r>
            <w:r w:rsidRPr="00BC0897">
              <w:rPr>
                <w:rFonts w:ascii="Times New Roman" w:hAnsi="Times New Roman" w:cs="Times New Roman"/>
                <w:b/>
                <w:sz w:val="20"/>
                <w:szCs w:val="20"/>
                <w:lang w:val="en-US"/>
              </w:rPr>
              <w:fldChar w:fldCharType="separate"/>
            </w:r>
            <w:r w:rsidR="000F21AB" w:rsidRPr="00BC0897">
              <w:rPr>
                <w:rFonts w:ascii="Times New Roman" w:hAnsi="Times New Roman" w:cs="Times New Roman"/>
                <w:sz w:val="20"/>
                <w:szCs w:val="20"/>
              </w:rPr>
              <w:t>(Anglani et al. 2015)</w:t>
            </w:r>
            <w:r w:rsidRPr="00BC0897">
              <w:rPr>
                <w:rFonts w:ascii="Times New Roman" w:hAnsi="Times New Roman" w:cs="Times New Roman"/>
                <w:b/>
                <w:sz w:val="20"/>
                <w:szCs w:val="20"/>
                <w:lang w:val="en-US"/>
              </w:rPr>
              <w:fldChar w:fldCharType="end"/>
            </w:r>
          </w:p>
        </w:tc>
        <w:tc>
          <w:tcPr>
            <w:tcW w:w="1144" w:type="dxa"/>
            <w:vAlign w:val="center"/>
            <w:hideMark/>
          </w:tcPr>
          <w:p w:rsidR="00646A25" w:rsidRPr="00BC0897" w:rsidRDefault="00646A25"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000F21AB" w:rsidRPr="00BC0897">
              <w:rPr>
                <w:rFonts w:ascii="Times New Roman" w:hAnsi="Times New Roman" w:cs="Times New Roman"/>
                <w:b/>
                <w:sz w:val="20"/>
                <w:szCs w:val="20"/>
                <w:lang w:val="en-US"/>
              </w:rPr>
              <w:instrText xml:space="preserve"> ADDIN ZOTERO_ITEM CSL_CITATION {"citationID":"q1P9f1xK","properties":{"formattedCitation":"(Wang et al. 2016)","plainCitation":"(Wang et al. 2016)","noteIndex":0},"citationItems":[{"id":256,"uris":["http://zotero.org/users/local/jkkvYBSC/items/68BYVDJ6"],"uri":["http://zotero.org/users/local/jkkvYBSC/items/68BYVDJ6"],"itemData":{"id":256,"type":"article-journal","abstract":"BACKGROUND AND OBJECTIVES: Dent disease is a rare X-linked disorder characterized by low molecular weight proteinuria and often considered a renal tubular disease. However, glomerulosclerosis was recently reported in several patients. Thus, Dent disease renal histopathologic features were characterized and assessed, and their association with kidney function was assessed.\nDESIGN, SETTING, PARTICIPANTS, &amp; MEASUREMENTS: Clinical renal pathology reports and slides (where available) were collected from 30 boys and men in eight countries who had undergone clinical renal biopsy between 1995 and 2014.\nRESULTS: Median (25th, 75th percentiles) age at biopsy was 7.5 (5, 19) years with an eGFR of 69 (44, 94) ml/min per 1.73 m2 and a 24-hour urine protein of 2000 (1325, 2936) mg. A repeat biopsy for steroid-resistant proteinuria was performed in 13% (four of 30) of the patients. Prominent histologic findings included focal global glomerulosclerosis in 83% (25 of 30; affecting 16%±19% glomeruli), mild segmental foot process effacement in 57% (13 of 23), focal interstitial fibrosis in 60% (18 of 30), interstitial lymphocytic infiltration in 53% (16 of 30), and tubular damage in 70% (21 of 30). Higher percentages of globally sclerotic glomeruli, foot process effacement, and interstitial inflammation were associated with lower eGFR at biopsy, whereas foot process effacement was associated with steeper annual eGFR decline.\nCONCLUSIONS: These associations suggest a potential role for glomerular pathology, specifically involving the podocyte, in disease progression, which deserves further study. Furthermore, Dent disease should be suspected in boys and men who have unexplained proteinuria with focal global glomerulosclerosis and segmental foot process effacement on renal biopsy.","container-title":"Clinical journal of the American Society of Nephrology: CJASN","DOI":"10.2215/CJN.03710416","ISSN":"1555-905X","issue":"12","journalAbbreviation":"Clin J Am Soc Nephrol","language":"eng","note":"PMID: 27697782\nPMCID: PMC5142066","page":"2168-2176","source":"PubMed","title":"Glomerular Pathology in Dent Disease and Its Association with Kidney Function","volume":"11","author":[{"family":"Wang","given":"Xiangling"},{"family":"Anglani","given":"Franca"},{"family":"Beara-Lasic","given":"Lada"},{"family":"Mehta","given":"Anila J."},{"family":"Vaughan","given":"Lisa E."},{"family":"Herrera Hernandez","given":"Loren"},{"family":"Cogal","given":"Andrea"},{"family":"Scheinman","given":"Steven J."},{"family":"Ariceta","given":"Gema"},{"family":"Isom","given":"Robert"},{"family":"Copelovitch","given":"Lawrence"},{"family":"Enders","given":"Felicity T."},{"family":"Del Prete","given":"Dorella"},{"family":"Vezzoli","given":"Giuseppe"},{"family":"Paglialonga","given":"Fabio"},{"family":"Harris","given":"Peter C."},{"family":"Lieske","given":"John C."},{"literal":"Investigators of the Rare Kidney Stone Consortium"}],"issued":{"date-parts":[["2016"]],"season":"07"}}}],"schema":"https://github.com/citation-style-language/schema/raw/master/csl-citation.json"} </w:instrText>
            </w:r>
            <w:r w:rsidRPr="00BC0897">
              <w:rPr>
                <w:rFonts w:ascii="Times New Roman" w:hAnsi="Times New Roman" w:cs="Times New Roman"/>
                <w:b/>
                <w:sz w:val="20"/>
                <w:szCs w:val="20"/>
                <w:lang w:val="en-US"/>
              </w:rPr>
              <w:fldChar w:fldCharType="separate"/>
            </w:r>
            <w:r w:rsidR="000F21AB" w:rsidRPr="00BC0897">
              <w:rPr>
                <w:rFonts w:ascii="Times New Roman" w:hAnsi="Times New Roman" w:cs="Times New Roman"/>
                <w:sz w:val="20"/>
                <w:szCs w:val="20"/>
              </w:rPr>
              <w:t>(Wang et al. 2016)</w:t>
            </w:r>
            <w:r w:rsidRPr="00BC0897">
              <w:rPr>
                <w:rFonts w:ascii="Times New Roman" w:hAnsi="Times New Roman" w:cs="Times New Roman"/>
                <w:b/>
                <w:sz w:val="20"/>
                <w:szCs w:val="20"/>
                <w:lang w:val="en-US"/>
              </w:rPr>
              <w:fldChar w:fldCharType="end"/>
            </w:r>
          </w:p>
        </w:tc>
        <w:tc>
          <w:tcPr>
            <w:tcW w:w="1144" w:type="dxa"/>
            <w:vAlign w:val="center"/>
            <w:hideMark/>
          </w:tcPr>
          <w:p w:rsidR="00646A25" w:rsidRPr="00BC0897" w:rsidRDefault="00646A25" w:rsidP="00A44008">
            <w:pPr>
              <w:spacing w:after="0"/>
              <w:jc w:val="center"/>
              <w:rPr>
                <w:rFonts w:ascii="Times New Roman" w:hAnsi="Times New Roman" w:cs="Times New Roman"/>
                <w:b/>
                <w:sz w:val="20"/>
                <w:szCs w:val="20"/>
                <w:lang w:val="en-US"/>
              </w:rPr>
            </w:pPr>
            <w:r w:rsidRPr="00BC0897">
              <w:rPr>
                <w:rFonts w:ascii="Times New Roman" w:hAnsi="Times New Roman" w:cs="Times New Roman"/>
                <w:b/>
                <w:sz w:val="20"/>
                <w:szCs w:val="20"/>
                <w:lang w:val="en-US"/>
              </w:rPr>
              <w:fldChar w:fldCharType="begin"/>
            </w:r>
            <w:r w:rsidR="000F21AB" w:rsidRPr="00BC0897">
              <w:rPr>
                <w:rFonts w:ascii="Times New Roman" w:hAnsi="Times New Roman" w:cs="Times New Roman"/>
                <w:b/>
                <w:sz w:val="20"/>
                <w:szCs w:val="20"/>
                <w:lang w:val="en-US"/>
              </w:rPr>
              <w:instrText xml:space="preserve"> ADDIN ZOTERO_ITEM CSL_CITATION {"citationID":"TfgAmvs4","properties":{"formattedCitation":"(Zhang et al. 2017)","plainCitation":"(Zhang et al. 2017)","noteIndex":0},"citationItems":[{"id":27,"uris":["http://zotero.org/users/local/jkkvYBSC/items/WAC5SMPK"],"uri":["http://zotero.org/users/local/jkkvYBSC/items/WAC5SMPK"],"itemData":{"id":27,"type":"article-journal","abstract":"Dent's disease is an X-linked inherited renal disease. Patients with Dent's disease often carry mutations in genes encoding the Cl-/H+ exchanger ClC-5 and/or inositol polyphosphate 5-phosphatase (OCRL1). However, the mutations involved and the biochemical effects of these mutations are not fully understood. To characterize genetic changes in Dent's disease patients, in this study, samples from nine Chinese patients were subjected to genetic analysis. Among the nine patients, six were classified as having Dent-1 disease, one had Dent-2 disease, and two could not be classified. Expression of ClC-5 carrying Dent's disease-associated mutations in HEK293 cells had varying effects: (1) no detectable expression of mutant protein; (2) retention of a truncated protein in the endoplasmic reticulum; or (3) diminished protein expression with normal distribution in early endosomes. Dent's disease patients showed genetic heterogeneity and over 20% of patients did not have CLCN5 or OCRL1 mutations, suggesting the existence of other genetic factors. Using next-generation sequencing, we identified possible modifier genes that have not been previously reported in Dent's disease patients. Heterozygous variants in CFTR, SCNN1A, and SCNN1B genes associated with cystic fibrosis (CF) or CF-like disease were detected in four of our nine patients. These results may form the basis for future characterization of Dent's disease and genetic counseling approaches.","container-title":"DNA and cell biology","DOI":"10.1089/dna.2017.3731","ISSN":"1557-7430","issue":"12","journalAbbreviation":"DNA Cell Biol.","language":"eng","note":"PMID: 29058463","page":"1151-1158","source":"PubMed","title":"Genetic Analysis of Dent's Disease and Functional Research of CLCN5 Mutations","volume":"36","author":[{"family":"Zhang","given":"Ya"},{"family":"Fang","given":"Xiaoyan"},{"family":"Xu","given":"Hong"},{"family":"Shen","given":"Qian"}],"issued":{"date-parts":[["2017",12]]}}}],"schema":"https://github.com/citation-style-language/schema/raw/master/csl-citation.json"} </w:instrText>
            </w:r>
            <w:r w:rsidRPr="00BC0897">
              <w:rPr>
                <w:rFonts w:ascii="Times New Roman" w:hAnsi="Times New Roman" w:cs="Times New Roman"/>
                <w:b/>
                <w:sz w:val="20"/>
                <w:szCs w:val="20"/>
                <w:lang w:val="en-US"/>
              </w:rPr>
              <w:fldChar w:fldCharType="separate"/>
            </w:r>
            <w:r w:rsidR="000F21AB" w:rsidRPr="00BC0897">
              <w:rPr>
                <w:rFonts w:ascii="Times New Roman" w:hAnsi="Times New Roman" w:cs="Times New Roman"/>
                <w:sz w:val="20"/>
                <w:szCs w:val="20"/>
              </w:rPr>
              <w:t>(Zhang et al. 2017)</w:t>
            </w:r>
            <w:r w:rsidRPr="00BC0897">
              <w:rPr>
                <w:rFonts w:ascii="Times New Roman" w:hAnsi="Times New Roman" w:cs="Times New Roman"/>
                <w:b/>
                <w:sz w:val="20"/>
                <w:szCs w:val="20"/>
                <w:lang w:val="en-US"/>
              </w:rPr>
              <w:fldChar w:fldCharType="end"/>
            </w:r>
          </w:p>
        </w:tc>
      </w:tr>
      <w:tr w:rsidR="00646A25" w:rsidRPr="00BC0897" w:rsidTr="00C228AD">
        <w:trPr>
          <w:trHeight w:val="300"/>
        </w:trPr>
        <w:tc>
          <w:tcPr>
            <w:tcW w:w="2547" w:type="dxa"/>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n</w:t>
            </w:r>
          </w:p>
        </w:tc>
        <w:tc>
          <w:tcPr>
            <w:tcW w:w="850"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64</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8</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14</w:t>
            </w:r>
          </w:p>
        </w:tc>
        <w:tc>
          <w:tcPr>
            <w:tcW w:w="114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14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14</w:t>
            </w:r>
          </w:p>
        </w:tc>
        <w:tc>
          <w:tcPr>
            <w:tcW w:w="114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17</w:t>
            </w:r>
          </w:p>
        </w:tc>
        <w:tc>
          <w:tcPr>
            <w:tcW w:w="114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w:t>
            </w:r>
          </w:p>
        </w:tc>
        <w:tc>
          <w:tcPr>
            <w:tcW w:w="114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r>
      <w:tr w:rsidR="00646A25" w:rsidRPr="00BC0897" w:rsidTr="00C228AD">
        <w:trPr>
          <w:trHeight w:val="300"/>
        </w:trPr>
        <w:tc>
          <w:tcPr>
            <w:tcW w:w="2547"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Population</w:t>
            </w:r>
          </w:p>
        </w:tc>
        <w:tc>
          <w:tcPr>
            <w:tcW w:w="85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Global</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European</w:t>
            </w: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Japanese</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Spanish</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Korean</w:t>
            </w: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Japanese</w:t>
            </w: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Italian</w:t>
            </w: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Global</w:t>
            </w:r>
          </w:p>
        </w:tc>
        <w:tc>
          <w:tcPr>
            <w:tcW w:w="114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Chinese</w:t>
            </w:r>
          </w:p>
        </w:tc>
      </w:tr>
      <w:tr w:rsidR="00646A25" w:rsidRPr="00BC0897" w:rsidTr="00C228AD">
        <w:trPr>
          <w:trHeight w:val="300"/>
        </w:trPr>
        <w:tc>
          <w:tcPr>
            <w:tcW w:w="2547" w:type="dxa"/>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Age (years, range)</w:t>
            </w:r>
          </w:p>
        </w:tc>
        <w:tc>
          <w:tcPr>
            <w:tcW w:w="850"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2-58</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4-17</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2-51</w:t>
            </w:r>
          </w:p>
        </w:tc>
        <w:tc>
          <w:tcPr>
            <w:tcW w:w="114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3.5</w:t>
            </w:r>
          </w:p>
        </w:tc>
        <w:tc>
          <w:tcPr>
            <w:tcW w:w="114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14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2-58</w:t>
            </w:r>
          </w:p>
        </w:tc>
        <w:tc>
          <w:tcPr>
            <w:tcW w:w="114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38-48</w:t>
            </w:r>
          </w:p>
        </w:tc>
        <w:tc>
          <w:tcPr>
            <w:tcW w:w="1144"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8</w:t>
            </w:r>
          </w:p>
        </w:tc>
      </w:tr>
      <w:tr w:rsidR="00646A25" w:rsidRPr="00BC0897" w:rsidTr="00C228AD">
        <w:trPr>
          <w:trHeight w:val="300"/>
        </w:trPr>
        <w:tc>
          <w:tcPr>
            <w:tcW w:w="2547"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LMWP</w:t>
            </w:r>
          </w:p>
        </w:tc>
        <w:tc>
          <w:tcPr>
            <w:tcW w:w="85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64/64</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8/8</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14/14</w:t>
            </w: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5/5</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2/2</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14/14</w:t>
            </w: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17/17</w:t>
            </w: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2/2</w:t>
            </w: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r>
      <w:tr w:rsidR="00646A25" w:rsidRPr="00BC0897" w:rsidTr="00C228AD">
        <w:trPr>
          <w:trHeight w:val="300"/>
        </w:trPr>
        <w:tc>
          <w:tcPr>
            <w:tcW w:w="2547"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Hypercalciuria</w:t>
            </w:r>
          </w:p>
        </w:tc>
        <w:tc>
          <w:tcPr>
            <w:tcW w:w="85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44/59</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8/8</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11/14</w:t>
            </w: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3/5</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2/2</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5/9</w:t>
            </w: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12/17</w:t>
            </w: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1/2</w:t>
            </w: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r>
      <w:tr w:rsidR="00646A25" w:rsidRPr="00BC0897" w:rsidTr="00C228AD">
        <w:trPr>
          <w:trHeight w:val="300"/>
        </w:trPr>
        <w:tc>
          <w:tcPr>
            <w:tcW w:w="2547"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Hematuria</w:t>
            </w:r>
          </w:p>
        </w:tc>
        <w:tc>
          <w:tcPr>
            <w:tcW w:w="85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1/7</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0/5</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r>
      <w:tr w:rsidR="00646A25" w:rsidRPr="00BC0897" w:rsidTr="00C228AD">
        <w:trPr>
          <w:trHeight w:val="300"/>
        </w:trPr>
        <w:tc>
          <w:tcPr>
            <w:tcW w:w="2547"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Renal failure</w:t>
            </w:r>
          </w:p>
        </w:tc>
        <w:tc>
          <w:tcPr>
            <w:tcW w:w="85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13/58</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2/7</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2/14</w:t>
            </w: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0/5</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2/11</w:t>
            </w: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4/17</w:t>
            </w: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2/2</w:t>
            </w: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r>
      <w:tr w:rsidR="00646A25" w:rsidRPr="00BC0897" w:rsidTr="00C228AD">
        <w:trPr>
          <w:trHeight w:val="300"/>
        </w:trPr>
        <w:tc>
          <w:tcPr>
            <w:tcW w:w="2547"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Aminoaciduria</w:t>
            </w:r>
          </w:p>
        </w:tc>
        <w:tc>
          <w:tcPr>
            <w:tcW w:w="85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3/5</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3/5</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BC0897" w:rsidTr="00C228AD">
        <w:trPr>
          <w:trHeight w:val="300"/>
        </w:trPr>
        <w:tc>
          <w:tcPr>
            <w:tcW w:w="2547"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Hyperphosphaturia</w:t>
            </w:r>
          </w:p>
        </w:tc>
        <w:tc>
          <w:tcPr>
            <w:tcW w:w="85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9/17</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9/17</w:t>
            </w: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BC0897" w:rsidTr="00C228AD">
        <w:trPr>
          <w:trHeight w:val="300"/>
        </w:trPr>
        <w:tc>
          <w:tcPr>
            <w:tcW w:w="2547"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Bone disorders</w:t>
            </w:r>
          </w:p>
        </w:tc>
        <w:tc>
          <w:tcPr>
            <w:tcW w:w="85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10/54</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3/6</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1/14</w:t>
            </w: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1/14</w:t>
            </w: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5/17</w:t>
            </w: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0/2</w:t>
            </w: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r>
      <w:tr w:rsidR="00646A25" w:rsidRPr="00BC0897" w:rsidTr="00C228AD">
        <w:trPr>
          <w:trHeight w:val="300"/>
        </w:trPr>
        <w:tc>
          <w:tcPr>
            <w:tcW w:w="2547"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Glycosuria</w:t>
            </w:r>
          </w:p>
        </w:tc>
        <w:tc>
          <w:tcPr>
            <w:tcW w:w="85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5/7</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4/6</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BC0897" w:rsidTr="00C228AD">
        <w:trPr>
          <w:trHeight w:val="300"/>
        </w:trPr>
        <w:tc>
          <w:tcPr>
            <w:tcW w:w="2547" w:type="dxa"/>
            <w:noWrap/>
            <w:vAlign w:val="center"/>
            <w:hideMark/>
          </w:tcPr>
          <w:p w:rsidR="00646A25" w:rsidRPr="00BC0897" w:rsidRDefault="00646A25" w:rsidP="00C228AD">
            <w:pPr>
              <w:spacing w:after="0"/>
              <w:rPr>
                <w:rFonts w:ascii="Times New Roman" w:hAnsi="Times New Roman" w:cs="Times New Roman"/>
                <w:b/>
                <w:sz w:val="20"/>
                <w:szCs w:val="20"/>
                <w:lang w:val="en-US"/>
              </w:rPr>
            </w:pPr>
            <w:proofErr w:type="spellStart"/>
            <w:r w:rsidRPr="00BC0897">
              <w:rPr>
                <w:rFonts w:ascii="Times New Roman" w:hAnsi="Times New Roman" w:cs="Times New Roman"/>
                <w:b/>
                <w:sz w:val="20"/>
                <w:szCs w:val="20"/>
                <w:lang w:val="en-US"/>
              </w:rPr>
              <w:t>Fanconi</w:t>
            </w:r>
            <w:proofErr w:type="spellEnd"/>
            <w:r w:rsidRPr="00BC0897">
              <w:rPr>
                <w:rFonts w:ascii="Times New Roman" w:hAnsi="Times New Roman" w:cs="Times New Roman"/>
                <w:b/>
                <w:sz w:val="20"/>
                <w:szCs w:val="20"/>
                <w:lang w:val="en-US"/>
              </w:rPr>
              <w:t xml:space="preserve"> complete</w:t>
            </w:r>
          </w:p>
        </w:tc>
        <w:tc>
          <w:tcPr>
            <w:tcW w:w="85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0/14</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0/14</w:t>
            </w: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BC0897" w:rsidTr="00C228AD">
        <w:trPr>
          <w:trHeight w:val="300"/>
        </w:trPr>
        <w:tc>
          <w:tcPr>
            <w:tcW w:w="2547"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Hypophosphatemia</w:t>
            </w:r>
          </w:p>
        </w:tc>
        <w:tc>
          <w:tcPr>
            <w:tcW w:w="85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6/13</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4/7</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1/5</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BC0897" w:rsidTr="00C228AD">
        <w:trPr>
          <w:trHeight w:val="300"/>
        </w:trPr>
        <w:tc>
          <w:tcPr>
            <w:tcW w:w="2547"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Nephrocalcinosis</w:t>
            </w:r>
          </w:p>
        </w:tc>
        <w:tc>
          <w:tcPr>
            <w:tcW w:w="85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19/34</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7/7</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5/9</w:t>
            </w: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7/17</w:t>
            </w: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r>
      <w:tr w:rsidR="00646A25" w:rsidRPr="00BC0897" w:rsidTr="00C228AD">
        <w:trPr>
          <w:trHeight w:val="300"/>
        </w:trPr>
        <w:tc>
          <w:tcPr>
            <w:tcW w:w="2547" w:type="dxa"/>
            <w:noWrap/>
            <w:vAlign w:val="center"/>
            <w:hideMark/>
          </w:tcPr>
          <w:p w:rsidR="00646A25" w:rsidRPr="00BC0897" w:rsidRDefault="00345414"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Nephrolithiasis</w:t>
            </w:r>
          </w:p>
        </w:tc>
        <w:tc>
          <w:tcPr>
            <w:tcW w:w="85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8/27</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1/7</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5/17</w:t>
            </w: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2/2</w:t>
            </w: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r>
      <w:tr w:rsidR="00646A25" w:rsidRPr="00BC0897" w:rsidTr="00C228AD">
        <w:trPr>
          <w:trHeight w:val="300"/>
        </w:trPr>
        <w:tc>
          <w:tcPr>
            <w:tcW w:w="2547"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Cataract</w:t>
            </w:r>
          </w:p>
        </w:tc>
        <w:tc>
          <w:tcPr>
            <w:tcW w:w="85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0/5</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0/5</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BC0897" w:rsidTr="00C228AD">
        <w:trPr>
          <w:trHeight w:val="300"/>
        </w:trPr>
        <w:tc>
          <w:tcPr>
            <w:tcW w:w="2547" w:type="dxa"/>
            <w:noWrap/>
            <w:vAlign w:val="center"/>
            <w:hideMark/>
          </w:tcPr>
          <w:p w:rsidR="00646A25" w:rsidRPr="00BC0897" w:rsidRDefault="00284980"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Intellectual disability</w:t>
            </w:r>
          </w:p>
        </w:tc>
        <w:tc>
          <w:tcPr>
            <w:tcW w:w="85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0/5</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0/5</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BC0897" w:rsidTr="00C228AD">
        <w:trPr>
          <w:trHeight w:val="300"/>
        </w:trPr>
        <w:tc>
          <w:tcPr>
            <w:tcW w:w="2547"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Behavioral alteration</w:t>
            </w:r>
          </w:p>
        </w:tc>
        <w:tc>
          <w:tcPr>
            <w:tcW w:w="85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0/5</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0/5</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BC0897" w:rsidTr="00C228AD">
        <w:trPr>
          <w:trHeight w:val="300"/>
        </w:trPr>
        <w:tc>
          <w:tcPr>
            <w:tcW w:w="2547"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Neurological symptoms</w:t>
            </w:r>
          </w:p>
        </w:tc>
        <w:tc>
          <w:tcPr>
            <w:tcW w:w="85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0/1</w:t>
            </w: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BC0897" w:rsidTr="00C228AD">
        <w:trPr>
          <w:trHeight w:val="300"/>
        </w:trPr>
        <w:tc>
          <w:tcPr>
            <w:tcW w:w="2547"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Hypotonia</w:t>
            </w:r>
          </w:p>
        </w:tc>
        <w:tc>
          <w:tcPr>
            <w:tcW w:w="85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0/5</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0/5</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r w:rsidR="00646A25" w:rsidRPr="00BC0897" w:rsidTr="00C228AD">
        <w:trPr>
          <w:trHeight w:val="300"/>
        </w:trPr>
        <w:tc>
          <w:tcPr>
            <w:tcW w:w="2547" w:type="dxa"/>
            <w:noWrap/>
            <w:vAlign w:val="center"/>
            <w:hideMark/>
          </w:tcPr>
          <w:p w:rsidR="00646A25" w:rsidRPr="00BC0897" w:rsidRDefault="00646A25" w:rsidP="00C228AD">
            <w:pPr>
              <w:spacing w:after="0"/>
              <w:rPr>
                <w:rFonts w:ascii="Times New Roman" w:hAnsi="Times New Roman" w:cs="Times New Roman"/>
                <w:b/>
                <w:sz w:val="20"/>
                <w:szCs w:val="20"/>
                <w:lang w:val="en-US"/>
              </w:rPr>
            </w:pPr>
            <w:r w:rsidRPr="00BC0897">
              <w:rPr>
                <w:rFonts w:ascii="Times New Roman" w:hAnsi="Times New Roman" w:cs="Times New Roman"/>
                <w:b/>
                <w:sz w:val="20"/>
                <w:szCs w:val="20"/>
                <w:lang w:val="en-US"/>
              </w:rPr>
              <w:t>Hyperuricosuria</w:t>
            </w:r>
          </w:p>
        </w:tc>
        <w:tc>
          <w:tcPr>
            <w:tcW w:w="850"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vAlign w:val="center"/>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1/1</w:t>
            </w: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144"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p>
        </w:tc>
      </w:tr>
    </w:tbl>
    <w:p w:rsidR="00646A25" w:rsidRPr="00BC0897" w:rsidRDefault="00646A25" w:rsidP="00C228AD">
      <w:pPr>
        <w:spacing w:after="0" w:line="240" w:lineRule="auto"/>
        <w:rPr>
          <w:rFonts w:ascii="Times New Roman" w:hAnsi="Times New Roman" w:cs="Times New Roman"/>
          <w:sz w:val="20"/>
          <w:szCs w:val="20"/>
          <w:lang w:val="en-US"/>
        </w:rPr>
      </w:pPr>
      <w:r w:rsidRPr="00BC0897">
        <w:rPr>
          <w:rFonts w:ascii="Times New Roman" w:hAnsi="Times New Roman" w:cs="Times New Roman"/>
          <w:sz w:val="20"/>
          <w:szCs w:val="20"/>
          <w:lang w:val="en-US"/>
        </w:rPr>
        <w:t>LMWP: Low-molecular-weight proteinuria</w:t>
      </w:r>
    </w:p>
    <w:p w:rsidR="00646A25" w:rsidRPr="00BC0897" w:rsidRDefault="00646A25">
      <w:pPr>
        <w:spacing w:after="200" w:line="276" w:lineRule="auto"/>
        <w:rPr>
          <w:rFonts w:ascii="Times New Roman" w:hAnsi="Times New Roman" w:cs="Times New Roman"/>
          <w:b/>
          <w:sz w:val="20"/>
          <w:szCs w:val="20"/>
          <w:lang w:val="en-US"/>
        </w:rPr>
      </w:pPr>
      <w:r w:rsidRPr="00BC0897">
        <w:rPr>
          <w:rFonts w:ascii="Times New Roman" w:hAnsi="Times New Roman" w:cs="Times New Roman"/>
          <w:b/>
          <w:sz w:val="20"/>
          <w:szCs w:val="20"/>
          <w:lang w:val="en-US"/>
        </w:rPr>
        <w:br w:type="page"/>
      </w:r>
    </w:p>
    <w:p w:rsidR="00646A25" w:rsidRPr="00BC0897" w:rsidRDefault="00646A25" w:rsidP="00646A25">
      <w:pPr>
        <w:spacing w:after="0" w:line="240" w:lineRule="auto"/>
        <w:jc w:val="both"/>
        <w:rPr>
          <w:rFonts w:ascii="Times New Roman" w:hAnsi="Times New Roman" w:cs="Times New Roman"/>
          <w:sz w:val="20"/>
          <w:szCs w:val="20"/>
          <w:lang w:val="en-US"/>
        </w:rPr>
      </w:pPr>
      <w:r w:rsidRPr="00BC0897">
        <w:rPr>
          <w:rFonts w:ascii="Times New Roman" w:hAnsi="Times New Roman" w:cs="Times New Roman"/>
          <w:b/>
          <w:sz w:val="20"/>
          <w:szCs w:val="20"/>
          <w:lang w:val="en-US"/>
        </w:rPr>
        <w:lastRenderedPageBreak/>
        <w:t xml:space="preserve">Supplementary table 5: </w:t>
      </w:r>
      <w:r w:rsidRPr="00BC0897">
        <w:rPr>
          <w:rFonts w:ascii="Times New Roman" w:hAnsi="Times New Roman" w:cs="Times New Roman"/>
          <w:sz w:val="20"/>
          <w:szCs w:val="20"/>
          <w:lang w:val="en-US"/>
        </w:rPr>
        <w:t xml:space="preserve">Kidney biopsies of Dent disease patients. Nucleotide numbering is according to the </w:t>
      </w:r>
      <w:r w:rsidRPr="00BC0897">
        <w:rPr>
          <w:rFonts w:ascii="Times New Roman" w:hAnsi="Times New Roman" w:cs="Times New Roman"/>
          <w:i/>
          <w:sz w:val="20"/>
          <w:szCs w:val="20"/>
          <w:lang w:val="en-US"/>
        </w:rPr>
        <w:t>CLCN5</w:t>
      </w:r>
      <w:r w:rsidRPr="00BC0897">
        <w:rPr>
          <w:rFonts w:ascii="Times New Roman" w:hAnsi="Times New Roman" w:cs="Times New Roman"/>
          <w:sz w:val="20"/>
          <w:szCs w:val="20"/>
          <w:lang w:val="en-US"/>
        </w:rPr>
        <w:t xml:space="preserve"> cDNA sequence (</w:t>
      </w:r>
      <w:proofErr w:type="spellStart"/>
      <w:r w:rsidRPr="00BC0897">
        <w:rPr>
          <w:rFonts w:ascii="Times New Roman" w:hAnsi="Times New Roman" w:cs="Times New Roman"/>
          <w:sz w:val="20"/>
          <w:szCs w:val="20"/>
          <w:lang w:val="en-US"/>
        </w:rPr>
        <w:t>GenBank</w:t>
      </w:r>
      <w:proofErr w:type="spellEnd"/>
      <w:r w:rsidRPr="00BC0897">
        <w:rPr>
          <w:rFonts w:ascii="Times New Roman" w:hAnsi="Times New Roman" w:cs="Times New Roman"/>
          <w:sz w:val="20"/>
          <w:szCs w:val="20"/>
          <w:lang w:val="en-US"/>
        </w:rPr>
        <w:t xml:space="preserve"> entry NM_000084.4). The A of the ATG of the Methionine initiation codon is defined as nucleotide 1.</w:t>
      </w:r>
    </w:p>
    <w:p w:rsidR="00D86D41" w:rsidRPr="00BC0897" w:rsidRDefault="00D86D41" w:rsidP="00646A25">
      <w:pPr>
        <w:spacing w:after="0" w:line="240" w:lineRule="auto"/>
        <w:jc w:val="both"/>
        <w:rPr>
          <w:rFonts w:ascii="Times New Roman" w:hAnsi="Times New Roman" w:cs="Times New Roman"/>
          <w:b/>
          <w:sz w:val="20"/>
          <w:szCs w:val="20"/>
          <w:lang w:val="en-US"/>
        </w:rPr>
      </w:pPr>
    </w:p>
    <w:tbl>
      <w:tblPr>
        <w:tblStyle w:val="Grigliatabella"/>
        <w:tblW w:w="15196" w:type="dxa"/>
        <w:tblLayout w:type="fixed"/>
        <w:tblLook w:val="04A0" w:firstRow="1" w:lastRow="0" w:firstColumn="1" w:lastColumn="0" w:noHBand="0" w:noVBand="1"/>
      </w:tblPr>
      <w:tblGrid>
        <w:gridCol w:w="846"/>
        <w:gridCol w:w="1843"/>
        <w:gridCol w:w="1872"/>
        <w:gridCol w:w="2835"/>
        <w:gridCol w:w="2555"/>
        <w:gridCol w:w="1985"/>
        <w:gridCol w:w="1559"/>
        <w:gridCol w:w="1701"/>
      </w:tblGrid>
      <w:tr w:rsidR="00925F4B" w:rsidRPr="00BC0897" w:rsidTr="007B380E">
        <w:trPr>
          <w:trHeight w:val="300"/>
        </w:trPr>
        <w:tc>
          <w:tcPr>
            <w:tcW w:w="846" w:type="dxa"/>
            <w:vMerge w:val="restart"/>
            <w:vAlign w:val="center"/>
            <w:hideMark/>
          </w:tcPr>
          <w:p w:rsidR="00925F4B" w:rsidRPr="00BC0897" w:rsidRDefault="00925F4B" w:rsidP="00C228AD">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Dent disease type</w:t>
            </w:r>
          </w:p>
        </w:tc>
        <w:tc>
          <w:tcPr>
            <w:tcW w:w="3715" w:type="dxa"/>
            <w:gridSpan w:val="2"/>
            <w:vAlign w:val="center"/>
            <w:hideMark/>
          </w:tcPr>
          <w:p w:rsidR="00925F4B" w:rsidRPr="00BC0897" w:rsidRDefault="00925F4B" w:rsidP="00C228AD">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Mutation</w:t>
            </w:r>
          </w:p>
        </w:tc>
        <w:tc>
          <w:tcPr>
            <w:tcW w:w="5390" w:type="dxa"/>
            <w:gridSpan w:val="2"/>
            <w:vAlign w:val="center"/>
            <w:hideMark/>
          </w:tcPr>
          <w:p w:rsidR="00925F4B" w:rsidRPr="00BC0897" w:rsidRDefault="00925F4B" w:rsidP="00C228AD">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Histology</w:t>
            </w:r>
          </w:p>
        </w:tc>
        <w:tc>
          <w:tcPr>
            <w:tcW w:w="1985" w:type="dxa"/>
            <w:vMerge w:val="restart"/>
            <w:vAlign w:val="center"/>
            <w:hideMark/>
          </w:tcPr>
          <w:p w:rsidR="00925F4B" w:rsidRPr="00BC0897" w:rsidRDefault="00925F4B" w:rsidP="00C228AD">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TEM</w:t>
            </w:r>
          </w:p>
        </w:tc>
        <w:tc>
          <w:tcPr>
            <w:tcW w:w="1559" w:type="dxa"/>
            <w:vMerge w:val="restart"/>
            <w:vAlign w:val="center"/>
            <w:hideMark/>
          </w:tcPr>
          <w:p w:rsidR="00925F4B" w:rsidRPr="00BC0897" w:rsidRDefault="00925F4B" w:rsidP="00C228AD">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IF</w:t>
            </w:r>
          </w:p>
        </w:tc>
        <w:tc>
          <w:tcPr>
            <w:tcW w:w="1701" w:type="dxa"/>
            <w:vMerge w:val="restart"/>
            <w:vAlign w:val="center"/>
            <w:hideMark/>
          </w:tcPr>
          <w:p w:rsidR="00925F4B" w:rsidRPr="00BC0897" w:rsidRDefault="00925F4B" w:rsidP="00C228AD">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Ref</w:t>
            </w:r>
          </w:p>
        </w:tc>
      </w:tr>
      <w:tr w:rsidR="00925F4B" w:rsidRPr="00BC0897" w:rsidTr="007B380E">
        <w:trPr>
          <w:trHeight w:val="258"/>
        </w:trPr>
        <w:tc>
          <w:tcPr>
            <w:tcW w:w="846" w:type="dxa"/>
            <w:vMerge/>
            <w:vAlign w:val="center"/>
            <w:hideMark/>
          </w:tcPr>
          <w:p w:rsidR="00925F4B" w:rsidRPr="00BC0897" w:rsidRDefault="00925F4B" w:rsidP="00C228AD">
            <w:pPr>
              <w:spacing w:after="0"/>
              <w:jc w:val="center"/>
              <w:rPr>
                <w:rFonts w:ascii="Times New Roman" w:hAnsi="Times New Roman" w:cs="Times New Roman"/>
                <w:b/>
                <w:bCs/>
                <w:sz w:val="20"/>
                <w:szCs w:val="20"/>
                <w:lang w:val="en-US"/>
              </w:rPr>
            </w:pPr>
          </w:p>
        </w:tc>
        <w:tc>
          <w:tcPr>
            <w:tcW w:w="1843" w:type="dxa"/>
            <w:vAlign w:val="center"/>
            <w:hideMark/>
          </w:tcPr>
          <w:p w:rsidR="00925F4B" w:rsidRPr="00BC0897" w:rsidRDefault="00925F4B" w:rsidP="00C228AD">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Nucleotide</w:t>
            </w:r>
          </w:p>
        </w:tc>
        <w:tc>
          <w:tcPr>
            <w:tcW w:w="1872" w:type="dxa"/>
            <w:vAlign w:val="center"/>
            <w:hideMark/>
          </w:tcPr>
          <w:p w:rsidR="00925F4B" w:rsidRPr="00BC0897" w:rsidRDefault="00925F4B" w:rsidP="00C228AD">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Protein</w:t>
            </w:r>
          </w:p>
        </w:tc>
        <w:tc>
          <w:tcPr>
            <w:tcW w:w="2835" w:type="dxa"/>
            <w:vAlign w:val="center"/>
            <w:hideMark/>
          </w:tcPr>
          <w:p w:rsidR="00925F4B" w:rsidRPr="00BC0897" w:rsidRDefault="00925F4B" w:rsidP="00C228AD">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Glomerular</w:t>
            </w:r>
          </w:p>
        </w:tc>
        <w:tc>
          <w:tcPr>
            <w:tcW w:w="2555" w:type="dxa"/>
            <w:vAlign w:val="center"/>
            <w:hideMark/>
          </w:tcPr>
          <w:p w:rsidR="00925F4B" w:rsidRPr="00BC0897" w:rsidRDefault="00925F4B" w:rsidP="00C228AD">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Interstitial</w:t>
            </w:r>
          </w:p>
        </w:tc>
        <w:tc>
          <w:tcPr>
            <w:tcW w:w="1985" w:type="dxa"/>
            <w:vMerge/>
            <w:vAlign w:val="center"/>
            <w:hideMark/>
          </w:tcPr>
          <w:p w:rsidR="00925F4B" w:rsidRPr="00BC0897" w:rsidRDefault="00925F4B" w:rsidP="00C228AD">
            <w:pPr>
              <w:spacing w:after="0"/>
              <w:jc w:val="center"/>
              <w:rPr>
                <w:rFonts w:ascii="Times New Roman" w:hAnsi="Times New Roman" w:cs="Times New Roman"/>
                <w:b/>
                <w:bCs/>
                <w:sz w:val="20"/>
                <w:szCs w:val="20"/>
                <w:lang w:val="en-US"/>
              </w:rPr>
            </w:pPr>
          </w:p>
        </w:tc>
        <w:tc>
          <w:tcPr>
            <w:tcW w:w="1559" w:type="dxa"/>
            <w:vMerge/>
            <w:vAlign w:val="center"/>
            <w:hideMark/>
          </w:tcPr>
          <w:p w:rsidR="00925F4B" w:rsidRPr="00BC0897" w:rsidRDefault="00925F4B" w:rsidP="00C228AD">
            <w:pPr>
              <w:spacing w:after="0"/>
              <w:jc w:val="center"/>
              <w:rPr>
                <w:rFonts w:ascii="Times New Roman" w:hAnsi="Times New Roman" w:cs="Times New Roman"/>
                <w:b/>
                <w:bCs/>
                <w:sz w:val="20"/>
                <w:szCs w:val="20"/>
                <w:lang w:val="en-US"/>
              </w:rPr>
            </w:pPr>
          </w:p>
        </w:tc>
        <w:tc>
          <w:tcPr>
            <w:tcW w:w="1701" w:type="dxa"/>
            <w:vMerge/>
            <w:vAlign w:val="center"/>
            <w:hideMark/>
          </w:tcPr>
          <w:p w:rsidR="00925F4B" w:rsidRPr="00BC0897" w:rsidRDefault="00925F4B" w:rsidP="00C228AD">
            <w:pPr>
              <w:spacing w:after="0"/>
              <w:jc w:val="center"/>
              <w:rPr>
                <w:rFonts w:ascii="Times New Roman" w:hAnsi="Times New Roman" w:cs="Times New Roman"/>
                <w:b/>
                <w:bCs/>
                <w:sz w:val="20"/>
                <w:szCs w:val="20"/>
                <w:lang w:val="en-US"/>
              </w:rPr>
            </w:pPr>
          </w:p>
        </w:tc>
      </w:tr>
      <w:tr w:rsidR="00646A25" w:rsidRPr="002212C2" w:rsidTr="007B380E">
        <w:trPr>
          <w:trHeight w:val="264"/>
        </w:trPr>
        <w:tc>
          <w:tcPr>
            <w:tcW w:w="84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c.394-2A&gt;C</w:t>
            </w:r>
          </w:p>
        </w:tc>
        <w:tc>
          <w:tcPr>
            <w:tcW w:w="187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283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Glomerulosclerosis</w:t>
            </w:r>
          </w:p>
        </w:tc>
        <w:tc>
          <w:tcPr>
            <w:tcW w:w="255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Tubular atrophy, No calcification</w:t>
            </w:r>
          </w:p>
        </w:tc>
        <w:tc>
          <w:tcPr>
            <w:tcW w:w="198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hideMark/>
          </w:tcPr>
          <w:p w:rsidR="00646A25" w:rsidRPr="00BC0897" w:rsidRDefault="00646A25" w:rsidP="00A44008">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000F21AB" w:rsidRPr="00BC0897">
              <w:rPr>
                <w:rFonts w:ascii="Times New Roman" w:hAnsi="Times New Roman" w:cs="Times New Roman"/>
                <w:sz w:val="20"/>
                <w:szCs w:val="20"/>
                <w:lang w:val="en-US"/>
              </w:rPr>
              <w:instrText xml:space="preserve"> ADDIN ZOTERO_ITEM CSL_CITATION {"citationID":"CCHhsdje","properties":{"formattedCitation":"(Igarashi et al. 1998)","plainCitation":"(Igarashi et al. 1998)","noteIndex":0},"citationItems":[{"id":332,"uris":["http://zotero.org/users/local/jkkvYBSC/items/CP8UYL58"],"uri":["http://zotero.org/users/local/jkkvYBSC/items/CP8UYL58"],"itemData":{"id":332,"type":"article-journal","abstract":"BACKGROUND: The annual urinary screening of Japanese children above three years of age has identified a progressive renal tubular disorder characterized by low molecular weight proteinuria, hypercalciuria and nephrocalcinosis, and this represents a variant of Dent's disease. Hitherto, 12 mutations of the X-linked renal specific chloride channel, CLCN5, have been reported in the Dent'sJapan variant. To further identify such CLCN5 mutations and to define the structure-function relationships of this channel, we have investigated five unrelated, non-consanguinous Japanese families with this disorder.\nMETHODS: Leukocyte DNA from probands was used with CLCN5 primers for PCR amplification of the coding region, and the DNA sequences of the products determined. Functional studies were performed by expressing the mutants in Xenopus oocytes.\nRESULTS: Five CLCN5 mutations consisting of two nonsense (R648X and R704X), two missense (S270R and L278F) and one acceptor splice site mutation (ag--&gt;cg) in intron 4 were identified. The missense and splice site mutations represent novel abnormalities. Heterologous expression in Xenopus oocytes of wild-type and the missense mutants demonstrated that the mutations, which were translated, either abolished or markedly reduced chloride conductance.\nCONCLUSIONS: These results expand the spectrum of CLCN5 mutations associated with this renal disorder and provide insight into possible structure-function relationships. For example, both the missense mutations are located within a short putative loop between two transmembrane domains, and our results suggest that this region may have an important functional role in the regulation of channel activity.","container-title":"Kidney International","DOI":"10.1046/j.1523-1755.1998.00203.x","ISSN":"0085-2538","issue":"6","journalAbbreviation":"Kidney Int.","language":"eng","note":"PMID: 9853249","page":"1850-1856","source":"PubMed","title":"Functional characterization of renal chloride channel, CLCN5, mutations associated with Dent'sJapan disease","volume":"54","author":[{"family":"Igarashi","given":"T."},{"family":"Günther","given":"W."},{"family":"Sekine","given":"T."},{"family":"Inatomi","given":"J."},{"family":"Shiraga","given":"H."},{"family":"Takahashi","given":"S."},{"family":"Suzuki","given":"J."},{"family":"Tsuru","given":"N."},{"family":"Yanagihara","given":"T."},{"family":"Shimazu","given":"M."},{"family":"Jentsch","given":"T. J."},{"family":"Thakker","given":"R. V."}],"issued":{"date-parts":[["1998",12]]}}}],"schema":"https://github.com/citation-style-language/schema/raw/master/csl-citation.json"} </w:instrText>
            </w:r>
            <w:r w:rsidRPr="00BC0897">
              <w:rPr>
                <w:rFonts w:ascii="Times New Roman" w:hAnsi="Times New Roman" w:cs="Times New Roman"/>
                <w:sz w:val="20"/>
                <w:szCs w:val="20"/>
                <w:lang w:val="en-US"/>
              </w:rPr>
              <w:fldChar w:fldCharType="separate"/>
            </w:r>
            <w:r w:rsidR="000F21AB" w:rsidRPr="00BC0897">
              <w:rPr>
                <w:rFonts w:ascii="Times New Roman" w:hAnsi="Times New Roman" w:cs="Times New Roman"/>
                <w:sz w:val="20"/>
                <w:szCs w:val="20"/>
                <w:lang w:val="en-US"/>
              </w:rPr>
              <w:t>(Igarashi et al. 1998)</w:t>
            </w:r>
            <w:r w:rsidRPr="00BC0897">
              <w:rPr>
                <w:rFonts w:ascii="Times New Roman" w:hAnsi="Times New Roman" w:cs="Times New Roman"/>
                <w:sz w:val="20"/>
                <w:szCs w:val="20"/>
                <w:lang w:val="en-US"/>
              </w:rPr>
              <w:fldChar w:fldCharType="end"/>
            </w:r>
          </w:p>
        </w:tc>
      </w:tr>
      <w:tr w:rsidR="00646A25" w:rsidRPr="00BC0897" w:rsidTr="007B380E">
        <w:trPr>
          <w:trHeight w:val="685"/>
        </w:trPr>
        <w:tc>
          <w:tcPr>
            <w:tcW w:w="84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c.726+1G&gt;A</w:t>
            </w:r>
          </w:p>
        </w:tc>
        <w:tc>
          <w:tcPr>
            <w:tcW w:w="187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283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 xml:space="preserve">FSGS, Focal glomerular obsolescence, </w:t>
            </w:r>
            <w:proofErr w:type="spellStart"/>
            <w:r w:rsidRPr="00BC0897">
              <w:rPr>
                <w:rFonts w:ascii="Times New Roman" w:hAnsi="Times New Roman" w:cs="Times New Roman"/>
                <w:sz w:val="20"/>
                <w:szCs w:val="20"/>
                <w:lang w:val="en-US"/>
              </w:rPr>
              <w:t>Periglomerular</w:t>
            </w:r>
            <w:proofErr w:type="spellEnd"/>
            <w:r w:rsidRPr="00BC0897">
              <w:rPr>
                <w:rFonts w:ascii="Times New Roman" w:hAnsi="Times New Roman" w:cs="Times New Roman"/>
                <w:sz w:val="20"/>
                <w:szCs w:val="20"/>
                <w:lang w:val="en-US"/>
              </w:rPr>
              <w:t xml:space="preserve"> thickening</w:t>
            </w:r>
          </w:p>
        </w:tc>
        <w:tc>
          <w:tcPr>
            <w:tcW w:w="255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Interstitial fibrosis, Tubular atrophy, Interstitial mononuclear cell infiltration</w:t>
            </w:r>
          </w:p>
        </w:tc>
        <w:tc>
          <w:tcPr>
            <w:tcW w:w="198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Foot processes effacement</w:t>
            </w:r>
          </w:p>
        </w:tc>
        <w:tc>
          <w:tcPr>
            <w:tcW w:w="1559"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Negative</w:t>
            </w:r>
          </w:p>
        </w:tc>
        <w:tc>
          <w:tcPr>
            <w:tcW w:w="1701" w:type="dxa"/>
            <w:vAlign w:val="center"/>
            <w:hideMark/>
          </w:tcPr>
          <w:p w:rsidR="00646A25" w:rsidRPr="00BC0897" w:rsidRDefault="00646A25" w:rsidP="00A44008">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000F21AB" w:rsidRPr="00BC0897">
              <w:rPr>
                <w:rFonts w:ascii="Times New Roman" w:hAnsi="Times New Roman" w:cs="Times New Roman"/>
                <w:sz w:val="20"/>
                <w:szCs w:val="20"/>
                <w:lang w:val="en-US"/>
              </w:rPr>
              <w:instrText xml:space="preserve"> ADDIN ZOTERO_ITEM CSL_CITATION {"citationID":"ZsYVjZPW","properties":{"formattedCitation":"(Kubo et al. 2016)","plainCitation":"(Kubo et al. 2016)","noteIndex":0},"citationItems":[{"id":72,"uris":["http://zotero.org/users/local/jkkvYBSC/items/2J8R4M9N"],"uri":["http://zotero.org/users/local/jkkvYBSC/items/2J8R4M9N"],"itemData":{"id":72,"type":"article-journal","abstract":"Focal glomerulosclerosis (FGS) is a histologic entity that causes significant proteinuria in children. Although its etiology varies, recent reports indicated that some young male patients with FGS had underlying Dent disease. We describe the case of a 14-year-old Japanese boy who presented with persistent non-nephrotic range proteinuria, hematuria, and renal insufficiency. The patient was initially diagnosed as having FGS associated with scattered tubulointerstitial fibrosis. Although he had neither nephrocalcinosis nor family history of renal disease including urolithiasis, increased excretion of urinary β2 microglobulin was noted. Genetic analysis for Dent disease indicated a mutation (c.726 + 1G &gt; A) in Chloride Channel, Voltage-Sensitive 5 (CLCN5). Given a recent hypothesis that Dent disease may be underrecognized in children with FGS, a careful diagnostic evaluation for possible underlying Dent disease should be considered in young boys who present with persistent albuminuria associated with high-grade low-molecular-weight proteinuria.","container-title":"Pediatrics International: Official Journal of the Japan Pediatric Society","DOI":"10.1111/ped.12944","ISSN":"1442-200X","issue":"8","journalAbbreviation":"Pediatr Int","language":"eng","note":"PMID: 27324082","page":"747-749","source":"PubMed","title":"Does Dent disease remain an underrecognized cause for young boys with focal glomerulosclerosis?","volume":"58","author":[{"family":"Kubo","given":"Kaori"},{"family":"Aizawa","given":"Tomomi"},{"family":"Watanabe","given":"Shojiro"},{"family":"Tsugawa","given":"Koji"},{"family":"Tsuruga","given":"Kazushi"},{"family":"Ito","given":"Etsuro"},{"family":"Joh","given":"Kensuke"},{"family":"Tanaka","given":"Hiroshi"}],"issued":{"date-parts":[["2016",8]]}}}],"schema":"https://github.com/citation-style-language/schema/raw/master/csl-citation.json"} </w:instrText>
            </w:r>
            <w:r w:rsidRPr="00BC0897">
              <w:rPr>
                <w:rFonts w:ascii="Times New Roman" w:hAnsi="Times New Roman" w:cs="Times New Roman"/>
                <w:sz w:val="20"/>
                <w:szCs w:val="20"/>
                <w:lang w:val="en-US"/>
              </w:rPr>
              <w:fldChar w:fldCharType="separate"/>
            </w:r>
            <w:r w:rsidR="000F21AB" w:rsidRPr="00BC0897">
              <w:rPr>
                <w:rFonts w:ascii="Times New Roman" w:hAnsi="Times New Roman" w:cs="Times New Roman"/>
                <w:sz w:val="20"/>
                <w:szCs w:val="20"/>
              </w:rPr>
              <w:t>(Kubo et al. 2016)</w:t>
            </w:r>
            <w:r w:rsidRPr="00BC0897">
              <w:rPr>
                <w:rFonts w:ascii="Times New Roman" w:hAnsi="Times New Roman" w:cs="Times New Roman"/>
                <w:sz w:val="20"/>
                <w:szCs w:val="20"/>
                <w:lang w:val="en-US"/>
              </w:rPr>
              <w:fldChar w:fldCharType="end"/>
            </w:r>
          </w:p>
        </w:tc>
      </w:tr>
      <w:tr w:rsidR="00646A25" w:rsidRPr="00BC0897" w:rsidTr="007B380E">
        <w:trPr>
          <w:trHeight w:val="267"/>
        </w:trPr>
        <w:tc>
          <w:tcPr>
            <w:tcW w:w="84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87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p.Arg28*</w:t>
            </w:r>
          </w:p>
        </w:tc>
        <w:tc>
          <w:tcPr>
            <w:tcW w:w="283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Glomerulosclerosis</w:t>
            </w:r>
          </w:p>
        </w:tc>
        <w:tc>
          <w:tcPr>
            <w:tcW w:w="255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Interstitial fibrosis, Calcification</w:t>
            </w:r>
          </w:p>
        </w:tc>
        <w:tc>
          <w:tcPr>
            <w:tcW w:w="198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hideMark/>
          </w:tcPr>
          <w:p w:rsidR="00646A25" w:rsidRPr="00BC0897" w:rsidRDefault="00646A25" w:rsidP="00A44008">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00040F98" w:rsidRPr="00BC0897">
              <w:rPr>
                <w:rFonts w:ascii="Times New Roman" w:hAnsi="Times New Roman" w:cs="Times New Roman"/>
                <w:sz w:val="20"/>
                <w:szCs w:val="20"/>
                <w:lang w:val="en-US"/>
              </w:rPr>
              <w:instrText xml:space="preserve"> ADDIN ZOTERO_ITEM CSL_CITATION {"citationID":"Gza2qb9r","properties":{"formattedCitation":"(Hoopes et al. 1998)","plainCitation":"(Hoopes et al. 1998)","noteIndex":0},"citationItems":[{"id":1446,"uris":["http://zotero.org/users/local/jkkvYBSC/items/55XM9F4V"],"uri":["http://zotero.org/users/local/jkkvYBSC/items/55XM9F4V"],"itemData":{"id":1446,"type":"article-journal","abstract":"BACKGROUND: X-linked nephrolithiasis, or Dent's disease, encompasses several clinical syndromes of low molecular weight (LMW) proteinuria, hypercalciuria, nephrocalcinosis, nephrolithiasis, and renal failure, and is associated with mutations in the CLCN5 gene encoding a kidney-specific voltage-gated chloride channel. Some patients from Europe have rickets, and all symptomatic patients confirmed by mutation analysis have been male.\nMETHODS: We analyzed the CLCN5 DNA sequence in six new families with this disease.\nRESULTS: In three probands, a single-base substitution yielded a nonsense triplet at codons 28, 34, and 343, respectively, and in two families, one of which was Hispanic, we found single-base deletions at codons 40 and 44, leading to premature termination of translation. In the sixth family, a single-base change from C to T predicted substitution of leucine for serine at codon 244, previously reported in two European families with prominent rickets, though this patient of Ashkenazi origin did not have rickets. Each of these mutations was confirmed by restriction endonuclease analysis, or repeat sequencing and CFLP. The R34X mutation occurred in a Canadian infant with severe rickets. The family with the R28X nonsense mutation included one woman with recurrent kidney stones and another woman with glomerular sclerosis. In another family, a woman heterozygous for the W343X mutation also had nephrolithiasis.\nCONCLUSIONS: These studies expand the range of mutations identified in this disease, and broaden the phenotypic range to include clinically affected women and the first North American case with severe rickets.","container-title":"Kidney International","DOI":"10.1046/j.1523-1755.1998.00061.x","ISSN":"0085-2538","issue":"3","journalAbbreviation":"Kidney Int.","language":"eng","note":"PMID: 9734595","page":"698-705","source":"PubMed","title":"CLCN5 chloride-channel mutations in six new North American families with X-linked nephrolithiasis","volume":"54","author":[{"family":"Hoopes","given":"R. R."},{"family":"Hueber","given":"P. A."},{"family":"Reid","given":"R. J."},{"family":"Braden","given":"G. L."},{"family":"Goodyer","given":"P. R."},{"family":"Melnyk","given":"A. R."},{"family":"Midgley","given":"J. P."},{"family":"Moel","given":"D. I."},{"family":"Neu","given":"A. M."},{"family":"VanWhy","given":"S. K."},{"family":"Scheinman","given":"S. J."}],"issued":{"date-parts":[["1998",9]]}}}],"schema":"https://github.com/citation-style-language/schema/raw/master/csl-citation.json"} </w:instrText>
            </w:r>
            <w:r w:rsidRPr="00BC0897">
              <w:rPr>
                <w:rFonts w:ascii="Times New Roman" w:hAnsi="Times New Roman" w:cs="Times New Roman"/>
                <w:sz w:val="20"/>
                <w:szCs w:val="20"/>
                <w:lang w:val="en-US"/>
              </w:rPr>
              <w:fldChar w:fldCharType="separate"/>
            </w:r>
            <w:r w:rsidR="00040F98" w:rsidRPr="00BC0897">
              <w:rPr>
                <w:rFonts w:ascii="Times New Roman" w:hAnsi="Times New Roman" w:cs="Times New Roman"/>
                <w:sz w:val="20"/>
              </w:rPr>
              <w:t>(Hoopes et al. 1998)</w:t>
            </w:r>
            <w:r w:rsidRPr="00BC0897">
              <w:rPr>
                <w:rFonts w:ascii="Times New Roman" w:hAnsi="Times New Roman" w:cs="Times New Roman"/>
                <w:sz w:val="20"/>
                <w:szCs w:val="20"/>
                <w:lang w:val="en-US"/>
              </w:rPr>
              <w:fldChar w:fldCharType="end"/>
            </w:r>
          </w:p>
        </w:tc>
      </w:tr>
      <w:tr w:rsidR="00646A25" w:rsidRPr="002212C2" w:rsidTr="007B380E">
        <w:trPr>
          <w:trHeight w:val="283"/>
        </w:trPr>
        <w:tc>
          <w:tcPr>
            <w:tcW w:w="84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c.82C&gt;T</w:t>
            </w:r>
          </w:p>
        </w:tc>
        <w:tc>
          <w:tcPr>
            <w:tcW w:w="187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p.Arg28*</w:t>
            </w:r>
          </w:p>
        </w:tc>
        <w:tc>
          <w:tcPr>
            <w:tcW w:w="283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FSGS</w:t>
            </w:r>
          </w:p>
        </w:tc>
        <w:tc>
          <w:tcPr>
            <w:tcW w:w="255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98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Normal</w:t>
            </w:r>
          </w:p>
        </w:tc>
        <w:tc>
          <w:tcPr>
            <w:tcW w:w="1559"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Normal</w:t>
            </w:r>
          </w:p>
        </w:tc>
        <w:tc>
          <w:tcPr>
            <w:tcW w:w="1701" w:type="dxa"/>
            <w:vAlign w:val="center"/>
            <w:hideMark/>
          </w:tcPr>
          <w:p w:rsidR="00646A25" w:rsidRPr="00BC0897" w:rsidRDefault="00646A25" w:rsidP="00A44008">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000F21AB" w:rsidRPr="00BC0897">
              <w:rPr>
                <w:rFonts w:ascii="Times New Roman" w:hAnsi="Times New Roman" w:cs="Times New Roman"/>
                <w:sz w:val="20"/>
                <w:szCs w:val="20"/>
                <w:lang w:val="en-US"/>
              </w:rPr>
              <w:instrText xml:space="preserve"> ADDIN ZOTERO_ITEM CSL_CITATION {"citationID":"TOnF9Hpk","properties":{"formattedCitation":"(Zaniew et al. 2017)","plainCitation":"(Zaniew et al. 2017)","noteIndex":0},"citationItems":[{"id":542,"uris":["http://zotero.org/users/local/jkkvYBSC/items/4G4P2PVC"],"uri":["http://zotero.org/users/local/jkkvYBSC/items/4G4P2PVC"],"itemData":{"id":542,"type":"article-journal","abstract":"PURPOSE: Dent disease (DD) is a rare tubulopathy characterized by proximal tubular dysfunction leading to chronic kidney disease (CKD). The aim of the study was to characterize patients with DD in Poland.\nMETHODS: A retrospective analysis of a national cohort with genetically confirmed diagnosis.\nRESULTS: Of 24 males, all patients except one carried mutations in the CLCN5 gene; in one patient a mutation in the OCRL gene was disclosed. Molecular diagnosis was delayed 1 year on average (range 0-21 years). The most common features were tubular proteinuria (100%), hypercalciuria (87%), and nephrocalcinosis (56%). CKD (≤stage II) and growth deficiency were found in 45 and 22% of patients, respectively. Over time, a progression of CKD and persistence of growth impairment was noted. Subnephrotic and nephrotic proteinuria (20%) was found in most patients, but tubular proteinuria was assessed in only 67% of patients. In one family steroid-resistant nephrotic syndrome prompted a genetic testing, and reverse phenotyping. Five children (20%) underwent kidney biopsy, and two of them were treated with immunosuppressants. Hydrochlorothiazide and angiotensin-converting enzyme inhibitors were prescribed for a significant proportion of patients (42 and 37.5%, respectively), while supplemental therapy with phosphate, potassium, vitamin D (12.5% each), and alkali (4.2%) was insufficient, when compared to the percentages of patients requiring repletion.\nCONCLUSIONS: We found CLCN5 mutations in the vast majority of Polish patients with DD. Proteinuria was the most constant finding; however, tubular proteins were not assessed commonly, likely leading to delayed molecular diagnosis and misdiagnosis in some patients. More consideration should be given to optimize the therapy.","container-title":"International Urology and Nephrology","DOI":"10.1007/s11255-017-1676-x","ISSN":"1573-2584","issue":"11","journalAbbreviation":"Int Urol Nephrol","language":"eng","note":"PMID: 28815356","page":"2005-2017","source":"PubMed","title":"Dent disease in Poland: what we have learned so far?","title-short":"Dent disease in Poland","volume":"49","author":[{"family":"Zaniew","given":"Marcin"},{"family":"Mizerska-Wasiak","given":"Małgorzata"},{"family":"Załuska-Leśniewska","given":"Iga"},{"family":"Adamczyk","given":"Piotr"},{"family":"Kiliś-Pstrusińska","given":"Katarzyna"},{"family":"Haliński","given":"Adam"},{"family":"Zawadzki","given":"Jan"},{"family":"Lipska-Ziętkiewicz","given":"Beata S."},{"family":"Pawlaczyk","given":"Krzysztof"},{"family":"Sikora","given":"Przemysław"},{"family":"Ludwig","given":"Michael"},{"family":"Szczepańska","given":"Maria"}],"issued":{"date-parts":[["2017",11]]}}}],"schema":"https://github.com/citation-style-language/schema/raw/master/csl-citation.json"} </w:instrText>
            </w:r>
            <w:r w:rsidRPr="00BC0897">
              <w:rPr>
                <w:rFonts w:ascii="Times New Roman" w:hAnsi="Times New Roman" w:cs="Times New Roman"/>
                <w:sz w:val="20"/>
                <w:szCs w:val="20"/>
                <w:lang w:val="en-US"/>
              </w:rPr>
              <w:fldChar w:fldCharType="separate"/>
            </w:r>
            <w:r w:rsidR="000F21AB" w:rsidRPr="00BC0897">
              <w:rPr>
                <w:rFonts w:ascii="Times New Roman" w:hAnsi="Times New Roman" w:cs="Times New Roman"/>
                <w:sz w:val="20"/>
                <w:szCs w:val="20"/>
                <w:lang w:val="en-US"/>
              </w:rPr>
              <w:t>(Zaniew et al. 2017)</w:t>
            </w:r>
            <w:r w:rsidRPr="00BC0897">
              <w:rPr>
                <w:rFonts w:ascii="Times New Roman" w:hAnsi="Times New Roman" w:cs="Times New Roman"/>
                <w:sz w:val="20"/>
                <w:szCs w:val="20"/>
                <w:lang w:val="en-US"/>
              </w:rPr>
              <w:fldChar w:fldCharType="end"/>
            </w:r>
          </w:p>
        </w:tc>
      </w:tr>
      <w:tr w:rsidR="00646A25" w:rsidRPr="00BC0897" w:rsidTr="007B380E">
        <w:trPr>
          <w:trHeight w:val="710"/>
        </w:trPr>
        <w:tc>
          <w:tcPr>
            <w:tcW w:w="84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c.92delA</w:t>
            </w:r>
          </w:p>
        </w:tc>
        <w:tc>
          <w:tcPr>
            <w:tcW w:w="187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p.Val31fs*15</w:t>
            </w:r>
          </w:p>
        </w:tc>
        <w:tc>
          <w:tcPr>
            <w:tcW w:w="283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Global sclerosis, No mesangial expansion or capillary wall deposits</w:t>
            </w:r>
          </w:p>
        </w:tc>
        <w:tc>
          <w:tcPr>
            <w:tcW w:w="255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Cortical fibrosis, Interstitial calcification, Calcium phosphate deposits</w:t>
            </w:r>
          </w:p>
        </w:tc>
        <w:tc>
          <w:tcPr>
            <w:tcW w:w="198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Negligible foot process effacement</w:t>
            </w:r>
          </w:p>
        </w:tc>
        <w:tc>
          <w:tcPr>
            <w:tcW w:w="1559"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Nonspecific IgM mesangial staining</w:t>
            </w:r>
          </w:p>
        </w:tc>
        <w:tc>
          <w:tcPr>
            <w:tcW w:w="1701" w:type="dxa"/>
            <w:vAlign w:val="center"/>
            <w:hideMark/>
          </w:tcPr>
          <w:p w:rsidR="00646A25" w:rsidRPr="00BC0897" w:rsidRDefault="00646A25" w:rsidP="00A44008">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000F21AB" w:rsidRPr="00BC0897">
              <w:rPr>
                <w:rFonts w:ascii="Times New Roman" w:hAnsi="Times New Roman" w:cs="Times New Roman"/>
                <w:sz w:val="20"/>
                <w:szCs w:val="20"/>
                <w:lang w:val="en-US"/>
              </w:rPr>
              <w:instrText xml:space="preserve"> ADDIN ZOTERO_ITEM CSL_CITATION {"citationID":"FdLzLSkx","properties":{"formattedCitation":"(Fervenza 2013)","plainCitation":"(Fervenza 2013)","noteIndex":0},"citationItems":[{"id":534,"uris":["http://zotero.org/users/local/jkkvYBSC/items/ZN4T4DWR"],"uri":["http://zotero.org/users/local/jkkvYBSC/items/ZN4T4DWR"],"itemData":{"id":534,"type":"article-journal","abstract":"A young male is evaluated for nephrotic-range proteinuria, hypercalciuria, and an elevated serum creatinine. A renal biopsy is performed and shows focal global glomerulosclerosis. The absence of nephrotic syndrome suggest that glomerulosclerosis was a secondary process. Further analysis of the proteinuria showed it to be due mainly to low-molecular weight proteins. The case illustrates the crucial role of electron microscopy as well as evaluation of the identity of the proteinuria that accompanies a biopsy finding of focal and global or focal and segmental glomerulosclerosis.","container-title":"Clinical journal of the American Society of Nephrology: CJASN","DOI":"10.2215/CJN.03400313","ISSN":"1555-905X","issue":"11","journalAbbreviation":"Clin J Am Soc Nephrol","language":"eng","note":"PMID: 23886564\nPMCID: PMC3817907","page":"1979-1987","source":"PubMed","title":"A patient with nephrotic-range proteinuria and focal global glomerulosclerosis","volume":"8","author":[{"family":"Fervenza","given":"Fernando C."}],"issued":{"date-parts":[["2013",11]]}}}],"schema":"https://github.com/citation-style-language/schema/raw/master/csl-citation.json"} </w:instrText>
            </w:r>
            <w:r w:rsidRPr="00BC0897">
              <w:rPr>
                <w:rFonts w:ascii="Times New Roman" w:hAnsi="Times New Roman" w:cs="Times New Roman"/>
                <w:sz w:val="20"/>
                <w:szCs w:val="20"/>
                <w:lang w:val="en-US"/>
              </w:rPr>
              <w:fldChar w:fldCharType="separate"/>
            </w:r>
            <w:r w:rsidR="000F21AB" w:rsidRPr="00BC0897">
              <w:rPr>
                <w:rFonts w:ascii="Times New Roman" w:hAnsi="Times New Roman" w:cs="Times New Roman"/>
                <w:sz w:val="20"/>
                <w:szCs w:val="20"/>
              </w:rPr>
              <w:t>(Fervenza 2013)</w:t>
            </w:r>
            <w:r w:rsidRPr="00BC0897">
              <w:rPr>
                <w:rFonts w:ascii="Times New Roman" w:hAnsi="Times New Roman" w:cs="Times New Roman"/>
                <w:sz w:val="20"/>
                <w:szCs w:val="20"/>
                <w:lang w:val="en-US"/>
              </w:rPr>
              <w:fldChar w:fldCharType="end"/>
            </w:r>
          </w:p>
        </w:tc>
      </w:tr>
      <w:tr w:rsidR="00646A25" w:rsidRPr="00BC0897" w:rsidTr="007B380E">
        <w:trPr>
          <w:trHeight w:val="427"/>
        </w:trPr>
        <w:tc>
          <w:tcPr>
            <w:tcW w:w="84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87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p.Arg34*</w:t>
            </w:r>
          </w:p>
        </w:tc>
        <w:tc>
          <w:tcPr>
            <w:tcW w:w="283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Glomerulosclerosis</w:t>
            </w:r>
          </w:p>
        </w:tc>
        <w:tc>
          <w:tcPr>
            <w:tcW w:w="255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Interstitial fibrosis, Tubular atrophy</w:t>
            </w:r>
          </w:p>
        </w:tc>
        <w:tc>
          <w:tcPr>
            <w:tcW w:w="198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hideMark/>
          </w:tcPr>
          <w:p w:rsidR="00646A25" w:rsidRPr="00BC0897" w:rsidRDefault="00646A25" w:rsidP="00A44008">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00040F98" w:rsidRPr="00BC0897">
              <w:rPr>
                <w:rFonts w:ascii="Times New Roman" w:hAnsi="Times New Roman" w:cs="Times New Roman"/>
                <w:sz w:val="20"/>
                <w:szCs w:val="20"/>
                <w:lang w:val="en-US"/>
              </w:rPr>
              <w:instrText xml:space="preserve"> ADDIN ZOTERO_ITEM CSL_CITATION {"citationID":"UJQF0cZy","properties":{"formattedCitation":"(Hoopes et al. 1998)","plainCitation":"(Hoopes et al. 1998)","noteIndex":0},"citationItems":[{"id":1446,"uris":["http://zotero.org/users/local/jkkvYBSC/items/55XM9F4V"],"uri":["http://zotero.org/users/local/jkkvYBSC/items/55XM9F4V"],"itemData":{"id":1446,"type":"article-journal","abstract":"BACKGROUND: X-linked nephrolithiasis, or Dent's disease, encompasses several clinical syndromes of low molecular weight (LMW) proteinuria, hypercalciuria, nephrocalcinosis, nephrolithiasis, and renal failure, and is associated with mutations in the CLCN5 gene encoding a kidney-specific voltage-gated chloride channel. Some patients from Europe have rickets, and all symptomatic patients confirmed by mutation analysis have been male.\nMETHODS: We analyzed the CLCN5 DNA sequence in six new families with this disease.\nRESULTS: In three probands, a single-base substitution yielded a nonsense triplet at codons 28, 34, and 343, respectively, and in two families, one of which was Hispanic, we found single-base deletions at codons 40 and 44, leading to premature termination of translation. In the sixth family, a single-base change from C to T predicted substitution of leucine for serine at codon 244, previously reported in two European families with prominent rickets, though this patient of Ashkenazi origin did not have rickets. Each of these mutations was confirmed by restriction endonuclease analysis, or repeat sequencing and CFLP. The R34X mutation occurred in a Canadian infant with severe rickets. The family with the R28X nonsense mutation included one woman with recurrent kidney stones and another woman with glomerular sclerosis. In another family, a woman heterozygous for the W343X mutation also had nephrolithiasis.\nCONCLUSIONS: These studies expand the range of mutations identified in this disease, and broaden the phenotypic range to include clinically affected women and the first North American case with severe rickets.","container-title":"Kidney International","DOI":"10.1046/j.1523-1755.1998.00061.x","ISSN":"0085-2538","issue":"3","journalAbbreviation":"Kidney Int.","language":"eng","note":"PMID: 9734595","page":"698-705","source":"PubMed","title":"CLCN5 chloride-channel mutations in six new North American families with X-linked nephrolithiasis","volume":"54","author":[{"family":"Hoopes","given":"R. R."},{"family":"Hueber","given":"P. A."},{"family":"Reid","given":"R. J."},{"family":"Braden","given":"G. L."},{"family":"Goodyer","given":"P. R."},{"family":"Melnyk","given":"A. R."},{"family":"Midgley","given":"J. P."},{"family":"Moel","given":"D. I."},{"family":"Neu","given":"A. M."},{"family":"VanWhy","given":"S. K."},{"family":"Scheinman","given":"S. J."}],"issued":{"date-parts":[["1998",9]]}}}],"schema":"https://github.com/citation-style-language/schema/raw/master/csl-citation.json"} </w:instrText>
            </w:r>
            <w:r w:rsidRPr="00BC0897">
              <w:rPr>
                <w:rFonts w:ascii="Times New Roman" w:hAnsi="Times New Roman" w:cs="Times New Roman"/>
                <w:sz w:val="20"/>
                <w:szCs w:val="20"/>
                <w:lang w:val="en-US"/>
              </w:rPr>
              <w:fldChar w:fldCharType="separate"/>
            </w:r>
            <w:r w:rsidR="00040F98" w:rsidRPr="00BC0897">
              <w:rPr>
                <w:rFonts w:ascii="Times New Roman" w:hAnsi="Times New Roman" w:cs="Times New Roman"/>
                <w:sz w:val="20"/>
              </w:rPr>
              <w:t>(Hoopes et al. 1998)</w:t>
            </w:r>
            <w:r w:rsidRPr="00BC0897">
              <w:rPr>
                <w:rFonts w:ascii="Times New Roman" w:hAnsi="Times New Roman" w:cs="Times New Roman"/>
                <w:sz w:val="20"/>
                <w:szCs w:val="20"/>
                <w:lang w:val="en-US"/>
              </w:rPr>
              <w:fldChar w:fldCharType="end"/>
            </w:r>
          </w:p>
        </w:tc>
      </w:tr>
      <w:tr w:rsidR="00646A25" w:rsidRPr="00BC0897" w:rsidTr="007B380E">
        <w:trPr>
          <w:trHeight w:val="701"/>
        </w:trPr>
        <w:tc>
          <w:tcPr>
            <w:tcW w:w="84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87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p.Arg34*</w:t>
            </w:r>
          </w:p>
        </w:tc>
        <w:tc>
          <w:tcPr>
            <w:tcW w:w="283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 xml:space="preserve">Focal </w:t>
            </w:r>
            <w:proofErr w:type="spellStart"/>
            <w:r w:rsidRPr="00BC0897">
              <w:rPr>
                <w:rFonts w:ascii="Times New Roman" w:hAnsi="Times New Roman" w:cs="Times New Roman"/>
                <w:sz w:val="20"/>
                <w:szCs w:val="20"/>
                <w:lang w:val="en-US"/>
              </w:rPr>
              <w:t>periglomerular</w:t>
            </w:r>
            <w:proofErr w:type="spellEnd"/>
            <w:r w:rsidRPr="00BC0897">
              <w:rPr>
                <w:rFonts w:ascii="Times New Roman" w:hAnsi="Times New Roman" w:cs="Times New Roman"/>
                <w:sz w:val="20"/>
                <w:szCs w:val="20"/>
                <w:lang w:val="en-US"/>
              </w:rPr>
              <w:t xml:space="preserve"> fibrosis, Focal glomerulosclerosis</w:t>
            </w:r>
          </w:p>
        </w:tc>
        <w:tc>
          <w:tcPr>
            <w:tcW w:w="255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Interstitial fibrosis, Tubular atrophy, Interstitial lymphocytic infiltrate</w:t>
            </w:r>
          </w:p>
        </w:tc>
        <w:tc>
          <w:tcPr>
            <w:tcW w:w="198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Normal GBM, No immune deposits</w:t>
            </w:r>
          </w:p>
        </w:tc>
        <w:tc>
          <w:tcPr>
            <w:tcW w:w="1559"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hideMark/>
          </w:tcPr>
          <w:p w:rsidR="00646A25" w:rsidRPr="00BC0897" w:rsidRDefault="00646A25" w:rsidP="00A44008">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00040F98" w:rsidRPr="00BC0897">
              <w:rPr>
                <w:rFonts w:ascii="Times New Roman" w:hAnsi="Times New Roman" w:cs="Times New Roman"/>
                <w:sz w:val="20"/>
                <w:szCs w:val="20"/>
                <w:lang w:val="en-US"/>
              </w:rPr>
              <w:instrText xml:space="preserve"> ADDIN ZOTERO_ITEM CSL_CITATION {"citationID":"TY9KGO5X","properties":{"formattedCitation":"(Langlois et al. 1998)","plainCitation":"(Langlois et al. 1998)","noteIndex":0},"citationItems":[{"id":"p7ATYret/tnFQdrXH","uris":["http://zotero.org/users/local/jkkvYBSC/items/THQB786W"],"uri":["http://zotero.org/users/local/jkkvYBSC/items/THQB786W"],"itemData":{"id":795,"type":"article-journal","abstract":"X-linked recessive nephrolithiasis (XRN) is a rare hereditary form of progressive renal failure characterized by (1) proximal tubular dysfunction and low molecular weight proteinuria; (2) hypercalciuria with nephrocalcinosis and nephrolithiasis. Because the clinical features are non-specific and variable, affected families in different parts of the world were initially thought to have several distinct syndromes. However, positional cloning of the relevant gene (CLCN5) demonstrated that these families have, in common, mutations affecting a chloride channel expressed throughout the renal tubule. To expand the description of early clinical and pathological manifestations of XRN, we describe three patients diagnosed in the 1st decade of life. Renal tubular dysfunction may be evident even in the neonatal period, hypophosphatemic rickets may develop in the first years of life, and nephrocalcinosis (but not nephrolithiasis) with glomerulosclerosis are consistent features in childhood. One of our patients is indistinguishable from the others on clinical grounds, yet no mutations of the coding regions of the CLCN5 gene were found, raising the possibility of genetic heterogeneity in the XRN syndrome.","container-title":"Pediatric Nephrology (Berlin, Germany)","DOI":"10.1007/s004670050516","ISSN":"0931-041X","issue":"8","journalAbbreviation":"Pediatr. Nephrol.","language":"eng","note":"PMID: 9811383","page":"625-629","source":"PubMed","title":"Clinical features of X-linked nephrolithiasis in childhood","volume":"12","author":[{"family":"Langlois","given":"V."},{"family":"Bernard","given":"C."},{"family":"Scheinman","given":"S. J."},{"family":"Thakker","given":"R. V."},{"family":"Cox","given":"J. P."},{"family":"Goodyer","given":"P. R."}],"issued":{"date-parts":[["1998",10]]}}}],"schema":"https://github.com/citation-style-language/schema/raw/master/csl-citation.json"} </w:instrText>
            </w:r>
            <w:r w:rsidRPr="00BC0897">
              <w:rPr>
                <w:rFonts w:ascii="Times New Roman" w:hAnsi="Times New Roman" w:cs="Times New Roman"/>
                <w:sz w:val="20"/>
                <w:szCs w:val="20"/>
                <w:lang w:val="en-US"/>
              </w:rPr>
              <w:fldChar w:fldCharType="separate"/>
            </w:r>
            <w:r w:rsidR="00040F98" w:rsidRPr="00BC0897">
              <w:rPr>
                <w:rFonts w:ascii="Times New Roman" w:hAnsi="Times New Roman" w:cs="Times New Roman"/>
                <w:sz w:val="20"/>
              </w:rPr>
              <w:t>(Langlois et al. 1998)</w:t>
            </w:r>
            <w:r w:rsidRPr="00BC0897">
              <w:rPr>
                <w:rFonts w:ascii="Times New Roman" w:hAnsi="Times New Roman" w:cs="Times New Roman"/>
                <w:sz w:val="20"/>
                <w:szCs w:val="20"/>
                <w:lang w:val="en-US"/>
              </w:rPr>
              <w:fldChar w:fldCharType="end"/>
            </w:r>
          </w:p>
        </w:tc>
      </w:tr>
      <w:tr w:rsidR="00646A25" w:rsidRPr="00BC0897" w:rsidTr="007B380E">
        <w:trPr>
          <w:trHeight w:val="600"/>
        </w:trPr>
        <w:tc>
          <w:tcPr>
            <w:tcW w:w="84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c.310C&gt;T</w:t>
            </w:r>
          </w:p>
        </w:tc>
        <w:tc>
          <w:tcPr>
            <w:tcW w:w="187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p.Arg104*</w:t>
            </w:r>
          </w:p>
        </w:tc>
        <w:tc>
          <w:tcPr>
            <w:tcW w:w="283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FSGS, FGGS, Mesangial proliferation, Extracellular matrix hyperplasia</w:t>
            </w:r>
          </w:p>
        </w:tc>
        <w:tc>
          <w:tcPr>
            <w:tcW w:w="255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proofErr w:type="spellStart"/>
            <w:r w:rsidRPr="00BC0897">
              <w:rPr>
                <w:rFonts w:ascii="Times New Roman" w:hAnsi="Times New Roman" w:cs="Times New Roman"/>
                <w:sz w:val="20"/>
                <w:szCs w:val="20"/>
                <w:lang w:val="en-US"/>
              </w:rPr>
              <w:t>Intratubular</w:t>
            </w:r>
            <w:proofErr w:type="spellEnd"/>
            <w:r w:rsidRPr="00BC0897">
              <w:rPr>
                <w:rFonts w:ascii="Times New Roman" w:hAnsi="Times New Roman" w:cs="Times New Roman"/>
                <w:sz w:val="20"/>
                <w:szCs w:val="20"/>
                <w:lang w:val="en-US"/>
              </w:rPr>
              <w:t xml:space="preserve"> protein casts, Vascular degeneration</w:t>
            </w:r>
          </w:p>
        </w:tc>
        <w:tc>
          <w:tcPr>
            <w:tcW w:w="198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Mesangial proliferation with less electron dense deposits</w:t>
            </w:r>
          </w:p>
        </w:tc>
        <w:tc>
          <w:tcPr>
            <w:tcW w:w="1559"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Negative</w:t>
            </w:r>
          </w:p>
        </w:tc>
        <w:tc>
          <w:tcPr>
            <w:tcW w:w="1701" w:type="dxa"/>
            <w:vAlign w:val="center"/>
            <w:hideMark/>
          </w:tcPr>
          <w:p w:rsidR="00646A25" w:rsidRPr="00BC0897" w:rsidRDefault="00646A25" w:rsidP="00A44008">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000F21AB" w:rsidRPr="00BC0897">
              <w:rPr>
                <w:rFonts w:ascii="Times New Roman" w:hAnsi="Times New Roman" w:cs="Times New Roman"/>
                <w:sz w:val="20"/>
                <w:szCs w:val="20"/>
                <w:lang w:val="en-US"/>
              </w:rPr>
              <w:instrText xml:space="preserve"> ADDIN ZOTERO_ITEM CSL_CITATION {"citationID":"dlWfbctB","properties":{"formattedCitation":"(Wen et al. 2018)","plainCitation":"(Wen et al. 2018)","noteIndex":0},"citationItems":[{"id":9,"uris":["http://zotero.org/users/local/jkkvYBSC/items/3BMCSQ3B"],"uri":["http://zotero.org/users/local/jkkvYBSC/items/3BMCSQ3B"],"itemData":{"id":9,"type":"article-journal","abstract":"Dent disease 1 is a rare X-linked recessive inherited disease, caused by pathogenic variants in the chloride voltage-gated channel 5 (CLCN5) gene. Dent disease 1 is characterized by low molecular weight (LMW) proteinuria, hypercalciuria, nephrocalcinosis, and chronic kidney disease. Infants may manifest only asymptomatic LMW proteinuria, which increases the difficulty of early diagnosis. We describe two male infants presenting only with nephrotic-range LMW proteinuria observed on examination using urine protein electrophoresis. Hereditary renal tubular diseases were highly suspected based on early onset age and LMW proteinuria. Thus, next-generation sequencing (NGS) was performed and pathogenic mutations in CLCN5 were identified in both patients. A diagnosis of Dent disease 1 was established based on the above informations. The two patients developed hypercalciuria during late follow-up, which verified the diagnosis. These two cases highlight the importance of next-generation sequencing in the early diagnosis of Dent disease 1 with only LMW proteinuria.","container-title":"Frontiers in Medicine","DOI":"10.3389/fmed.2018.00347","ISSN":"2296-858X","journalAbbreviation":"Front Med (Lausanne)","language":"eng","note":"PMID: 30581818\nPMCID: PMC6292867","page":"347","source":"PubMed","title":"Next-Generation Sequencing in Early Diagnosis of Dent Disease 1: Two Case Reports","title-short":"Next-Generation Sequencing in Early Diagnosis of Dent Disease 1","volume":"5","author":[{"family":"Wen","given":"Min"},{"family":"Shen","given":"Tian"},{"family":"Wang","given":"Ying"},{"family":"Li","given":"Yongzhen"},{"family":"Shi","given":"Xiaoliu"},{"family":"Dang","given":"Xiqiang"}],"issued":{"date-parts":[["2018"]]}}}],"schema":"https://github.com/citation-style-language/schema/raw/master/csl-citation.json"} </w:instrText>
            </w:r>
            <w:r w:rsidRPr="00BC0897">
              <w:rPr>
                <w:rFonts w:ascii="Times New Roman" w:hAnsi="Times New Roman" w:cs="Times New Roman"/>
                <w:sz w:val="20"/>
                <w:szCs w:val="20"/>
                <w:lang w:val="en-US"/>
              </w:rPr>
              <w:fldChar w:fldCharType="separate"/>
            </w:r>
            <w:r w:rsidR="000F21AB" w:rsidRPr="00BC0897">
              <w:rPr>
                <w:rFonts w:ascii="Times New Roman" w:hAnsi="Times New Roman" w:cs="Times New Roman"/>
                <w:sz w:val="20"/>
                <w:szCs w:val="20"/>
              </w:rPr>
              <w:t>(Wen et al. 2018)</w:t>
            </w:r>
            <w:r w:rsidRPr="00BC0897">
              <w:rPr>
                <w:rFonts w:ascii="Times New Roman" w:hAnsi="Times New Roman" w:cs="Times New Roman"/>
                <w:sz w:val="20"/>
                <w:szCs w:val="20"/>
                <w:lang w:val="en-US"/>
              </w:rPr>
              <w:fldChar w:fldCharType="end"/>
            </w:r>
          </w:p>
        </w:tc>
      </w:tr>
      <w:tr w:rsidR="00646A25" w:rsidRPr="00BC0897" w:rsidTr="007B380E">
        <w:trPr>
          <w:trHeight w:val="263"/>
        </w:trPr>
        <w:tc>
          <w:tcPr>
            <w:tcW w:w="84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87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p.Glu118*</w:t>
            </w:r>
          </w:p>
        </w:tc>
        <w:tc>
          <w:tcPr>
            <w:tcW w:w="283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Normal</w:t>
            </w:r>
          </w:p>
        </w:tc>
        <w:tc>
          <w:tcPr>
            <w:tcW w:w="255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Normal</w:t>
            </w:r>
          </w:p>
        </w:tc>
        <w:tc>
          <w:tcPr>
            <w:tcW w:w="198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hideMark/>
          </w:tcPr>
          <w:p w:rsidR="00646A25" w:rsidRPr="00BC0897" w:rsidRDefault="00646A25" w:rsidP="00A44008">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00040F98" w:rsidRPr="00BC0897">
              <w:rPr>
                <w:rFonts w:ascii="Times New Roman" w:hAnsi="Times New Roman" w:cs="Times New Roman"/>
                <w:sz w:val="20"/>
                <w:szCs w:val="20"/>
                <w:lang w:val="en-US"/>
              </w:rPr>
              <w:instrText xml:space="preserve"> ADDIN ZOTERO_ITEM CSL_CITATION {"citationID":"I9mlOXo1","properties":{"formattedCitation":"(Morimoto et al. 1998)","plainCitation":"(Morimoto et al. 1998)","noteIndex":0},"citationItems":[{"id":"p7ATYret/4B7PQw2N","uris":["http://zotero.org/users/local/jkkvYBSC/items/EEWXQKMZ"],"uri":["http://zotero.org/users/local/jkkvYBSC/items/EEWXQKMZ"],"itemData":{"id":766,"type":"article-journal","abstract":"Mutations in the CLCN5 gene have been demonstrated in three disorders of hypercalciuric nephrolithiasis, i.e., Dent's disease, X-linked recessive nephrolithiasis, and X-linked recessive hypophosphatemic rickets. Recently, a number of Japanese children with low molecular weight proteinuria (LMWP) showing symptoms similar to those shown by patients with Dent's disease in British families have also been reported to have mutations in the CLCN5 gene. The present study examines five unrelated Japanese families with LMWP, two of which lacked any signs other than LMWP, and three of which had several signs other than LMWP, i.e., hypercalciuria, aminoaciduria, hypophosphatemia, and rickets. One nonsense (E118X) and one missense (W22G) mutation were found in three patients in the two families having only LMWP. One genomic deletion including exons 5 to 8 in the CLCN5 gene was found in a patient with hypophosphatemic rickets, and a nonsense mutation (R347X) was found in one patient with LMWP and slight hypercalciuria. No mutations of the exons and exon-intron boundaries in the CLCN5 gene were found in one patient with LMWP, aminoaciduria, and hypokalemia. In addition to the predicted loss of chloride channel function in these nonsense and deletion mutations, the loss of function in the missense mutation W22G was confirmed in the Xenopus oocyte expression system. These results clarified four novel mutations in the CLCN5 genes, and additionally suggested that the loss-of-function mutation of the CLCN5 does not necessarily lead to hypercalciuria and nephrocalcinosis in the early stage of the disease, and that LMWP is an early and essential manifestation of disorders of the CLC-5 chloride channel.","container-title":"Journal of the American Society of Nephrology: JASN","ISSN":"1046-6673","issue":"5","journalAbbreviation":"J. Am. Soc. Nephrol.","language":"eng","note":"PMID: 9596078","page":"811-818","source":"PubMed","title":"Mutations in CLCN5 chloride channel in Japanese patients with low molecular weight proteinuria","volume":"9","author":[{"family":"Morimoto","given":"T."},{"family":"Uchida","given":"S."},{"family":"Sakamoto","given":"H."},{"family":"Kondo","given":"Y."},{"family":"Hanamizu","given":"H."},{"family":"Fukui","given":"M."},{"family":"Tomino","given":"Y."},{"family":"Nagano","given":"N."},{"family":"Sasaki","given":"S."},{"family":"Marumo","given":"F."}],"issued":{"date-parts":[["1998",5]]}}}],"schema":"https://github.com/citation-style-language/schema/raw/master/csl-citation.json"} </w:instrText>
            </w:r>
            <w:r w:rsidRPr="00BC0897">
              <w:rPr>
                <w:rFonts w:ascii="Times New Roman" w:hAnsi="Times New Roman" w:cs="Times New Roman"/>
                <w:sz w:val="20"/>
                <w:szCs w:val="20"/>
                <w:lang w:val="en-US"/>
              </w:rPr>
              <w:fldChar w:fldCharType="separate"/>
            </w:r>
            <w:r w:rsidR="00040F98" w:rsidRPr="00BC0897">
              <w:rPr>
                <w:rFonts w:ascii="Times New Roman" w:hAnsi="Times New Roman" w:cs="Times New Roman"/>
                <w:sz w:val="20"/>
              </w:rPr>
              <w:t>(Morimoto et al. 1998)</w:t>
            </w:r>
            <w:r w:rsidRPr="00BC0897">
              <w:rPr>
                <w:rFonts w:ascii="Times New Roman" w:hAnsi="Times New Roman" w:cs="Times New Roman"/>
                <w:sz w:val="20"/>
                <w:szCs w:val="20"/>
                <w:lang w:val="en-US"/>
              </w:rPr>
              <w:fldChar w:fldCharType="end"/>
            </w:r>
          </w:p>
        </w:tc>
      </w:tr>
      <w:tr w:rsidR="00646A25" w:rsidRPr="00BC0897" w:rsidTr="007B380E">
        <w:trPr>
          <w:trHeight w:val="600"/>
        </w:trPr>
        <w:tc>
          <w:tcPr>
            <w:tcW w:w="84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c.366G&gt;A</w:t>
            </w:r>
          </w:p>
        </w:tc>
        <w:tc>
          <w:tcPr>
            <w:tcW w:w="187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p.Trp122*</w:t>
            </w:r>
          </w:p>
        </w:tc>
        <w:tc>
          <w:tcPr>
            <w:tcW w:w="283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FGGS, FSGS, Podocyte hypertrophy, Collapse of the glomerular tuft</w:t>
            </w:r>
          </w:p>
        </w:tc>
        <w:tc>
          <w:tcPr>
            <w:tcW w:w="255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Mild interstitial fibrosis, foci of tubular atrophy</w:t>
            </w:r>
          </w:p>
        </w:tc>
        <w:tc>
          <w:tcPr>
            <w:tcW w:w="198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Collapsed glomerulus (only 1 analyzed)</w:t>
            </w:r>
          </w:p>
        </w:tc>
        <w:tc>
          <w:tcPr>
            <w:tcW w:w="1559"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Negative</w:t>
            </w:r>
          </w:p>
        </w:tc>
        <w:tc>
          <w:tcPr>
            <w:tcW w:w="1701" w:type="dxa"/>
            <w:vAlign w:val="center"/>
            <w:hideMark/>
          </w:tcPr>
          <w:p w:rsidR="00646A25" w:rsidRPr="00BC0897" w:rsidRDefault="00646A25" w:rsidP="00A44008">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000F21AB" w:rsidRPr="00BC0897">
              <w:rPr>
                <w:rFonts w:ascii="Times New Roman" w:hAnsi="Times New Roman" w:cs="Times New Roman"/>
                <w:sz w:val="20"/>
                <w:szCs w:val="20"/>
                <w:lang w:val="en-US"/>
              </w:rPr>
              <w:instrText xml:space="preserve"> ADDIN ZOTERO_ITEM CSL_CITATION {"citationID":"cxCcQlmy","properties":{"formattedCitation":"(Frishberg et al. 2009)","plainCitation":"(Frishberg et al. 2009)","noteIndex":0},"citationItems":[{"id":252,"uris":["http://zotero.org/users/local/jkkvYBSC/items/F9K9WMU6"],"uri":["http://zotero.org/users/local/jkkvYBSC/items/F9K9WMU6"],"itemData":{"id":252,"type":"article-journal","abstract":"Dent's disease is an X-linked proximal tubulopathy. It often manifests in childhood with symptoms of Fanconi syndrome and low-molecular-weight proteinuria. We describe four boys from three unrelated families whose only presenting symptoms of Dent's disease were nephrotic-range proteinuria and histological findings of focal segmental and/or global glomerulosclerosis. In all families, a causal mutation in the CLCN5 gene, encoding a voltage-gated chloride transporter and chloride-proton exchanger, was identified. All three mutations are pathogenic: two are novel (p.Asp727fs and p.Trp122X), and one is a recurrent mutation, p.R648X. Given the atypical phenotype of these patients with Dent's disease, it is possible that this clinical entity is markedly underdiagnosed and that our report represents only the tip of the iceberg. The diagnosis of Dent's disease should be considered in all patients with nephrotic-range proteinuria without hypoalbuminemia or edema. Establishing the diagnosis of Dent's disease will prevent the administration of unnecessary immunosuppressive medications with their undesirable side effects.","container-title":"Pediatric Nephrology (Berlin, Germany)","DOI":"10.1007/s00467-009-1299-2","ISSN":"1432-198X","issue":"12","journalAbbreviation":"Pediatr. Nephrol.","language":"eng","note":"PMID: 19806368","page":"2369-2373","source":"PubMed","title":"Dent's disease manifesting as focal glomerulosclerosis: Is it the tip of the iceberg?","title-short":"Dent's disease manifesting as focal glomerulosclerosis","volume":"24","author":[{"family":"Frishberg","given":"Yaacov"},{"family":"Dinour","given":"Dganit"},{"family":"Belostotsky","given":"Ruth"},{"family":"Becker-Cohen","given":"Rachel"},{"family":"Rinat","given":"Choni"},{"family":"Feinstein","given":"Sofia"},{"family":"Navon-Elkan","given":"Paulina"},{"family":"Ben-Shalom","given":"Efrat"}],"issued":{"date-parts":[["2009",12]]}}}],"schema":"https://github.com/citation-style-language/schema/raw/master/csl-citation.json"} </w:instrText>
            </w:r>
            <w:r w:rsidRPr="00BC0897">
              <w:rPr>
                <w:rFonts w:ascii="Times New Roman" w:hAnsi="Times New Roman" w:cs="Times New Roman"/>
                <w:sz w:val="20"/>
                <w:szCs w:val="20"/>
                <w:lang w:val="en-US"/>
              </w:rPr>
              <w:fldChar w:fldCharType="separate"/>
            </w:r>
            <w:r w:rsidR="000F21AB" w:rsidRPr="00BC0897">
              <w:rPr>
                <w:rFonts w:ascii="Times New Roman" w:hAnsi="Times New Roman" w:cs="Times New Roman"/>
                <w:sz w:val="20"/>
                <w:szCs w:val="20"/>
              </w:rPr>
              <w:t>(Frishberg et al. 2009)</w:t>
            </w:r>
            <w:r w:rsidRPr="00BC0897">
              <w:rPr>
                <w:rFonts w:ascii="Times New Roman" w:hAnsi="Times New Roman" w:cs="Times New Roman"/>
                <w:sz w:val="20"/>
                <w:szCs w:val="20"/>
                <w:lang w:val="en-US"/>
              </w:rPr>
              <w:fldChar w:fldCharType="end"/>
            </w:r>
          </w:p>
        </w:tc>
      </w:tr>
      <w:tr w:rsidR="00646A25" w:rsidRPr="00BC0897" w:rsidTr="007B380E">
        <w:trPr>
          <w:trHeight w:val="273"/>
        </w:trPr>
        <w:tc>
          <w:tcPr>
            <w:tcW w:w="846" w:type="dxa"/>
            <w:shd w:val="clear" w:color="auto" w:fill="auto"/>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shd w:val="clear" w:color="auto" w:fill="auto"/>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Exon 5 deletion</w:t>
            </w:r>
          </w:p>
        </w:tc>
        <w:tc>
          <w:tcPr>
            <w:tcW w:w="1872" w:type="dxa"/>
            <w:shd w:val="clear" w:color="auto" w:fill="auto"/>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2835" w:type="dxa"/>
            <w:shd w:val="clear" w:color="auto" w:fill="auto"/>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Glomerulosclerosis, Mesangial proliferation</w:t>
            </w:r>
          </w:p>
        </w:tc>
        <w:tc>
          <w:tcPr>
            <w:tcW w:w="2555" w:type="dxa"/>
            <w:shd w:val="clear" w:color="auto" w:fill="auto"/>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 xml:space="preserve">Tubular atrophy, </w:t>
            </w:r>
            <w:proofErr w:type="spellStart"/>
            <w:r w:rsidRPr="00BC0897">
              <w:rPr>
                <w:rFonts w:ascii="Times New Roman" w:hAnsi="Times New Roman" w:cs="Times New Roman"/>
                <w:sz w:val="20"/>
                <w:szCs w:val="20"/>
                <w:lang w:val="en-US"/>
              </w:rPr>
              <w:t>Intratubular</w:t>
            </w:r>
            <w:proofErr w:type="spellEnd"/>
            <w:r w:rsidRPr="00BC0897">
              <w:rPr>
                <w:rFonts w:ascii="Times New Roman" w:hAnsi="Times New Roman" w:cs="Times New Roman"/>
                <w:sz w:val="20"/>
                <w:szCs w:val="20"/>
                <w:lang w:val="en-US"/>
              </w:rPr>
              <w:t xml:space="preserve"> </w:t>
            </w:r>
            <w:proofErr w:type="spellStart"/>
            <w:r w:rsidRPr="00BC0897">
              <w:rPr>
                <w:rFonts w:ascii="Times New Roman" w:hAnsi="Times New Roman" w:cs="Times New Roman"/>
                <w:sz w:val="20"/>
                <w:szCs w:val="20"/>
                <w:lang w:val="en-US"/>
              </w:rPr>
              <w:t>proteinaceous</w:t>
            </w:r>
            <w:proofErr w:type="spellEnd"/>
            <w:r w:rsidRPr="00BC0897">
              <w:rPr>
                <w:rFonts w:ascii="Times New Roman" w:hAnsi="Times New Roman" w:cs="Times New Roman"/>
                <w:sz w:val="20"/>
                <w:szCs w:val="20"/>
                <w:lang w:val="en-US"/>
              </w:rPr>
              <w:t xml:space="preserve"> casts, No calcification</w:t>
            </w:r>
          </w:p>
        </w:tc>
        <w:tc>
          <w:tcPr>
            <w:tcW w:w="1985" w:type="dxa"/>
            <w:shd w:val="clear" w:color="auto" w:fill="auto"/>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shd w:val="clear" w:color="auto" w:fill="auto"/>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Negative</w:t>
            </w:r>
          </w:p>
        </w:tc>
        <w:tc>
          <w:tcPr>
            <w:tcW w:w="1701" w:type="dxa"/>
            <w:shd w:val="clear" w:color="auto" w:fill="auto"/>
            <w:vAlign w:val="center"/>
            <w:hideMark/>
          </w:tcPr>
          <w:p w:rsidR="00646A25" w:rsidRPr="00BC0897" w:rsidRDefault="00646A25" w:rsidP="00A44008">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00E41E4B" w:rsidRPr="00BC0897">
              <w:rPr>
                <w:rFonts w:ascii="Times New Roman" w:hAnsi="Times New Roman" w:cs="Times New Roman"/>
                <w:sz w:val="20"/>
                <w:szCs w:val="20"/>
                <w:lang w:val="en-US"/>
              </w:rPr>
              <w:instrText xml:space="preserve"> ADDIN ZOTERO_ITEM CSL_CITATION {"citationID":"byfF8XVw","properties":{"formattedCitation":"(Brakemeier et al. 2004)","plainCitation":"(Brakemeier et al. 2004)","noteIndex":0},"citationItems":[{"id":"p7ATYret/40gyl0tq","uris":["http://zotero.org/users/local/jkkvYBSC/items/SBGSCF77"],"uri":["http://zotero.org/users/local/jkkvYBSC/items/SBGSCF77"],"itemData":{"id":840,"type":"article-journal","abstract":"Dent's disease is an inherited tubulopathy caused by a mutation in the CLCN5 chloride channel gene. It is characterized by low-molecular weight proteinuria, hypercalciuria, nephrolithiasis or nephrocalcinosis, rickets and eventual-progressive renal failure. Onset of clinical symptoms show a great variability, making a diagnosis at an early stage of the disease often difficult. Given the variably clinical picture, genetic analysis can provide a reliable method to confirm the diagnosis. Here, we report on the case of a patient with progressive renal failure showing signs of a tubular lesion and symptoms of Dent's disease. Although this rare disease was suspected by means of the clinical features, it was genetic analysis that confirmed the diagnosis and revealed a novel mutation in the CLCN5 gene.","container-title":"Clinical Nephrology","DOI":"10.5414/cnp62387","ISSN":"0301-0430","issue":"5","journalAbbreviation":"Clin. Nephrol.","language":"eng","note":"PMID: 15571186","page":"387-390","source":"PubMed","title":"Dent's disease: identification of a novel mutation in the renal chloride channel CLCN5","title-short":"Dent's disease","volume":"62","author":[{"family":"Brakemeier","given":"S."},{"family":"Si","given":"H."},{"family":"Gollasch","given":"M."},{"family":"Höffler","given":"D."},{"family":"Buhl","given":"M."},{"family":"Köhler","given":"R."},{"family":"Hoyer","given":"J."},{"family":"Eichler","given":"I."}],"issued":{"date-parts":[["2004",11]]}}}],"schema":"https://github.com/citation-style-language/schema/raw/master/csl-citation.json"} </w:instrText>
            </w:r>
            <w:r w:rsidRPr="00BC0897">
              <w:rPr>
                <w:rFonts w:ascii="Times New Roman" w:hAnsi="Times New Roman" w:cs="Times New Roman"/>
                <w:sz w:val="20"/>
                <w:szCs w:val="20"/>
                <w:lang w:val="en-US"/>
              </w:rPr>
              <w:fldChar w:fldCharType="separate"/>
            </w:r>
            <w:r w:rsidR="000F21AB" w:rsidRPr="00BC0897">
              <w:rPr>
                <w:rFonts w:ascii="Times New Roman" w:hAnsi="Times New Roman" w:cs="Times New Roman"/>
                <w:sz w:val="20"/>
                <w:szCs w:val="20"/>
              </w:rPr>
              <w:t>(Brakemeier et al. 2004)</w:t>
            </w:r>
            <w:r w:rsidRPr="00BC0897">
              <w:rPr>
                <w:rFonts w:ascii="Times New Roman" w:hAnsi="Times New Roman" w:cs="Times New Roman"/>
                <w:sz w:val="20"/>
                <w:szCs w:val="20"/>
                <w:lang w:val="en-US"/>
              </w:rPr>
              <w:fldChar w:fldCharType="end"/>
            </w:r>
          </w:p>
        </w:tc>
      </w:tr>
      <w:tr w:rsidR="00646A25" w:rsidRPr="002212C2" w:rsidTr="007B380E">
        <w:trPr>
          <w:trHeight w:val="279"/>
        </w:trPr>
        <w:tc>
          <w:tcPr>
            <w:tcW w:w="84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87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p.Asp130Gly</w:t>
            </w:r>
          </w:p>
        </w:tc>
        <w:tc>
          <w:tcPr>
            <w:tcW w:w="283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FSGS, FGGS</w:t>
            </w:r>
          </w:p>
        </w:tc>
        <w:tc>
          <w:tcPr>
            <w:tcW w:w="255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Tubular atrophy and dilatation</w:t>
            </w:r>
          </w:p>
        </w:tc>
        <w:tc>
          <w:tcPr>
            <w:tcW w:w="198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hideMark/>
          </w:tcPr>
          <w:p w:rsidR="00925F4B" w:rsidRPr="00BC0897" w:rsidRDefault="00646A25" w:rsidP="00040F98">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00040F98" w:rsidRPr="00BC0897">
              <w:rPr>
                <w:rFonts w:ascii="Times New Roman" w:hAnsi="Times New Roman" w:cs="Times New Roman"/>
                <w:sz w:val="20"/>
                <w:szCs w:val="20"/>
                <w:lang w:val="en-US"/>
              </w:rPr>
              <w:instrText xml:space="preserve"> ADDIN ZOTERO_ITEM CSL_CITATION {"citationID":"WWRwCoWK","properties":{"formattedCitation":"(Saida et al. 2014)","plainCitation":"(Saida et al. 2014)","noteIndex":0},"citationItems":[{"id":1469,"uris":["http://zotero.org/users/local/jkkvYBSC/items/9AJYXX43"],"uri":["http://zotero.org/users/local/jkkvYBSC/items/9AJYXX43"],"itemData":{"id":1469,"type":"article-journal","abstract":"Dent disease is an inherited tubulopathy caused by a mutation in the CLCN5 chloride channel gene. In cases of Dent disease in Japan (Japanese Dent, J-Dent), renal function is generally preserved and rarely progresses to advanced kidney dysfunction. However, the long-term prognosis of J-Dent remains unknown. We report the case of a 32-year-old man with J-Dent who developed advanced kidney dysfunction. Since the age of 3 years, he persistently exhibited proteinuria, and examination of a kidney biopsy specimen indicated focal segmental glomerulosclerosis (FSGS)-like lesions. Repeated corticosteroid treatments were found to be ineffective. After the age of 18 years, the patient was lost to follow-up and treatment was discontinued. The patient presented to our hospital again at the age of 32 years with advanced kidney dysfunction with low-molecular-weight proteinuria (LMWP), along with proximal tubular dysfunction and nephrocalcinosis. The patient's 5-year-old nephew was also found to have LMWP from the age of 7 months. Therefore, Dent disease was suspected and genetic testing in the patient and his nephew revealed a CLCN5 mutation. Our case report suggests that J-Dent may cause advanced kidney dysfunction in adulthood, and, therefore, close collaboration between pediatricians and nephrologists is essential for the early identification of this complication. When male patients exhibit chronic kidney disease (CKD) of unknown etiology along with proximal tubular dysfunction and nephrocalcinosis, Dent disease should be considered. Investigations of undiagnosed adult J-Dent cases and further research on the natural history of J-Dent will help us better understand its clinical characteristics, prognosis, and effective treatment options.","container-title":"CEN case reports","DOI":"10.1007/s13730-013-0102-1","ISSN":"2192-4449","issue":"2","journalAbbreviation":"CEN Case Rep","language":"eng","note":"PMID: 28509186\nPMCID: PMC5411561","page":"132-138","source":"PubMed","title":"A case of adult Dent disease in Japan with advanced chronic kidney disease","volume":"3","author":[{"family":"Saida","given":"Ken"},{"family":"Kamijo","given":"Yuji"},{"family":"Matsuoka","given":"Daisuke"},{"family":"Noda","given":"Shunsuke"},{"family":"Hidaka","given":"Yoshihiko"},{"family":"Mori","given":"Tetsuo"},{"family":"Shimojo","given":"Hisashi"},{"family":"Ehara","given":"Takashi"},{"family":"Miura","given":"Kenichiro"},{"family":"Takita","given":"Junko"},{"family":"Sekine","given":"Takashi"},{"family":"Igarashi","given":"Takashi"},{"family":"Koike","given":"Kenichi"}],"issued":{"date-parts":[["2014",11]]}}}],"schema":"https://github.com/citation-style-language/schema/raw/master/csl-citation.json"} </w:instrText>
            </w:r>
            <w:r w:rsidRPr="00BC0897">
              <w:rPr>
                <w:rFonts w:ascii="Times New Roman" w:hAnsi="Times New Roman" w:cs="Times New Roman"/>
                <w:sz w:val="20"/>
                <w:szCs w:val="20"/>
                <w:lang w:val="en-US"/>
              </w:rPr>
              <w:fldChar w:fldCharType="separate"/>
            </w:r>
            <w:r w:rsidR="00040F98" w:rsidRPr="00BC0897">
              <w:rPr>
                <w:rFonts w:ascii="Times New Roman" w:hAnsi="Times New Roman" w:cs="Times New Roman"/>
                <w:sz w:val="20"/>
                <w:lang w:val="en-US"/>
              </w:rPr>
              <w:t>(Saida et al. 2014)</w:t>
            </w:r>
            <w:r w:rsidRPr="00BC0897">
              <w:rPr>
                <w:rFonts w:ascii="Times New Roman" w:hAnsi="Times New Roman" w:cs="Times New Roman"/>
                <w:sz w:val="20"/>
                <w:szCs w:val="20"/>
                <w:lang w:val="en-US"/>
              </w:rPr>
              <w:fldChar w:fldCharType="end"/>
            </w:r>
          </w:p>
        </w:tc>
      </w:tr>
      <w:tr w:rsidR="00925F4B" w:rsidRPr="002212C2" w:rsidTr="007B380E">
        <w:trPr>
          <w:trHeight w:val="300"/>
        </w:trPr>
        <w:tc>
          <w:tcPr>
            <w:tcW w:w="846" w:type="dxa"/>
            <w:vMerge w:val="restart"/>
            <w:vAlign w:val="center"/>
            <w:hideMark/>
          </w:tcPr>
          <w:p w:rsidR="00925F4B" w:rsidRPr="00BC0897" w:rsidRDefault="00925F4B" w:rsidP="00B86952">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lastRenderedPageBreak/>
              <w:t>Dent disease type</w:t>
            </w:r>
          </w:p>
        </w:tc>
        <w:tc>
          <w:tcPr>
            <w:tcW w:w="3715" w:type="dxa"/>
            <w:gridSpan w:val="2"/>
            <w:vAlign w:val="center"/>
            <w:hideMark/>
          </w:tcPr>
          <w:p w:rsidR="00925F4B" w:rsidRPr="00BC0897" w:rsidRDefault="00925F4B" w:rsidP="00B86952">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Mutation</w:t>
            </w:r>
          </w:p>
        </w:tc>
        <w:tc>
          <w:tcPr>
            <w:tcW w:w="5390" w:type="dxa"/>
            <w:gridSpan w:val="2"/>
            <w:vAlign w:val="center"/>
            <w:hideMark/>
          </w:tcPr>
          <w:p w:rsidR="00925F4B" w:rsidRPr="00BC0897" w:rsidRDefault="00925F4B" w:rsidP="00B86952">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Histology</w:t>
            </w:r>
          </w:p>
        </w:tc>
        <w:tc>
          <w:tcPr>
            <w:tcW w:w="1985" w:type="dxa"/>
            <w:vMerge w:val="restart"/>
            <w:vAlign w:val="center"/>
            <w:hideMark/>
          </w:tcPr>
          <w:p w:rsidR="00925F4B" w:rsidRPr="00BC0897" w:rsidRDefault="00925F4B" w:rsidP="00B86952">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TEM</w:t>
            </w:r>
          </w:p>
        </w:tc>
        <w:tc>
          <w:tcPr>
            <w:tcW w:w="1559" w:type="dxa"/>
            <w:vMerge w:val="restart"/>
            <w:vAlign w:val="center"/>
            <w:hideMark/>
          </w:tcPr>
          <w:p w:rsidR="00925F4B" w:rsidRPr="00BC0897" w:rsidRDefault="00925F4B" w:rsidP="00B86952">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IF</w:t>
            </w:r>
          </w:p>
        </w:tc>
        <w:tc>
          <w:tcPr>
            <w:tcW w:w="1701" w:type="dxa"/>
            <w:vMerge w:val="restart"/>
            <w:vAlign w:val="center"/>
            <w:hideMark/>
          </w:tcPr>
          <w:p w:rsidR="00925F4B" w:rsidRPr="00BC0897" w:rsidRDefault="00925F4B" w:rsidP="00B86952">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Ref</w:t>
            </w:r>
          </w:p>
        </w:tc>
      </w:tr>
      <w:tr w:rsidR="00925F4B" w:rsidRPr="002212C2" w:rsidTr="007B380E">
        <w:trPr>
          <w:trHeight w:val="258"/>
        </w:trPr>
        <w:tc>
          <w:tcPr>
            <w:tcW w:w="846" w:type="dxa"/>
            <w:vMerge/>
            <w:vAlign w:val="center"/>
            <w:hideMark/>
          </w:tcPr>
          <w:p w:rsidR="00925F4B" w:rsidRPr="00BC0897" w:rsidRDefault="00925F4B" w:rsidP="00B86952">
            <w:pPr>
              <w:spacing w:after="0"/>
              <w:jc w:val="center"/>
              <w:rPr>
                <w:rFonts w:ascii="Times New Roman" w:hAnsi="Times New Roman" w:cs="Times New Roman"/>
                <w:b/>
                <w:bCs/>
                <w:sz w:val="20"/>
                <w:szCs w:val="20"/>
                <w:lang w:val="en-US"/>
              </w:rPr>
            </w:pPr>
          </w:p>
        </w:tc>
        <w:tc>
          <w:tcPr>
            <w:tcW w:w="1843" w:type="dxa"/>
            <w:vAlign w:val="center"/>
            <w:hideMark/>
          </w:tcPr>
          <w:p w:rsidR="00925F4B" w:rsidRPr="00BC0897" w:rsidRDefault="00925F4B" w:rsidP="00B86952">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Nucleotide</w:t>
            </w:r>
          </w:p>
        </w:tc>
        <w:tc>
          <w:tcPr>
            <w:tcW w:w="1872" w:type="dxa"/>
            <w:vAlign w:val="center"/>
            <w:hideMark/>
          </w:tcPr>
          <w:p w:rsidR="00925F4B" w:rsidRPr="00BC0897" w:rsidRDefault="00925F4B" w:rsidP="00B86952">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Protein</w:t>
            </w:r>
          </w:p>
        </w:tc>
        <w:tc>
          <w:tcPr>
            <w:tcW w:w="2835" w:type="dxa"/>
            <w:vAlign w:val="center"/>
            <w:hideMark/>
          </w:tcPr>
          <w:p w:rsidR="00925F4B" w:rsidRPr="00BC0897" w:rsidRDefault="00925F4B" w:rsidP="00B86952">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Glomerular</w:t>
            </w:r>
          </w:p>
        </w:tc>
        <w:tc>
          <w:tcPr>
            <w:tcW w:w="2555" w:type="dxa"/>
            <w:vAlign w:val="center"/>
            <w:hideMark/>
          </w:tcPr>
          <w:p w:rsidR="00925F4B" w:rsidRPr="00BC0897" w:rsidRDefault="00925F4B" w:rsidP="00B86952">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Interstitial</w:t>
            </w:r>
          </w:p>
        </w:tc>
        <w:tc>
          <w:tcPr>
            <w:tcW w:w="1985" w:type="dxa"/>
            <w:vMerge/>
            <w:vAlign w:val="center"/>
            <w:hideMark/>
          </w:tcPr>
          <w:p w:rsidR="00925F4B" w:rsidRPr="00BC0897" w:rsidRDefault="00925F4B" w:rsidP="00B86952">
            <w:pPr>
              <w:spacing w:after="0"/>
              <w:jc w:val="center"/>
              <w:rPr>
                <w:rFonts w:ascii="Times New Roman" w:hAnsi="Times New Roman" w:cs="Times New Roman"/>
                <w:b/>
                <w:bCs/>
                <w:sz w:val="20"/>
                <w:szCs w:val="20"/>
                <w:lang w:val="en-US"/>
              </w:rPr>
            </w:pPr>
          </w:p>
        </w:tc>
        <w:tc>
          <w:tcPr>
            <w:tcW w:w="1559" w:type="dxa"/>
            <w:vMerge/>
            <w:vAlign w:val="center"/>
            <w:hideMark/>
          </w:tcPr>
          <w:p w:rsidR="00925F4B" w:rsidRPr="00BC0897" w:rsidRDefault="00925F4B" w:rsidP="00B86952">
            <w:pPr>
              <w:spacing w:after="0"/>
              <w:jc w:val="center"/>
              <w:rPr>
                <w:rFonts w:ascii="Times New Roman" w:hAnsi="Times New Roman" w:cs="Times New Roman"/>
                <w:b/>
                <w:bCs/>
                <w:sz w:val="20"/>
                <w:szCs w:val="20"/>
                <w:lang w:val="en-US"/>
              </w:rPr>
            </w:pPr>
          </w:p>
        </w:tc>
        <w:tc>
          <w:tcPr>
            <w:tcW w:w="1701" w:type="dxa"/>
            <w:vMerge/>
            <w:vAlign w:val="center"/>
            <w:hideMark/>
          </w:tcPr>
          <w:p w:rsidR="00925F4B" w:rsidRPr="00BC0897" w:rsidRDefault="00925F4B" w:rsidP="00B86952">
            <w:pPr>
              <w:spacing w:after="0"/>
              <w:jc w:val="center"/>
              <w:rPr>
                <w:rFonts w:ascii="Times New Roman" w:hAnsi="Times New Roman" w:cs="Times New Roman"/>
                <w:b/>
                <w:bCs/>
                <w:sz w:val="20"/>
                <w:szCs w:val="20"/>
                <w:lang w:val="en-US"/>
              </w:rPr>
            </w:pPr>
          </w:p>
        </w:tc>
      </w:tr>
      <w:tr w:rsidR="00646A25" w:rsidRPr="002212C2" w:rsidTr="007B380E">
        <w:trPr>
          <w:trHeight w:val="419"/>
        </w:trPr>
        <w:tc>
          <w:tcPr>
            <w:tcW w:w="84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c.458_459insA</w:t>
            </w:r>
          </w:p>
        </w:tc>
        <w:tc>
          <w:tcPr>
            <w:tcW w:w="187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p.Thr153fs*15</w:t>
            </w:r>
          </w:p>
        </w:tc>
        <w:tc>
          <w:tcPr>
            <w:tcW w:w="283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Mesangial proliferative glomerulonephritis</w:t>
            </w:r>
          </w:p>
        </w:tc>
        <w:tc>
          <w:tcPr>
            <w:tcW w:w="255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98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hideMark/>
          </w:tcPr>
          <w:p w:rsidR="00646A25" w:rsidRPr="00BC0897" w:rsidRDefault="00646A25" w:rsidP="00A44008">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000F21AB" w:rsidRPr="00BC0897">
              <w:rPr>
                <w:rFonts w:ascii="Times New Roman" w:hAnsi="Times New Roman" w:cs="Times New Roman"/>
                <w:sz w:val="20"/>
                <w:szCs w:val="20"/>
                <w:lang w:val="en-US"/>
              </w:rPr>
              <w:instrText xml:space="preserve"> ADDIN ZOTERO_ITEM CSL_CITATION {"citationID":"k10nt8zZ","properties":{"formattedCitation":"(Bao et al. 2019)","plainCitation":"(Bao et al. 2019)","noteIndex":0},"citationItems":[{"id":259,"uris":["http://zotero.org/users/local/jkkvYBSC/items/A2LVT5AF"],"uri":["http://zotero.org/users/local/jkkvYBSC/items/A2LVT5AF"],"itemData":{"id":259,"type":"article-journal","container-title":"Science China. Life Sciences","DOI":"10.1007/s11427-018-9829-0","ISSN":"1869-1889","issue":"12","journalAbbreviation":"Sci China Life Sci","language":"eng","note":"PMID: 31701402","page":"1590-1593","source":"PubMed","title":"Clinical and genetic analysis of Dent disease with nephrotic range albuminuria in Shaanxi, China","volume":"62","author":[{"family":"Bao","given":"Ying"},{"family":"Suo","given":"Lei"},{"family":"Qian","given":"Pei"},{"family":"Huang","given":"Huimei"},{"family":"Yang","given":"Ying"},{"family":"Tang","given":"Jun"},{"family":"Zhang","given":"Min"},{"family":"Li","given":"Zhijuan"},{"family":"Wang","given":"Ying"},{"family":"Liang","given":"Nan"},{"family":"Wang","given":"Yili"}],"issued":{"date-parts":[["2019",12]]}}}],"schema":"https://github.com/citation-style-language/schema/raw/master/csl-citation.json"} </w:instrText>
            </w:r>
            <w:r w:rsidRPr="00BC0897">
              <w:rPr>
                <w:rFonts w:ascii="Times New Roman" w:hAnsi="Times New Roman" w:cs="Times New Roman"/>
                <w:sz w:val="20"/>
                <w:szCs w:val="20"/>
                <w:lang w:val="en-US"/>
              </w:rPr>
              <w:fldChar w:fldCharType="separate"/>
            </w:r>
            <w:r w:rsidR="000F21AB" w:rsidRPr="00BC0897">
              <w:rPr>
                <w:rFonts w:ascii="Times New Roman" w:hAnsi="Times New Roman" w:cs="Times New Roman"/>
                <w:sz w:val="20"/>
                <w:szCs w:val="20"/>
                <w:lang w:val="en-US"/>
              </w:rPr>
              <w:t>(Bao et al. 2019)</w:t>
            </w:r>
            <w:r w:rsidRPr="00BC0897">
              <w:rPr>
                <w:rFonts w:ascii="Times New Roman" w:hAnsi="Times New Roman" w:cs="Times New Roman"/>
                <w:sz w:val="20"/>
                <w:szCs w:val="20"/>
                <w:lang w:val="en-US"/>
              </w:rPr>
              <w:fldChar w:fldCharType="end"/>
            </w:r>
          </w:p>
        </w:tc>
      </w:tr>
      <w:tr w:rsidR="007B380E" w:rsidRPr="00BC0897" w:rsidTr="007B380E">
        <w:trPr>
          <w:trHeight w:val="419"/>
        </w:trPr>
        <w:tc>
          <w:tcPr>
            <w:tcW w:w="846" w:type="dxa"/>
            <w:noWrap/>
            <w:vAlign w:val="center"/>
          </w:tcPr>
          <w:p w:rsidR="007B380E" w:rsidRPr="00BC0897" w:rsidRDefault="007B380E"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tcPr>
          <w:p w:rsidR="007B380E" w:rsidRPr="00BC0897" w:rsidRDefault="007B380E"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c.483delA</w:t>
            </w:r>
          </w:p>
        </w:tc>
        <w:tc>
          <w:tcPr>
            <w:tcW w:w="1872" w:type="dxa"/>
            <w:vAlign w:val="center"/>
          </w:tcPr>
          <w:p w:rsidR="007B380E" w:rsidRPr="00BC0897" w:rsidRDefault="007B380E"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p.Gly163Aspfs*45</w:t>
            </w:r>
          </w:p>
        </w:tc>
        <w:tc>
          <w:tcPr>
            <w:tcW w:w="2835" w:type="dxa"/>
            <w:vAlign w:val="center"/>
          </w:tcPr>
          <w:p w:rsidR="007B380E" w:rsidRPr="00BC0897" w:rsidRDefault="007B380E"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Mesangial proliferative glomerulonephritis</w:t>
            </w:r>
          </w:p>
        </w:tc>
        <w:tc>
          <w:tcPr>
            <w:tcW w:w="2555" w:type="dxa"/>
            <w:vAlign w:val="center"/>
          </w:tcPr>
          <w:p w:rsidR="007B380E" w:rsidRPr="00BC0897" w:rsidRDefault="007B380E" w:rsidP="00C228AD">
            <w:pPr>
              <w:spacing w:after="0"/>
              <w:jc w:val="center"/>
              <w:rPr>
                <w:rFonts w:ascii="Times New Roman" w:hAnsi="Times New Roman" w:cs="Times New Roman"/>
                <w:sz w:val="20"/>
                <w:szCs w:val="20"/>
                <w:lang w:val="en-US"/>
              </w:rPr>
            </w:pPr>
          </w:p>
        </w:tc>
        <w:tc>
          <w:tcPr>
            <w:tcW w:w="1985" w:type="dxa"/>
            <w:vAlign w:val="center"/>
          </w:tcPr>
          <w:p w:rsidR="007B380E" w:rsidRPr="00BC0897" w:rsidRDefault="007B380E"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vAlign w:val="center"/>
          </w:tcPr>
          <w:p w:rsidR="007B380E" w:rsidRPr="00BC0897" w:rsidRDefault="007B380E"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tcPr>
          <w:p w:rsidR="007B380E" w:rsidRPr="00BC0897" w:rsidRDefault="007B380E" w:rsidP="00A44008">
            <w:pPr>
              <w:spacing w:after="0"/>
              <w:jc w:val="center"/>
              <w:rPr>
                <w:rFonts w:ascii="Times New Roman" w:hAnsi="Times New Roman" w:cs="Times New Roman"/>
                <w:sz w:val="20"/>
                <w:szCs w:val="20"/>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{"citationID":"CgkreuOt","properties":{"formattedCitation":"(Deng et al. 2020)","plainCitation":"(Deng et al. 2020)","noteIndex":0},"citationItems":[{"id":2533,"uris":["http://zotero.org/users/local/jkkvYBSC/items/5ERYPQ5M"],"uri":["http://zotero.org/users/local/jkkvYBSC/items/5ERYPQ5M"],"itemData":{"id":2533,"type":"article-journal","abstract":"BACKGROUND: To characterize the phenotypic spectrum and assess the antialbuminuric response to angiotensin converting enzyme (ACE) inhibitor and/or angiotensin receptor blocker (ARB) therapy in a cohort of children with Dent disease.\nMETHODS: The patients' clinical findings, renal biopsy results, genetic and follow-up data were analyzed retrospectively. Mutations in CLCN5 or OCRL were detected by next-generation sequencing or Sanger sequencing.\nRESULTS: Of 31 Dent disease boys, 24 carried CLCN5 and 7 carried OCRL mutations. Low molecular weight proteinuria and albuminuria were detected in all cases. Nephrotic-range proteinuria and severe albuminuria were identified in 52% and 62% of cases, respectively; by 7 years of age, 6 patients had hematuria and nephrotic-range proteinuria, and 7 patients had hematuria and moderate to severe albuminuria. In addition to disease-related renal features, patients with Dent-1 disease also presented with congenital cataract (1/9) and developmental delay (2/7). Seventeen of 31 patients underwent renal biopsy. Glomerular changes included mild glomerular lesions, mesangial proliferative glomerulonephritis and focal segmental glomerular sclerosis. Thirteen of the 31 patients had follow-up records and recei</w:instrText>
            </w:r>
            <w:r w:rsidRPr="00BC0897">
              <w:rPr>
                <w:rFonts w:ascii="Times New Roman" w:hAnsi="Times New Roman" w:cs="Times New Roman"/>
                <w:sz w:val="20"/>
                <w:szCs w:val="20"/>
              </w:rPr>
              <w:instrText xml:space="preserve">ved ACE inhibitor and/or ARB treatment for more than 3 months. After a median 1.7 (range 0.3-8.5) years of treatment, a reduction in the urinary microalbumin-to-creatinine ratio was observed in 54% of children.\nCONCLUSIONS: Hematuria with nephrotic-range proteinuria or moderate to severe albuminuria was common in Dent disease patients. Extrarenal manifestations were observed in Dent-1 patients, which extends the phenotypic spectrum. In addition, ACE inhibitors and ARBs are well tolerated, and they are partially effective in controlling albuminuria.","container-title":"Molecular Genetics &amp; Genomic Medicine","DOI":"10.1002/mgg3.1306","ISSN":"2324-9269","journalAbbreviation":"Mol Genet Genomic Med","language":"eng","note":"PMID: 32495484","page":"e1306","source":"PubMed","title":"Phenotypic spectrum and antialbuminuric response to angiotensin converting enzyme inhibitor and angiotensin receptor blocker therapy in pediatric Dent disease","author":[{"family":"Deng","given":"Haiyue"},{"family":"Zhang","given":"Yanqin"},{"family":"Xiao","given":"Huijie"},{"family":"Yao","given":"Yong"},{"family":"Zhang","given":"Hongwen"},{"family":"Liu","given":"Xiaoyu"},{"family":"Su","given":"Baige"},{"family":"Guan","given":"Na"},{"family":"Zhong","given":"Xuhui"},{"family":"Wang","given":"Suxia"},{"family":"Ding","given":"Jie"},{"family":"Wang","given":"Fang"}],"issued":{"date-parts":[["2020",6,3]]}}}],"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rPr>
              <w:t>(Deng et al. 2020)</w:t>
            </w:r>
            <w:r w:rsidRPr="00BC0897">
              <w:rPr>
                <w:rFonts w:ascii="Times New Roman" w:hAnsi="Times New Roman" w:cs="Times New Roman"/>
                <w:sz w:val="20"/>
                <w:szCs w:val="20"/>
                <w:lang w:val="en-US"/>
              </w:rPr>
              <w:fldChar w:fldCharType="end"/>
            </w:r>
          </w:p>
        </w:tc>
      </w:tr>
      <w:tr w:rsidR="00646A25" w:rsidRPr="002212C2" w:rsidTr="007B380E">
        <w:trPr>
          <w:trHeight w:val="276"/>
        </w:trPr>
        <w:tc>
          <w:tcPr>
            <w:tcW w:w="846" w:type="dxa"/>
            <w:noWrap/>
            <w:vAlign w:val="center"/>
            <w:hideMark/>
          </w:tcPr>
          <w:p w:rsidR="00646A25" w:rsidRPr="00BC0897" w:rsidRDefault="00646A25" w:rsidP="00C228AD">
            <w:pPr>
              <w:spacing w:after="0"/>
              <w:jc w:val="center"/>
              <w:rPr>
                <w:rFonts w:ascii="Times New Roman" w:hAnsi="Times New Roman" w:cs="Times New Roman"/>
                <w:sz w:val="20"/>
                <w:szCs w:val="20"/>
              </w:rPr>
            </w:pPr>
            <w:r w:rsidRPr="00BC0897">
              <w:rPr>
                <w:rFonts w:ascii="Times New Roman" w:hAnsi="Times New Roman" w:cs="Times New Roman"/>
                <w:sz w:val="20"/>
                <w:szCs w:val="20"/>
              </w:rPr>
              <w:t>1</w:t>
            </w:r>
          </w:p>
        </w:tc>
        <w:tc>
          <w:tcPr>
            <w:tcW w:w="1843" w:type="dxa"/>
            <w:vAlign w:val="center"/>
            <w:hideMark/>
          </w:tcPr>
          <w:p w:rsidR="00646A25" w:rsidRPr="00BC0897" w:rsidRDefault="00646A25" w:rsidP="00C228AD">
            <w:pPr>
              <w:spacing w:after="0"/>
              <w:jc w:val="center"/>
              <w:rPr>
                <w:rFonts w:ascii="Times New Roman" w:hAnsi="Times New Roman" w:cs="Times New Roman"/>
                <w:sz w:val="20"/>
                <w:szCs w:val="20"/>
              </w:rPr>
            </w:pPr>
            <w:r w:rsidRPr="00BC0897">
              <w:rPr>
                <w:rFonts w:ascii="Times New Roman" w:hAnsi="Times New Roman" w:cs="Times New Roman"/>
                <w:sz w:val="20"/>
                <w:szCs w:val="20"/>
              </w:rPr>
              <w:t>c.509_510insA</w:t>
            </w:r>
          </w:p>
        </w:tc>
        <w:tc>
          <w:tcPr>
            <w:tcW w:w="1872" w:type="dxa"/>
            <w:vAlign w:val="center"/>
            <w:hideMark/>
          </w:tcPr>
          <w:p w:rsidR="00646A25" w:rsidRPr="00BC0897" w:rsidRDefault="00646A25" w:rsidP="00C228AD">
            <w:pPr>
              <w:spacing w:after="0"/>
              <w:jc w:val="center"/>
              <w:rPr>
                <w:rFonts w:ascii="Times New Roman" w:hAnsi="Times New Roman" w:cs="Times New Roman"/>
                <w:sz w:val="20"/>
                <w:szCs w:val="20"/>
              </w:rPr>
            </w:pPr>
            <w:r w:rsidRPr="00BC0897">
              <w:rPr>
                <w:rFonts w:ascii="Times New Roman" w:hAnsi="Times New Roman" w:cs="Times New Roman"/>
                <w:sz w:val="20"/>
                <w:szCs w:val="20"/>
              </w:rPr>
              <w:t>p.His170fs*7</w:t>
            </w:r>
          </w:p>
        </w:tc>
        <w:tc>
          <w:tcPr>
            <w:tcW w:w="2835" w:type="dxa"/>
            <w:vAlign w:val="center"/>
            <w:hideMark/>
          </w:tcPr>
          <w:p w:rsidR="00646A25" w:rsidRPr="00BC0897" w:rsidRDefault="00646A25" w:rsidP="00C228AD">
            <w:pPr>
              <w:spacing w:after="0"/>
              <w:jc w:val="center"/>
              <w:rPr>
                <w:rFonts w:ascii="Times New Roman" w:hAnsi="Times New Roman" w:cs="Times New Roman"/>
                <w:sz w:val="20"/>
                <w:szCs w:val="20"/>
              </w:rPr>
            </w:pPr>
            <w:r w:rsidRPr="00BC0897">
              <w:rPr>
                <w:rFonts w:ascii="Times New Roman" w:hAnsi="Times New Roman" w:cs="Times New Roman"/>
                <w:sz w:val="20"/>
                <w:szCs w:val="20"/>
              </w:rPr>
              <w:t>Immature glomeruli</w:t>
            </w:r>
          </w:p>
        </w:tc>
        <w:tc>
          <w:tcPr>
            <w:tcW w:w="2555" w:type="dxa"/>
            <w:vAlign w:val="center"/>
            <w:hideMark/>
          </w:tcPr>
          <w:p w:rsidR="00646A25" w:rsidRPr="00BC0897" w:rsidRDefault="00646A25" w:rsidP="00C228AD">
            <w:pPr>
              <w:spacing w:after="0"/>
              <w:jc w:val="center"/>
              <w:rPr>
                <w:rFonts w:ascii="Times New Roman" w:hAnsi="Times New Roman" w:cs="Times New Roman"/>
                <w:sz w:val="20"/>
                <w:szCs w:val="20"/>
              </w:rPr>
            </w:pPr>
            <w:proofErr w:type="spellStart"/>
            <w:r w:rsidRPr="00BC0897">
              <w:rPr>
                <w:rFonts w:ascii="Times New Roman" w:hAnsi="Times New Roman" w:cs="Times New Roman"/>
                <w:sz w:val="20"/>
                <w:szCs w:val="20"/>
              </w:rPr>
              <w:t>Occasional</w:t>
            </w:r>
            <w:proofErr w:type="spellEnd"/>
            <w:r w:rsidRPr="00BC0897">
              <w:rPr>
                <w:rFonts w:ascii="Times New Roman" w:hAnsi="Times New Roman" w:cs="Times New Roman"/>
                <w:sz w:val="20"/>
                <w:szCs w:val="20"/>
              </w:rPr>
              <w:t xml:space="preserve"> </w:t>
            </w:r>
            <w:proofErr w:type="spellStart"/>
            <w:r w:rsidRPr="00BC0897">
              <w:rPr>
                <w:rFonts w:ascii="Times New Roman" w:hAnsi="Times New Roman" w:cs="Times New Roman"/>
                <w:sz w:val="20"/>
                <w:szCs w:val="20"/>
              </w:rPr>
              <w:t>calcium</w:t>
            </w:r>
            <w:proofErr w:type="spellEnd"/>
            <w:r w:rsidRPr="00BC0897">
              <w:rPr>
                <w:rFonts w:ascii="Times New Roman" w:hAnsi="Times New Roman" w:cs="Times New Roman"/>
                <w:sz w:val="20"/>
                <w:szCs w:val="20"/>
              </w:rPr>
              <w:t xml:space="preserve"> </w:t>
            </w:r>
            <w:proofErr w:type="spellStart"/>
            <w:r w:rsidRPr="00BC0897">
              <w:rPr>
                <w:rFonts w:ascii="Times New Roman" w:hAnsi="Times New Roman" w:cs="Times New Roman"/>
                <w:sz w:val="20"/>
                <w:szCs w:val="20"/>
              </w:rPr>
              <w:t>deposits</w:t>
            </w:r>
            <w:proofErr w:type="spellEnd"/>
          </w:p>
        </w:tc>
        <w:tc>
          <w:tcPr>
            <w:tcW w:w="1985" w:type="dxa"/>
            <w:vAlign w:val="center"/>
            <w:hideMark/>
          </w:tcPr>
          <w:p w:rsidR="00646A25" w:rsidRPr="00BC0897" w:rsidRDefault="00646A25" w:rsidP="00C228AD">
            <w:pPr>
              <w:spacing w:after="0"/>
              <w:jc w:val="center"/>
              <w:rPr>
                <w:rFonts w:ascii="Times New Roman" w:hAnsi="Times New Roman" w:cs="Times New Roman"/>
                <w:sz w:val="20"/>
                <w:szCs w:val="20"/>
              </w:rPr>
            </w:pPr>
            <w:r w:rsidRPr="00BC0897">
              <w:rPr>
                <w:rFonts w:ascii="Times New Roman" w:hAnsi="Times New Roman" w:cs="Times New Roman"/>
                <w:sz w:val="20"/>
                <w:szCs w:val="20"/>
              </w:rPr>
              <w:t>N/A</w:t>
            </w:r>
          </w:p>
        </w:tc>
        <w:tc>
          <w:tcPr>
            <w:tcW w:w="1559" w:type="dxa"/>
            <w:vAlign w:val="center"/>
            <w:hideMark/>
          </w:tcPr>
          <w:p w:rsidR="00646A25" w:rsidRPr="00BC0897" w:rsidRDefault="00646A25" w:rsidP="00C228AD">
            <w:pPr>
              <w:spacing w:after="0"/>
              <w:jc w:val="center"/>
              <w:rPr>
                <w:rFonts w:ascii="Times New Roman" w:hAnsi="Times New Roman" w:cs="Times New Roman"/>
                <w:sz w:val="20"/>
                <w:szCs w:val="20"/>
              </w:rPr>
            </w:pPr>
            <w:r w:rsidRPr="00BC0897">
              <w:rPr>
                <w:rFonts w:ascii="Times New Roman" w:hAnsi="Times New Roman" w:cs="Times New Roman"/>
                <w:sz w:val="20"/>
                <w:szCs w:val="20"/>
              </w:rPr>
              <w:t>N/A</w:t>
            </w:r>
          </w:p>
        </w:tc>
        <w:tc>
          <w:tcPr>
            <w:tcW w:w="1701" w:type="dxa"/>
            <w:vAlign w:val="center"/>
            <w:hideMark/>
          </w:tcPr>
          <w:p w:rsidR="000F21AB" w:rsidRPr="00BC0897" w:rsidRDefault="00646A25" w:rsidP="000F21AB">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00040F98" w:rsidRPr="00BC0897">
              <w:rPr>
                <w:rFonts w:ascii="Times New Roman" w:hAnsi="Times New Roman" w:cs="Times New Roman"/>
                <w:sz w:val="20"/>
                <w:szCs w:val="20"/>
              </w:rPr>
              <w:instrText xml:space="preserve"> ADDIN ZOTERO_ITEM CSL_CITATION {"citationID":"F6SIfxUi","properties":{"formattedCitation":"(Matsuyama et al. 2004)","plainCitation":"(Matsuyama et al. 2004)","noteIndex":0},"citationItems":[{"id":"p7ATYret/9mj6WikF","uris":["http://zotero.org/users/local/jkkvYBSC/items/7XS7KDRE"],"uri":["http://zotero.org/users/local/jkkvYBSC/items/7XS7KDRE"],"itemData":{"id":802,"type":"article-journal","abstract":"BACKGROUND: Dent's disease is an X-linked renal tubular disorder characterized by low-molecular-weight-proteinuria, hypercalciuria, nephrolithiasis and renal failure. The disease is due to inactivation of a renal chloride channel gene, CLCN5. We have investigated 3 unrelated Japanese families for CLCN5 mutations and assessed the carrier mothers biochemically and ultrasonogaraphically to ascertain whether these clinical examinations can predict the carrier state of the disease.\nMATERIAL AND METHODS: Twelve members from these families were studied biochemically and ultrasonographically. Leukocyte DNA from probands was used with CLCN5-specific primers for PCR amplification of the coding region and exon-intron boundaries, and the DNA sequences of the products determined to identify abnormalities in the gene.\nRESULTS: Three novel CLCN5 mutations consisting of a single base \"A\" insertion between nucleotides 590 and 591, a nonsense mutation (R28X) and a missense mutation (G506R) were exhibited. Hypophosphatemia was detected in 2 patients, beta2-microglobulinuria, alpha1-microgl</w:instrText>
            </w:r>
            <w:r w:rsidR="00040F98" w:rsidRPr="00BC0897">
              <w:rPr>
                <w:rFonts w:ascii="Times New Roman" w:hAnsi="Times New Roman" w:cs="Times New Roman"/>
                <w:sz w:val="20"/>
                <w:szCs w:val="20"/>
                <w:lang w:val="en-US"/>
              </w:rPr>
              <w:instrText xml:space="preserve">obulinuria, and hyperretinol binding proteinuria in 6 patients, hypercalciuria in 5 patients, decreased urine osmolality in 3 patients, and nephrocalcinosis or nephrolithiasis in 4 patients. Biochemical analysis of the urine and the renal ultrasonography in each carrier mother were completely normal.\nCONCLUSIONS: Neither urinary low-molecular-weight-proteins, urinary calcium to creatinine ratio, nor renal ultrasonography was predictive of carrier state in the 3 families with this disease, although each carrier mother had CLCN5 mutation. Hypophosphatemia and decreased urine osmolality might be a hint to suspect the carrier state of Dent's disease, although these findings are not found frequently.","container-title":"Clinical Nephrology","DOI":"10.5414/cnp61231","ISSN":"0301-0430","issue":"4","journalAbbreviation":"Clin. Nephrol.","language":"eng","note":"PMID: 15125028","page":"231-237","source":"PubMed","title":"Molecular and clinical studies of Dent's disease in Japan: biochemical examination and renal ultrasonography do not predict carrier state","title-short":"Molecular and clinical studies of Dent's disease in Japan","volume":"61","author":[{"family":"Matsuyama","given":"T."},{"family":"Awazu","given":"M."},{"family":"Oikawa","given":"T."},{"family":"Inatomi","given":"J."},{"family":"Sekine","given":"T."},{"family":"Igarashi","given":"T."}],"issued":{"date-parts":[["2004",4]]}}}],"schema":"https://github.com/citation-style-language/schema/raw/master/csl-citation.json"} </w:instrText>
            </w:r>
            <w:r w:rsidRPr="00BC0897">
              <w:rPr>
                <w:rFonts w:ascii="Times New Roman" w:hAnsi="Times New Roman" w:cs="Times New Roman"/>
                <w:sz w:val="20"/>
                <w:szCs w:val="20"/>
                <w:lang w:val="en-US"/>
              </w:rPr>
              <w:fldChar w:fldCharType="separate"/>
            </w:r>
            <w:r w:rsidR="00040F98" w:rsidRPr="00BC0897">
              <w:rPr>
                <w:rFonts w:ascii="Times New Roman" w:hAnsi="Times New Roman" w:cs="Times New Roman"/>
                <w:sz w:val="20"/>
                <w:lang w:val="en-US"/>
              </w:rPr>
              <w:t>(Matsuyama et al. 2004)</w:t>
            </w:r>
            <w:r w:rsidRPr="00BC0897">
              <w:rPr>
                <w:rFonts w:ascii="Times New Roman" w:hAnsi="Times New Roman" w:cs="Times New Roman"/>
                <w:sz w:val="20"/>
                <w:szCs w:val="20"/>
                <w:lang w:val="en-US"/>
              </w:rPr>
              <w:fldChar w:fldCharType="end"/>
            </w:r>
          </w:p>
        </w:tc>
      </w:tr>
      <w:tr w:rsidR="00646A25" w:rsidRPr="00BC0897" w:rsidTr="007B380E">
        <w:trPr>
          <w:trHeight w:val="701"/>
        </w:trPr>
        <w:tc>
          <w:tcPr>
            <w:tcW w:w="84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c.518delG</w:t>
            </w:r>
          </w:p>
        </w:tc>
        <w:tc>
          <w:tcPr>
            <w:tcW w:w="187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p.Trp173*</w:t>
            </w:r>
          </w:p>
        </w:tc>
        <w:tc>
          <w:tcPr>
            <w:tcW w:w="283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 xml:space="preserve">Mesangial </w:t>
            </w:r>
            <w:proofErr w:type="spellStart"/>
            <w:r w:rsidRPr="00BC0897">
              <w:rPr>
                <w:rFonts w:ascii="Times New Roman" w:hAnsi="Times New Roman" w:cs="Times New Roman"/>
                <w:sz w:val="20"/>
                <w:szCs w:val="20"/>
                <w:lang w:val="en-US"/>
              </w:rPr>
              <w:t>hypercellularity</w:t>
            </w:r>
            <w:proofErr w:type="spellEnd"/>
          </w:p>
        </w:tc>
        <w:tc>
          <w:tcPr>
            <w:tcW w:w="255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Focal interstitial inflammation, Tubular damage</w:t>
            </w:r>
          </w:p>
        </w:tc>
        <w:tc>
          <w:tcPr>
            <w:tcW w:w="198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Foot process effacement</w:t>
            </w:r>
          </w:p>
        </w:tc>
        <w:tc>
          <w:tcPr>
            <w:tcW w:w="1559"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hideMark/>
          </w:tcPr>
          <w:p w:rsidR="00646A25" w:rsidRPr="00BC0897" w:rsidRDefault="00646A25" w:rsidP="00A44008">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000F21AB" w:rsidRPr="00BC0897">
              <w:rPr>
                <w:rFonts w:ascii="Times New Roman" w:hAnsi="Times New Roman" w:cs="Times New Roman"/>
                <w:sz w:val="20"/>
                <w:szCs w:val="20"/>
                <w:lang w:val="en-US"/>
              </w:rPr>
              <w:instrText xml:space="preserve"> ADDIN ZOTERO_ITEM CSL_CITATION {"citationID":"mp5V98Cr","properties":{"formattedCitation":"(Zhang et al. 2017)","plainCitation":"(Zhang et al. 2017)","noteIndex":0},"citationItems":[{"id":27,"uris":["http://zotero.org/users/local/jkkvYBSC/items/WAC5SMPK"],"uri":["http://zotero.org/users/local/jkkvYBSC/items/WAC5SMPK"],"itemData":{"id":27,"type":"article-journal","abstract":"Dent's disease is an X-linked inherited renal disease. Patients with Dent's disease often carry mutations in genes encoding the Cl-/H+ exchanger ClC-5 and/or inositol polyphosphate 5-phosphatase (OCRL1). However, the mutations involved and the biochemical effects of these mutations are not fully understood. To characterize genetic changes in Dent's disease patients, in this study, samples from nine Chinese patients were subjected to genetic analysis. Among the nine patients, six were classified as having Dent-1 disease, one had Dent-2 disease, and two could not be classified. Expression of ClC-5 carrying Dent's disease-associated mutations in HEK293 cells had varying effects: (1) no detectable expression of mutant protein; (2) retention of a truncated protein in the endoplasmic reticulum; or (3) diminished protein expression with normal distribution in early endosomes. Dent's disease patients showed genetic heterogeneity and over 20% of patients did not have CLCN5 or OCRL1 mutations, suggesting the existence of other genetic factors. Using next-generation sequencing, we identified possible modifier genes that have not been previously reported in Dent's disease patients. Heterozygous variants in CFTR, SCNN1A, and SCNN1B genes associated with cystic fibrosis (CF) or CF-like disease were detected in four of our nine patients. These results may form the basis for future characterization of Dent's disease and genetic counseling approaches.","container-title":"DNA and cell biology","DOI":"10.1089/dna.2017.3731","ISSN":"1557-7430","issue":"12","journalAbbreviation":"DNA Cell Biol.","language":"eng","note":"PMID: 29058463","page":"1151-1158","source":"PubMed","title":"Genetic Analysis of Dent's Disease and Functional Research of CLCN5 Mutations","volume":"36","author":[{"family":"Zhang","given":"Ya"},{"family":"Fang","given":"Xiaoyan"},{"family":"Xu","given":"Hong"},{"family":"Shen","given":"Qian"}],"issued":{"date-parts":[["2017",12]]}}}],"schema":"https://github.com/citation-style-language/schema/raw/master/csl-citation.json"} </w:instrText>
            </w:r>
            <w:r w:rsidRPr="00BC0897">
              <w:rPr>
                <w:rFonts w:ascii="Times New Roman" w:hAnsi="Times New Roman" w:cs="Times New Roman"/>
                <w:sz w:val="20"/>
                <w:szCs w:val="20"/>
                <w:lang w:val="en-US"/>
              </w:rPr>
              <w:fldChar w:fldCharType="separate"/>
            </w:r>
            <w:r w:rsidR="000F21AB" w:rsidRPr="00BC0897">
              <w:rPr>
                <w:rFonts w:ascii="Times New Roman" w:hAnsi="Times New Roman" w:cs="Times New Roman"/>
                <w:sz w:val="20"/>
                <w:szCs w:val="20"/>
              </w:rPr>
              <w:t>(Zhang et al. 2017)</w:t>
            </w:r>
            <w:r w:rsidRPr="00BC0897">
              <w:rPr>
                <w:rFonts w:ascii="Times New Roman" w:hAnsi="Times New Roman" w:cs="Times New Roman"/>
                <w:sz w:val="20"/>
                <w:szCs w:val="20"/>
                <w:lang w:val="en-US"/>
              </w:rPr>
              <w:fldChar w:fldCharType="end"/>
            </w:r>
          </w:p>
        </w:tc>
      </w:tr>
      <w:tr w:rsidR="00646A25" w:rsidRPr="00BC0897" w:rsidTr="007B380E">
        <w:trPr>
          <w:trHeight w:val="687"/>
        </w:trPr>
        <w:tc>
          <w:tcPr>
            <w:tcW w:w="84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c.523dupA</w:t>
            </w:r>
          </w:p>
        </w:tc>
        <w:tc>
          <w:tcPr>
            <w:tcW w:w="187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p.Thr175fs*8</w:t>
            </w:r>
          </w:p>
        </w:tc>
        <w:tc>
          <w:tcPr>
            <w:tcW w:w="283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 xml:space="preserve">FGGS, </w:t>
            </w:r>
            <w:proofErr w:type="spellStart"/>
            <w:r w:rsidRPr="00BC0897">
              <w:rPr>
                <w:rFonts w:ascii="Times New Roman" w:hAnsi="Times New Roman" w:cs="Times New Roman"/>
                <w:sz w:val="20"/>
                <w:szCs w:val="20"/>
                <w:lang w:val="en-US"/>
              </w:rPr>
              <w:t>Perihiliar</w:t>
            </w:r>
            <w:proofErr w:type="spellEnd"/>
            <w:r w:rsidRPr="00BC0897">
              <w:rPr>
                <w:rFonts w:ascii="Times New Roman" w:hAnsi="Times New Roman" w:cs="Times New Roman"/>
                <w:sz w:val="20"/>
                <w:szCs w:val="20"/>
                <w:lang w:val="en-US"/>
              </w:rPr>
              <w:t xml:space="preserve"> </w:t>
            </w:r>
            <w:proofErr w:type="spellStart"/>
            <w:r w:rsidRPr="00BC0897">
              <w:rPr>
                <w:rFonts w:ascii="Times New Roman" w:hAnsi="Times New Roman" w:cs="Times New Roman"/>
                <w:sz w:val="20"/>
                <w:szCs w:val="20"/>
                <w:lang w:val="en-US"/>
              </w:rPr>
              <w:t>hyalinosis</w:t>
            </w:r>
            <w:proofErr w:type="spellEnd"/>
            <w:r w:rsidRPr="00BC0897">
              <w:rPr>
                <w:rFonts w:ascii="Times New Roman" w:hAnsi="Times New Roman" w:cs="Times New Roman"/>
                <w:sz w:val="20"/>
                <w:szCs w:val="20"/>
                <w:lang w:val="en-US"/>
              </w:rPr>
              <w:t>, Minimal segmental increase in mesangial cells</w:t>
            </w:r>
          </w:p>
        </w:tc>
        <w:tc>
          <w:tcPr>
            <w:tcW w:w="255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Slight tubular atrophy and interstitial fibrosis</w:t>
            </w:r>
          </w:p>
        </w:tc>
        <w:tc>
          <w:tcPr>
            <w:tcW w:w="198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Foot process effacement without electron-dense deposits, normal GBM</w:t>
            </w:r>
          </w:p>
        </w:tc>
        <w:tc>
          <w:tcPr>
            <w:tcW w:w="1559"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Negative</w:t>
            </w:r>
          </w:p>
        </w:tc>
        <w:tc>
          <w:tcPr>
            <w:tcW w:w="1701" w:type="dxa"/>
            <w:vAlign w:val="center"/>
            <w:hideMark/>
          </w:tcPr>
          <w:p w:rsidR="00646A25" w:rsidRPr="00BC0897" w:rsidRDefault="00646A25" w:rsidP="00A44008">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000F21AB" w:rsidRPr="00BC0897">
              <w:rPr>
                <w:rFonts w:ascii="Times New Roman" w:hAnsi="Times New Roman" w:cs="Times New Roman"/>
                <w:sz w:val="20"/>
                <w:szCs w:val="20"/>
                <w:lang w:val="en-US"/>
              </w:rPr>
              <w:instrText xml:space="preserve"> ADDIN ZOTERO_ITEM CSL_CITATION {"citationID":"A38R9xUy","properties":{"formattedCitation":"(Copelovitch et al. 2007)","plainCitation":"(Copelovitch et al. 2007)","noteIndex":0},"citationItems":[{"id":244,"uris":["http://zotero.org/users/local/jkkvYBSC/items/32YPDY8J"],"uri":["http://zotero.org/users/local/jkkvYBSC/items/32YPDY8J"],"itemData":{"id":244,"type":"article-journal","abstract":"BACKGROUND AND OBJECTIVES: Dent disease is a hereditary form of progressive renal failure characterized by hypercalciuria and proximal tubular dysfunction. The clinical presentation is often insidious with the majority of patients remaining asymptomatic throughout childhood. Despite the seemingly mild, early course, more than 20% of 32 asymptomatic patients in one study had biopsy evidence of focal glomerulosclerosis. Furthermore, end-stage renal disease often occurs in men in early to middle adulthood.\nDESIGN, SETTING, PARTICIPANTS, &amp; MEASUREMENTS: This article describes two male patients who presented with asymptomatic proteinuria and were found to have focal glomerulosclerosis. Despite the absence of nephrocalcinosis on renal ultrasound, the diagnosis of Dent disease was considered because of unexplained proteinuria. Subsequent history revealed renal calculi in each maternal family.\nRESULTS: The clinical diagnosis of Dent disease was established by intermittent hypercalciuria and low molecular weight proteinuria and confirmed through mutational analysis.\nCONCLUSIONS: It is hypothesized that a diagnosis of Dent disease may be unrecognized in patients with unexplained proteinuria and idiopathic focal glomerulosclerosis.","container-title":"Clinical journal of the American Society of Nephrology: CJASN","DOI":"10.2215/CJN.00900207","ISSN":"1555-905X","issue":"5","journalAbbreviation":"Clin J Am Soc Nephrol","language":"eng","note":"PMID: 17702731","page":"914-918","source":"PubMed","title":"Hypothesis: Dent disease is an underrecognized cause of focal glomerulosclerosis","title-short":"Hypothesis","volume":"2","author":[{"family":"Copelovitch","given":"Lawrence"},{"family":"Nash","given":"Martin A."},{"family":"Kaplan","given":"Bernard S."}],"issued":{"date-parts":[["2007",9]]}}}],"schema":"https://github.com/citation-style-language/schema/raw/master/csl-citation.json"} </w:instrText>
            </w:r>
            <w:r w:rsidRPr="00BC0897">
              <w:rPr>
                <w:rFonts w:ascii="Times New Roman" w:hAnsi="Times New Roman" w:cs="Times New Roman"/>
                <w:sz w:val="20"/>
                <w:szCs w:val="20"/>
                <w:lang w:val="en-US"/>
              </w:rPr>
              <w:fldChar w:fldCharType="separate"/>
            </w:r>
            <w:r w:rsidR="000F21AB" w:rsidRPr="00BC0897">
              <w:rPr>
                <w:rFonts w:ascii="Times New Roman" w:hAnsi="Times New Roman" w:cs="Times New Roman"/>
                <w:sz w:val="20"/>
                <w:szCs w:val="20"/>
              </w:rPr>
              <w:t>(Copelovitch et al. 2007)</w:t>
            </w:r>
            <w:r w:rsidRPr="00BC0897">
              <w:rPr>
                <w:rFonts w:ascii="Times New Roman" w:hAnsi="Times New Roman" w:cs="Times New Roman"/>
                <w:sz w:val="20"/>
                <w:szCs w:val="20"/>
                <w:lang w:val="en-US"/>
              </w:rPr>
              <w:fldChar w:fldCharType="end"/>
            </w:r>
          </w:p>
        </w:tc>
      </w:tr>
      <w:tr w:rsidR="00646A25" w:rsidRPr="00BC0897" w:rsidTr="007B380E">
        <w:trPr>
          <w:trHeight w:val="283"/>
        </w:trPr>
        <w:tc>
          <w:tcPr>
            <w:tcW w:w="84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c.965T&gt;C</w:t>
            </w:r>
          </w:p>
        </w:tc>
        <w:tc>
          <w:tcPr>
            <w:tcW w:w="187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p.Leu225Pro</w:t>
            </w:r>
          </w:p>
        </w:tc>
        <w:tc>
          <w:tcPr>
            <w:tcW w:w="283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Normal</w:t>
            </w:r>
          </w:p>
        </w:tc>
        <w:tc>
          <w:tcPr>
            <w:tcW w:w="255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Normal</w:t>
            </w:r>
          </w:p>
        </w:tc>
        <w:tc>
          <w:tcPr>
            <w:tcW w:w="198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hideMark/>
          </w:tcPr>
          <w:p w:rsidR="00646A25" w:rsidRPr="00BC0897" w:rsidRDefault="00646A25" w:rsidP="00A44008">
            <w:pPr>
              <w:spacing w:after="0"/>
              <w:jc w:val="center"/>
              <w:rPr>
                <w:rFonts w:ascii="Times New Roman" w:hAnsi="Times New Roman" w:cs="Times New Roman"/>
                <w:sz w:val="20"/>
                <w:szCs w:val="20"/>
              </w:rPr>
            </w:pPr>
            <w:r w:rsidRPr="00BC0897">
              <w:rPr>
                <w:rFonts w:ascii="Times New Roman" w:hAnsi="Times New Roman" w:cs="Times New Roman"/>
                <w:sz w:val="20"/>
                <w:szCs w:val="20"/>
                <w:lang w:val="en-US"/>
              </w:rPr>
              <w:fldChar w:fldCharType="begin"/>
            </w:r>
            <w:r w:rsidR="00040F98" w:rsidRPr="00BC0897">
              <w:rPr>
                <w:rFonts w:ascii="Times New Roman" w:hAnsi="Times New Roman" w:cs="Times New Roman"/>
                <w:sz w:val="20"/>
                <w:szCs w:val="20"/>
              </w:rPr>
              <w:instrText xml:space="preserve"> ADDIN ZOTERO_ITEM CSL_CITATION {"citationID":"eawe0mxM","properties":{"formattedCitation":"(Ramos-Trujillo et al. 2007a)","plainCitation":"(Ramos-Trujillo et al. 2007a)","noteIndex":0},"citationItems":[{"id":"p7ATYret/CFgS9Nux","uris":["http://zotero.org/users/local/jkkvYBSC/items/QTQPB552"],"uri":["http://zotero.org/users/local/jkkvYBSC/items/QTQPB552"],"itemData":{"id":816,"type":"article-journal","abstract":"BACKGROUND: Dent's disease is a rare renal tubular disorder characterized by low-molecular weight proteinuria, hypercalciuria, nephrocalcinosis, nephrolithiasis, rickets and eventual renal failure. The selective loss of low-molecular weight proteins points to a defect of the proximal tubule, where filtered proteins are normally reabsorbed by endocytosis. The disease tends to present in childhood or early adult life, and males are more severely affected than females. The disease is caused by mutations in CLCN5 or OCRL1, both on the X chromosome, which code for the chloride/proton exchange transporter ClC-5 and the phosphatidylinositol-4,5-biphosphate-5-phosphatase, respectively.\nMETHODS: Mutational analysis of CLCN5 gene from 4 unrelated patients diagnosed with Dent's disease and their relatives, 3 from Spain and 1 from Bolivia, was performed by PCR and automatic DNA sequencing.\nRESULTS: In the current study, we report the identification of 4 mutations in CLCN5 of 1 family from Bolivia and 3 families from Spain. Two of the mutations are novel and consist of 1 nonsense mutation, Y502X, and 1 missense mutation, L225P, affecting ClC-5alpha-helix F, one of the helices involved in formation of the chloride selectivity filter.\nCONCLUSIONS: Our results add to the expanding spectrum of mutations in CLCN5. This is the first report of a CLCN5 mutation in a Dent's disease patient of South American origin.","container-title":"Clinical Nephrology","DOI":"10.5414/cnp68367","ISSN":"0301-0430","issue":"6","journalAbbreviation":"Clin. Nephrol.","language":"eng","note":"PMID: 18184518","page":"367-372","source":"PubMed","title":"Molecular analysis of the CLCN5 gene in Dent's disease: first mutation identified in a patient from South America","title-short":"Molecular analysis of the CLCN5 gene in Dent's disease","volume":"68","author":[{"family":"Ramos-Trujillo","given":"E."},{"family":"Garcia-Nieto","given":"V."},{"family":"Gonzalez-Acosta","given":"H."},{"family":"Vara","given":"J."},{"family":"Pérez-Diaz","given":"V."},{"family":"Nadal","given":"I."},{"family":"Oliveros","given":"R."},{"family":"Claverie-Martin","given":"F."}],"issued":{"date-parts":[["2007",12]]}}}],"schema":"https://github.com/citation-style-language/schema/raw/master/csl-citation.json"} </w:instrText>
            </w:r>
            <w:r w:rsidRPr="00BC0897">
              <w:rPr>
                <w:rFonts w:ascii="Times New Roman" w:hAnsi="Times New Roman" w:cs="Times New Roman"/>
                <w:sz w:val="20"/>
                <w:szCs w:val="20"/>
                <w:lang w:val="en-US"/>
              </w:rPr>
              <w:fldChar w:fldCharType="separate"/>
            </w:r>
            <w:r w:rsidR="00040F98" w:rsidRPr="00BC0897">
              <w:rPr>
                <w:rFonts w:ascii="Times New Roman" w:hAnsi="Times New Roman" w:cs="Times New Roman"/>
                <w:sz w:val="20"/>
              </w:rPr>
              <w:t>(Ramos-Trujillo et al. 2007a)</w:t>
            </w:r>
            <w:r w:rsidRPr="00BC0897">
              <w:rPr>
                <w:rFonts w:ascii="Times New Roman" w:hAnsi="Times New Roman" w:cs="Times New Roman"/>
                <w:sz w:val="20"/>
                <w:szCs w:val="20"/>
                <w:lang w:val="en-US"/>
              </w:rPr>
              <w:fldChar w:fldCharType="end"/>
            </w:r>
          </w:p>
        </w:tc>
      </w:tr>
      <w:tr w:rsidR="00646A25" w:rsidRPr="00BC0897" w:rsidTr="007B380E">
        <w:trPr>
          <w:trHeight w:val="838"/>
        </w:trPr>
        <w:tc>
          <w:tcPr>
            <w:tcW w:w="84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c.744_746dupACG</w:t>
            </w:r>
          </w:p>
        </w:tc>
        <w:tc>
          <w:tcPr>
            <w:tcW w:w="187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p.249:insAla</w:t>
            </w:r>
          </w:p>
        </w:tc>
        <w:tc>
          <w:tcPr>
            <w:tcW w:w="283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 xml:space="preserve">FGGS, FSGS, </w:t>
            </w:r>
            <w:proofErr w:type="spellStart"/>
            <w:r w:rsidRPr="00BC0897">
              <w:rPr>
                <w:rFonts w:ascii="Times New Roman" w:hAnsi="Times New Roman" w:cs="Times New Roman"/>
                <w:sz w:val="20"/>
                <w:szCs w:val="20"/>
                <w:lang w:val="en-US"/>
              </w:rPr>
              <w:t>Periglomerular</w:t>
            </w:r>
            <w:proofErr w:type="spellEnd"/>
            <w:r w:rsidRPr="00BC0897">
              <w:rPr>
                <w:rFonts w:ascii="Times New Roman" w:hAnsi="Times New Roman" w:cs="Times New Roman"/>
                <w:sz w:val="20"/>
                <w:szCs w:val="20"/>
                <w:lang w:val="en-US"/>
              </w:rPr>
              <w:t xml:space="preserve"> fibrosis</w:t>
            </w:r>
          </w:p>
        </w:tc>
        <w:tc>
          <w:tcPr>
            <w:tcW w:w="255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 xml:space="preserve">Mild interstitial chronic inflammation, </w:t>
            </w:r>
            <w:proofErr w:type="spellStart"/>
            <w:r w:rsidRPr="00BC0897">
              <w:rPr>
                <w:rFonts w:ascii="Times New Roman" w:hAnsi="Times New Roman" w:cs="Times New Roman"/>
                <w:sz w:val="20"/>
                <w:szCs w:val="20"/>
                <w:lang w:val="en-US"/>
              </w:rPr>
              <w:t>Intratubular</w:t>
            </w:r>
            <w:proofErr w:type="spellEnd"/>
            <w:r w:rsidRPr="00BC0897">
              <w:rPr>
                <w:rFonts w:ascii="Times New Roman" w:hAnsi="Times New Roman" w:cs="Times New Roman"/>
                <w:sz w:val="20"/>
                <w:szCs w:val="20"/>
                <w:lang w:val="en-US"/>
              </w:rPr>
              <w:t xml:space="preserve"> </w:t>
            </w:r>
            <w:proofErr w:type="spellStart"/>
            <w:r w:rsidRPr="00BC0897">
              <w:rPr>
                <w:rFonts w:ascii="Times New Roman" w:hAnsi="Times New Roman" w:cs="Times New Roman"/>
                <w:sz w:val="20"/>
                <w:szCs w:val="20"/>
                <w:lang w:val="en-US"/>
              </w:rPr>
              <w:t>proteinaceous</w:t>
            </w:r>
            <w:proofErr w:type="spellEnd"/>
            <w:r w:rsidRPr="00BC0897">
              <w:rPr>
                <w:rFonts w:ascii="Times New Roman" w:hAnsi="Times New Roman" w:cs="Times New Roman"/>
                <w:sz w:val="20"/>
                <w:szCs w:val="20"/>
                <w:lang w:val="en-US"/>
              </w:rPr>
              <w:t xml:space="preserve"> casts</w:t>
            </w:r>
          </w:p>
        </w:tc>
        <w:tc>
          <w:tcPr>
            <w:tcW w:w="198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Foot process effacement without electron-dense deposits, Thickness of the GBM</w:t>
            </w:r>
          </w:p>
        </w:tc>
        <w:tc>
          <w:tcPr>
            <w:tcW w:w="1559"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Sample unsuitable for analysis</w:t>
            </w:r>
          </w:p>
        </w:tc>
        <w:tc>
          <w:tcPr>
            <w:tcW w:w="1701" w:type="dxa"/>
            <w:vAlign w:val="center"/>
            <w:hideMark/>
          </w:tcPr>
          <w:p w:rsidR="00646A25" w:rsidRPr="00BC0897" w:rsidRDefault="00646A25" w:rsidP="00A44008">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000F21AB" w:rsidRPr="00BC0897">
              <w:rPr>
                <w:rFonts w:ascii="Times New Roman" w:hAnsi="Times New Roman" w:cs="Times New Roman"/>
                <w:sz w:val="20"/>
                <w:szCs w:val="20"/>
                <w:lang w:val="en-US"/>
              </w:rPr>
              <w:instrText xml:space="preserve"> ADDIN ZOTERO_ITEM CSL_CITATION {"citationID":"nZTfnoK1","properties":{"formattedCitation":"(Copelovitch et al. 2007)","plainCitation":"(Copelovitch et al. 2007)","noteIndex":0},"citationItems":[{"id":244,"uris":["http://zotero.org/users/local/jkkvYBSC/items/32YPDY8J"],"uri":["http://zotero.org/users/local/jkkvYBSC/items/32YPDY8J"],"itemData":{"id":244,"type":"article-journal","abstract":"BACKGROUND AND OBJECTIVES: Dent disease is a hereditary form of progressive renal failure characterized by hypercalciuria and proximal tubular dysfunction. The clinical presentation is often insidious with the majority of patients remaining asymptomatic throughout childhood. Despite the seemingly mild, early course, more than 20% of 32 asymptomatic patients in one study had biopsy evidence of focal glomerulosclerosis. Furthermore, end-stage renal disease often occurs in men in early to middle adulthood.\nDESIGN, SETTING, PARTICIPANTS, &amp; MEASUREMENTS: This article describes two male patients who presented with asymptomatic proteinuria and were found to have focal glomerulosclerosis. Despite the absence of nephrocalcinosis on renal ultrasound, the diagnosis of Dent disease was considered because of unexplained proteinuria. Subsequent history revealed renal calculi in each maternal family.\nRESULTS: The clinical diagnosis of Dent disease was established by intermittent hypercalciuria and low molecular weight proteinuria and confirmed through mutational analysis.\nCONCLUSIONS: It is hypothesized that a diagnosis of Dent disease may be unrecognized in patients with unexplained proteinuria and idiopathic focal glomerulosclerosis.","container-title":"Clinical journal of the American Society of Nephrology: CJASN","DOI":"10.2215/CJN.00900207","ISSN":"1555-905X","issue":"5","journalAbbreviation":"Clin J Am Soc Nephrol","language":"eng","note":"PMID: 17702731","page":"914-918","source":"PubMed","title":"Hypothesis: Dent disease is an underrecognized cause of focal glomerulosclerosis","title-short":"Hypothesis","volume":"2","author":[{"family":"Copelovitch","given":"Lawrence"},{"family":"Nash","given":"Martin A."},{"family":"Kaplan","given":"Bernard S."}],"issued":{"date-parts":[["2007",9]]}}}],"schema":"https://github.com/citation-style-language/schema/raw/master/csl-citation.json"} </w:instrText>
            </w:r>
            <w:r w:rsidRPr="00BC0897">
              <w:rPr>
                <w:rFonts w:ascii="Times New Roman" w:hAnsi="Times New Roman" w:cs="Times New Roman"/>
                <w:sz w:val="20"/>
                <w:szCs w:val="20"/>
                <w:lang w:val="en-US"/>
              </w:rPr>
              <w:fldChar w:fldCharType="separate"/>
            </w:r>
            <w:r w:rsidR="000F21AB" w:rsidRPr="00BC0897">
              <w:rPr>
                <w:rFonts w:ascii="Times New Roman" w:hAnsi="Times New Roman" w:cs="Times New Roman"/>
                <w:sz w:val="20"/>
                <w:szCs w:val="20"/>
              </w:rPr>
              <w:t>(Copelovitch et al. 2007)</w:t>
            </w:r>
            <w:r w:rsidRPr="00BC0897">
              <w:rPr>
                <w:rFonts w:ascii="Times New Roman" w:hAnsi="Times New Roman" w:cs="Times New Roman"/>
                <w:sz w:val="20"/>
                <w:szCs w:val="20"/>
                <w:lang w:val="en-US"/>
              </w:rPr>
              <w:fldChar w:fldCharType="end"/>
            </w:r>
          </w:p>
        </w:tc>
      </w:tr>
      <w:tr w:rsidR="00646A25" w:rsidRPr="002212C2" w:rsidTr="007B380E">
        <w:trPr>
          <w:trHeight w:val="287"/>
        </w:trPr>
        <w:tc>
          <w:tcPr>
            <w:tcW w:w="84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c.782G&gt;T</w:t>
            </w:r>
          </w:p>
        </w:tc>
        <w:tc>
          <w:tcPr>
            <w:tcW w:w="187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p.Gly261Val</w:t>
            </w:r>
          </w:p>
        </w:tc>
        <w:tc>
          <w:tcPr>
            <w:tcW w:w="283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Normal</w:t>
            </w:r>
          </w:p>
        </w:tc>
        <w:tc>
          <w:tcPr>
            <w:tcW w:w="255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Normal</w:t>
            </w:r>
          </w:p>
        </w:tc>
        <w:tc>
          <w:tcPr>
            <w:tcW w:w="198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Foot process effacement, MCD</w:t>
            </w:r>
          </w:p>
        </w:tc>
        <w:tc>
          <w:tcPr>
            <w:tcW w:w="1559"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hideMark/>
          </w:tcPr>
          <w:p w:rsidR="00646A25" w:rsidRPr="00BC0897" w:rsidRDefault="00646A25" w:rsidP="00A44008">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000F21AB" w:rsidRPr="00BC0897">
              <w:rPr>
                <w:rFonts w:ascii="Times New Roman" w:hAnsi="Times New Roman" w:cs="Times New Roman"/>
                <w:sz w:val="20"/>
                <w:szCs w:val="20"/>
                <w:lang w:val="en-US"/>
              </w:rPr>
              <w:instrText xml:space="preserve"> ADDIN ZOTERO_ITEM CSL_CITATION {"citationID":"j0GfBulE","properties":{"formattedCitation":"(Zaniew et al. 2017)","plainCitation":"(Zaniew et al. 2017)","noteIndex":0},"citationItems":[{"id":542,"uris":["http://zotero.org/users/local/jkkvYBSC/items/4G4P2PVC"],"uri":["http://zotero.org/users/local/jkkvYBSC/items/4G4P2PVC"],"itemData":{"id":542,"type":"article-journal","abstract":"PURPOSE: Dent disease (DD) is a rare tubulopathy characterized by proximal tubular dysfunction leading to chronic kidney disease (CKD). The aim of the study was to characterize patients with DD in Poland.\nMETHODS: A retrospective analysis of a national cohort with genetically confirmed diagnosis.\nRESULTS: Of 24 males, all patients except one carried mutations in the CLCN5 gene; in one patient a mutation in the OCRL gene was disclosed. Molecular diagnosis was delayed 1 year on average (range 0-21 years). The most common features were tubular proteinuria (100%), hypercalciuria (87%), and nephrocalcinosis (56%). CKD (≤stage II) and growth deficiency were found in 45 and 22% of patients, respectively. Over time, a progression of CKD and persistence of growth impairment was noted. Subnephrotic and nephrotic proteinuria (20%) was found in most patients, but tubular proteinuria was assessed in only 67% of patients. In one family steroid-resistant nephrotic syndrome prompted a genetic testing, and reverse phenotyping. Five children (20%) underwent kidney biopsy, and two of them were treated with immunosuppressants. Hydrochlorothiazide and angiotensin-converting enzyme inhibitors were prescribed for a significant proportion of patients (42 and 37.5%, respectively), while supplemental therapy with phosphate, potassium, vitamin D (12.5% each), and alkali (4.2%) was insufficient, when compared to the percentages of patients requiring repletion.\nCONCLUSIONS: We found CLCN5 mutations in the vast majority of Polish patients with DD. Proteinuria was the most constant finding; however, tubular proteins were not assessed commonly, likely leading to delayed molecular diagnosis and misdiagnosis in some patients. More consideration should be given to optimize the therapy.","container-title":"International Urology and Nephrology","DOI":"10.1007/s11255-017-1676-x","ISSN":"1573-2584","issue":"11","journalAbbreviation":"Int Urol Nephrol","language":"eng","note":"PMID: 28815356","page":"2005-2017","source":"PubMed","title":"Dent disease in Poland: what we have learned so far?","title-short":"Dent disease in Poland","volume":"49","author":[{"family":"Zaniew","given":"Marcin"},{"family":"Mizerska-Wasiak","given":"Małgorzata"},{"family":"Załuska-Leśniewska","given":"Iga"},{"family":"Adamczyk","given":"Piotr"},{"family":"Kiliś-Pstrusińska","given":"Katarzyna"},{"family":"Haliński","given":"Adam"},{"family":"Zawadzki","given":"Jan"},{"family":"Lipska-Ziętkiewicz","given":"Beata S."},{"family":"Pawlaczyk","given":"Krzysztof"},{"family":"Sikora","given":"Przemysław"},{"family":"Ludwig","given":"Michael"},{"family":"Szczepańska","given":"Maria"}],"issued":{"date-parts":[["2017",11]]}}}],"schema":"https://github.com/citation-style-language/schema/raw/master/csl-citation.json"} </w:instrText>
            </w:r>
            <w:r w:rsidRPr="00BC0897">
              <w:rPr>
                <w:rFonts w:ascii="Times New Roman" w:hAnsi="Times New Roman" w:cs="Times New Roman"/>
                <w:sz w:val="20"/>
                <w:szCs w:val="20"/>
                <w:lang w:val="en-US"/>
              </w:rPr>
              <w:fldChar w:fldCharType="separate"/>
            </w:r>
            <w:r w:rsidR="000F21AB" w:rsidRPr="00BC0897">
              <w:rPr>
                <w:rFonts w:ascii="Times New Roman" w:hAnsi="Times New Roman" w:cs="Times New Roman"/>
                <w:sz w:val="20"/>
                <w:szCs w:val="20"/>
                <w:lang w:val="en-US"/>
              </w:rPr>
              <w:t>(Zaniew et al. 2017)</w:t>
            </w:r>
            <w:r w:rsidRPr="00BC0897">
              <w:rPr>
                <w:rFonts w:ascii="Times New Roman" w:hAnsi="Times New Roman" w:cs="Times New Roman"/>
                <w:sz w:val="20"/>
                <w:szCs w:val="20"/>
                <w:lang w:val="en-US"/>
              </w:rPr>
              <w:fldChar w:fldCharType="end"/>
            </w:r>
          </w:p>
        </w:tc>
      </w:tr>
      <w:tr w:rsidR="00646A25" w:rsidRPr="00BC0897" w:rsidTr="007B380E">
        <w:trPr>
          <w:trHeight w:val="279"/>
        </w:trPr>
        <w:tc>
          <w:tcPr>
            <w:tcW w:w="84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 §</w:t>
            </w:r>
          </w:p>
        </w:tc>
        <w:tc>
          <w:tcPr>
            <w:tcW w:w="1843"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87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p.Ser270Arg</w:t>
            </w:r>
          </w:p>
        </w:tc>
        <w:tc>
          <w:tcPr>
            <w:tcW w:w="283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Glomerulosclerosis</w:t>
            </w:r>
          </w:p>
        </w:tc>
        <w:tc>
          <w:tcPr>
            <w:tcW w:w="255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Calcification, Tubular atrophy</w:t>
            </w:r>
          </w:p>
        </w:tc>
        <w:tc>
          <w:tcPr>
            <w:tcW w:w="198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hideMark/>
          </w:tcPr>
          <w:p w:rsidR="00646A25" w:rsidRPr="00BC0897" w:rsidRDefault="00646A25" w:rsidP="00A44008">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000F21AB" w:rsidRPr="00BC0897">
              <w:rPr>
                <w:rFonts w:ascii="Times New Roman" w:hAnsi="Times New Roman" w:cs="Times New Roman"/>
                <w:sz w:val="20"/>
                <w:szCs w:val="20"/>
                <w:lang w:val="en-US"/>
              </w:rPr>
              <w:instrText xml:space="preserve"> ADDIN ZOTERO_ITEM CSL_CITATION {"citationID":"eQMdeIWh","properties":{"formattedCitation":"(Igarashi et al. 1998)","plainCitation":"(Igarashi et al. 1998)","noteIndex":0},"citationItems":[{"id":332,"uris":["http://zotero.org/users/local/jkkvYBSC/items/CP8UYL58"],"uri":["http://zotero.org/users/local/jkkvYBSC/items/CP8UYL58"],"itemData":{"id":332,"type":"article-journal","abstract":"BACKGROUND: The annual urinary screening of Japanese children above three years of age has identified a progressive renal tubular disorder characterized by low molecular weight proteinuria, hypercalciuria and nephrocalcinosis, and this represents a variant of Dent's disease. Hitherto, 12 mutations of the X-linked renal specific chloride channel, CLCN5, have been reported in the Dent'sJapan variant. To further identify such CLCN5 mutations and to define the structure-function relationships of this channel, we have investigated five unrelated, non-consanguinous Japanese families with this disorder.\nMETHODS: Leukocyte DNA from probands was used with CLCN5 primers for PCR amplification of the coding region, and the DNA sequences of the products determined. Functional studies were performed by expressing the mutants in Xenopus oocytes.\nRESULTS: Five CLCN5 mutations consisting of two nonsense (R648X and R704X), two missense (S270R and L278F) and one acceptor splice site mutation (ag--&gt;cg) in intron 4 were identified. The missense and splice site mutations represent novel abnormalities. Heterologous expression in Xenopus oocytes of wild-type and the missense mutants demonstrated that the mutations, which were translated, either abolished or markedly reduced chloride conductance.\nCONCLUSIONS: These results expand the spectrum of CLCN5 mutations associated with this renal disorder and provide insight into possible structure-function relationships. For example, both the missense mutations are located within a short putative loop between two transmembrane domains, and our results suggest that this region may have an important functional role in the regulation of channel activity.","container-title":"Kidney International","DOI":"10.1046/j.1523-1755.1998.00203.x","ISSN":"0085-2538","issue":"6","journalAbbreviation":"Kidney Int.","language":"eng","note":"PMID: 9853249","page":"1850-1856","source":"PubMed","title":"Functional characterization of renal chloride channel, CLCN5, mutations associated with Dent'sJapan disease","volume":"54","author":[{"family":"Igarashi","given":"T."},{"family":"Günther","given":"W."},{"family":"Sekine","given":"T."},{"family":"Inatomi","given":"J."},{"family":"Shiraga","given":"H."},{"family":"Takahashi","given":"S."},{"family":"Suzuki","given":"J."},{"family":"Tsuru","given":"N."},{"family":"Yanagihara","given":"T."},{"family":"Shimazu","given":"M."},{"family":"Jentsch","given":"T. J."},{"family":"Thakker","given":"R. V."}],"issued":{"date-parts":[["1998",12]]}}}],"schema":"https://github.com/citation-style-language/schema/raw/master/csl-citation.json"} </w:instrText>
            </w:r>
            <w:r w:rsidRPr="00BC0897">
              <w:rPr>
                <w:rFonts w:ascii="Times New Roman" w:hAnsi="Times New Roman" w:cs="Times New Roman"/>
                <w:sz w:val="20"/>
                <w:szCs w:val="20"/>
                <w:lang w:val="en-US"/>
              </w:rPr>
              <w:fldChar w:fldCharType="separate"/>
            </w:r>
            <w:r w:rsidR="000F21AB" w:rsidRPr="00BC0897">
              <w:rPr>
                <w:rFonts w:ascii="Times New Roman" w:hAnsi="Times New Roman" w:cs="Times New Roman"/>
                <w:sz w:val="20"/>
                <w:szCs w:val="20"/>
              </w:rPr>
              <w:t>(Igarashi et al. 1998)</w:t>
            </w:r>
            <w:r w:rsidRPr="00BC0897">
              <w:rPr>
                <w:rFonts w:ascii="Times New Roman" w:hAnsi="Times New Roman" w:cs="Times New Roman"/>
                <w:sz w:val="20"/>
                <w:szCs w:val="20"/>
                <w:lang w:val="en-US"/>
              </w:rPr>
              <w:fldChar w:fldCharType="end"/>
            </w:r>
          </w:p>
        </w:tc>
      </w:tr>
      <w:tr w:rsidR="00646A25" w:rsidRPr="002212C2" w:rsidTr="007B380E">
        <w:trPr>
          <w:trHeight w:val="270"/>
        </w:trPr>
        <w:tc>
          <w:tcPr>
            <w:tcW w:w="84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 §</w:t>
            </w:r>
          </w:p>
        </w:tc>
        <w:tc>
          <w:tcPr>
            <w:tcW w:w="1843"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87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p.Ser270Arg</w:t>
            </w:r>
          </w:p>
        </w:tc>
        <w:tc>
          <w:tcPr>
            <w:tcW w:w="283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Glomerulosclerosis</w:t>
            </w:r>
          </w:p>
        </w:tc>
        <w:tc>
          <w:tcPr>
            <w:tcW w:w="255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Calcification, Tubular atrophy</w:t>
            </w:r>
          </w:p>
        </w:tc>
        <w:tc>
          <w:tcPr>
            <w:tcW w:w="198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hideMark/>
          </w:tcPr>
          <w:p w:rsidR="00646A25" w:rsidRPr="00BC0897" w:rsidRDefault="00646A25" w:rsidP="00A44008">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000F21AB" w:rsidRPr="00BC0897">
              <w:rPr>
                <w:rFonts w:ascii="Times New Roman" w:hAnsi="Times New Roman" w:cs="Times New Roman"/>
                <w:sz w:val="20"/>
                <w:szCs w:val="20"/>
                <w:lang w:val="en-US"/>
              </w:rPr>
              <w:instrText xml:space="preserve"> ADDIN ZOTERO_ITEM CSL_CITATION {"citationID":"l8H4596V","properties":{"formattedCitation":"(Igarashi et al. 1998)","plainCitation":"(Igarashi et al. 1998)","noteIndex":0},"citationItems":[{"id":332,"uris":["http://zotero.org/users/local/jkkvYBSC/items/CP8UYL58"],"uri":["http://zotero.org/users/local/jkkvYBSC/items/CP8UYL58"],"itemData":{"id":332,"type":"article-journal","abstract":"BACKGROUND: The annual urinary screening of Japanese children above three years of age has identified a progressive renal tubular disorder characterized by low molecular weight proteinuria, hypercalciuria and nephrocalcinosis, and this represents a variant of Dent's disease. Hitherto, 12 mutations of the X-linked renal specific chloride channel, CLCN5, have been reported in the Dent'sJapan variant. To further identify such CLCN5 mutations and to define the structure-function relationships of this channel, we have investigated five unrelated, non-consanguinous Japanese families with this disorder.\nMETHODS: Leukocyte DNA from probands was used with CLCN5 primers for PCR amplification of the coding region, and the DNA sequences of the products determined. Functional studies were performed by expressing the mutants in Xenopus oocytes.\nRESULTS: Five CLCN5 mutations consisting of two nonsense (R648X and R704X), two missense (S270R and L278F) and one acceptor splice site mutation (ag--&gt;cg) in intron 4 were identified. The missense and splice site mutations represent novel abnormalities. Heterologous expression in Xenopus oocytes of wild-type and the missense mutants demonstrated that the mutations, which were translated, either abolished or markedly reduced chloride conductance.\nCONCLUSIONS: These results expand the spectrum of CLCN5 mutations associated with this renal disorder and provide insight into possible structure-function relationships. For example, both the missense mutations are located within a short putative loop between two transmembrane domains, and our results suggest that this region may have an important functional role in the regulation of channel activity.","container-title":"Kidney International","DOI":"10.1046/j.1523-1755.1998.00203.x","ISSN":"0085-2538","issue":"6","journalAbbreviation":"Kidney Int.","language":"eng","note":"PMID: 9853249","page":"1850-1856","source":"PubMed","title":"Functional characterization of renal chloride channel, CLCN5, mutations associated with Dent'sJapan disease","volume":"54","author":[{"family":"Igarashi","given":"T."},{"family":"Günther","given":"W."},{"family":"Sekine","given":"T."},{"family":"Inatomi","given":"J."},{"family":"Shiraga","given":"H."},{"family":"Takahashi","given":"S."},{"family":"Suzuki","given":"J."},{"family":"Tsuru","given":"N."},{"family":"Yanagihara","given":"T."},{"family":"Shimazu","given":"M."},{"family":"Jentsch","given":"T. J."},{"family":"Thakker","given":"R. V."}],"issued":{"date-parts":[["1998",12]]}}}],"schema":"https://github.com/citation-style-language/schema/raw/master/csl-citation.json"} </w:instrText>
            </w:r>
            <w:r w:rsidRPr="00BC0897">
              <w:rPr>
                <w:rFonts w:ascii="Times New Roman" w:hAnsi="Times New Roman" w:cs="Times New Roman"/>
                <w:sz w:val="20"/>
                <w:szCs w:val="20"/>
                <w:lang w:val="en-US"/>
              </w:rPr>
              <w:fldChar w:fldCharType="separate"/>
            </w:r>
            <w:r w:rsidR="000F21AB" w:rsidRPr="00BC0897">
              <w:rPr>
                <w:rFonts w:ascii="Times New Roman" w:hAnsi="Times New Roman" w:cs="Times New Roman"/>
                <w:sz w:val="20"/>
                <w:szCs w:val="20"/>
                <w:lang w:val="en-US"/>
              </w:rPr>
              <w:t>(Igarashi et al. 1998)</w:t>
            </w:r>
            <w:r w:rsidRPr="00BC0897">
              <w:rPr>
                <w:rFonts w:ascii="Times New Roman" w:hAnsi="Times New Roman" w:cs="Times New Roman"/>
                <w:sz w:val="20"/>
                <w:szCs w:val="20"/>
                <w:lang w:val="en-US"/>
              </w:rPr>
              <w:fldChar w:fldCharType="end"/>
            </w:r>
          </w:p>
        </w:tc>
      </w:tr>
      <w:tr w:rsidR="00646A25" w:rsidRPr="002212C2" w:rsidTr="007B380E">
        <w:trPr>
          <w:trHeight w:val="208"/>
        </w:trPr>
        <w:tc>
          <w:tcPr>
            <w:tcW w:w="84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c.815A&gt;G</w:t>
            </w:r>
          </w:p>
        </w:tc>
        <w:tc>
          <w:tcPr>
            <w:tcW w:w="187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p.Tyr272Cys</w:t>
            </w:r>
          </w:p>
        </w:tc>
        <w:tc>
          <w:tcPr>
            <w:tcW w:w="283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Normal</w:t>
            </w:r>
          </w:p>
        </w:tc>
        <w:tc>
          <w:tcPr>
            <w:tcW w:w="255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Normal</w:t>
            </w:r>
          </w:p>
        </w:tc>
        <w:tc>
          <w:tcPr>
            <w:tcW w:w="198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Normal</w:t>
            </w:r>
          </w:p>
        </w:tc>
        <w:tc>
          <w:tcPr>
            <w:tcW w:w="1559"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Negative</w:t>
            </w:r>
          </w:p>
        </w:tc>
        <w:tc>
          <w:tcPr>
            <w:tcW w:w="1701" w:type="dxa"/>
            <w:vAlign w:val="center"/>
            <w:hideMark/>
          </w:tcPr>
          <w:p w:rsidR="00646A25" w:rsidRPr="00BC0897" w:rsidRDefault="00646A25" w:rsidP="00A44008">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00E41E4B" w:rsidRPr="00BC0897">
              <w:rPr>
                <w:rFonts w:ascii="Times New Roman" w:hAnsi="Times New Roman" w:cs="Times New Roman"/>
                <w:sz w:val="20"/>
                <w:szCs w:val="20"/>
                <w:lang w:val="en-US"/>
              </w:rPr>
              <w:instrText xml:space="preserve"> ADDIN ZOTERO_ITEM CSL_CITATION {"citationID":"Cd7WDa7R","properties":{"formattedCitation":"(Hellemans et al. 2010)","plainCitation":"(Hellemans et al. 2010)","noteIndex":0},"citationItems":[{"id":"p7ATYret/1nYo9Sm6","uris":["http://zotero.org/users/local/jkkvYBSC/items/YIFDTG47"],"uri":["http://zotero.org/users/local/jkkvYBSC/items/YIFDTG47"],"itemData":{"id":790,"type":"article-journal","container-title":"NDT plus","DOI":"10.1093/ndtplus/sfq161","ISSN":"1753-0784","issue":"6","journalAbbreviation":"NDT Plus","language":"eng","note":"PMID: 25949475\nPMCID: PMC4421407","page":"584-587","source":"PubMed","title":"A young man presenting with recurrent nephrolithiasis","volume":"3","author":[{"family":"Hellemans","given":"Rachel"},{"family":"Verpooten","given":"Gert A."},{"family":"Bosmans","given":"Jean-Louis"}],"issued":{"date-parts":[["2010",12]]}}}],"schema":"https://github.com/citation-style-language/schema/raw/master/csl-citation.json"} </w:instrText>
            </w:r>
            <w:r w:rsidRPr="00BC0897">
              <w:rPr>
                <w:rFonts w:ascii="Times New Roman" w:hAnsi="Times New Roman" w:cs="Times New Roman"/>
                <w:sz w:val="20"/>
                <w:szCs w:val="20"/>
                <w:lang w:val="en-US"/>
              </w:rPr>
              <w:fldChar w:fldCharType="separate"/>
            </w:r>
            <w:r w:rsidR="000F21AB" w:rsidRPr="00BC0897">
              <w:rPr>
                <w:rFonts w:ascii="Times New Roman" w:hAnsi="Times New Roman" w:cs="Times New Roman"/>
                <w:sz w:val="20"/>
                <w:szCs w:val="20"/>
                <w:lang w:val="en-US"/>
              </w:rPr>
              <w:t>(Hellemans et al. 2010)</w:t>
            </w:r>
            <w:r w:rsidRPr="00BC0897">
              <w:rPr>
                <w:rFonts w:ascii="Times New Roman" w:hAnsi="Times New Roman" w:cs="Times New Roman"/>
                <w:sz w:val="20"/>
                <w:szCs w:val="20"/>
                <w:lang w:val="en-US"/>
              </w:rPr>
              <w:fldChar w:fldCharType="end"/>
            </w:r>
          </w:p>
        </w:tc>
      </w:tr>
      <w:tr w:rsidR="00646A25" w:rsidRPr="002212C2" w:rsidTr="007B380E">
        <w:trPr>
          <w:trHeight w:val="288"/>
        </w:trPr>
        <w:tc>
          <w:tcPr>
            <w:tcW w:w="84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87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p.Leu278Phe</w:t>
            </w:r>
          </w:p>
        </w:tc>
        <w:tc>
          <w:tcPr>
            <w:tcW w:w="283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Glomerulosclerosis</w:t>
            </w:r>
          </w:p>
        </w:tc>
        <w:tc>
          <w:tcPr>
            <w:tcW w:w="255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Tubular atrophy, No calcification</w:t>
            </w:r>
          </w:p>
        </w:tc>
        <w:tc>
          <w:tcPr>
            <w:tcW w:w="198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hideMark/>
          </w:tcPr>
          <w:p w:rsidR="00646A25" w:rsidRPr="00BC0897" w:rsidRDefault="00646A25" w:rsidP="00A44008">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000F21AB" w:rsidRPr="00BC0897">
              <w:rPr>
                <w:rFonts w:ascii="Times New Roman" w:hAnsi="Times New Roman" w:cs="Times New Roman"/>
                <w:sz w:val="20"/>
                <w:szCs w:val="20"/>
                <w:lang w:val="en-US"/>
              </w:rPr>
              <w:instrText xml:space="preserve"> ADDIN ZOTERO_ITEM CSL_CITATION {"citationID":"ebCjSWf8","properties":{"formattedCitation":"(Igarashi et al. 1998)","plainCitation":"(Igarashi et al. 1998)","noteIndex":0},"citationItems":[{"id":332,"uris":["http://zotero.org/users/local/jkkvYBSC/items/CP8UYL58"],"uri":["http://zotero.org/users/local/jkkvYBSC/items/CP8UYL58"],"itemData":{"id":332,"type":"article-journal","abstract":"BACKGROUND: The annual urinary screening of Japanese children above three years of age has identified a progressive renal tubular disorder characterized by low molecular weight proteinuria, hypercalciuria and nephrocalcinosis, and this represents a variant of Dent's disease. Hitherto, 12 mutations of the X-linked renal specific chloride channel, CLCN5, have been reported in the Dent'sJapan variant. To further identify such CLCN5 mutations and to define the structure-function relationships of this channel, we have investigated five unrelated, non-consanguinous Japanese families with this disorder.\nMETHODS: Leukocyte DNA from probands was used with CLCN5 primers for PCR amplification of the coding region, and the DNA sequences of the products determined. Functional studies were performed by expressing the mutants in Xenopus oocytes.\nRESULTS: Five CLCN5 mutations consisting of two nonsense (R648X and R704X), two missense (S270R and L278F) and one acceptor splice site mutation (ag--&gt;cg) in intron 4 were identified. The missense and splice site mutations represent novel abnormalities. Heterologous expression in Xenopus oocytes of wild-type and the missense mutants demonstrated that the mutations, which were translated, either abolished or markedly reduced chloride conductance.\nCONCLUSIONS: These results expand the spectrum of CLCN5 mutations associated with this renal disorder and provide insight into possible structure-function relationships. For example, both the missense mutations are located within a short putative loop between two transmembrane domains, and our results suggest that this region may have an important functional role in the regulation of channel activity.","container-title":"Kidney International","DOI":"10.1046/j.1523-1755.1998.00203.x","ISSN":"0085-2538","issue":"6","journalAbbreviation":"Kidney Int.","language":"eng","note":"PMID: 9853249","page":"1850-1856","source":"PubMed","title":"Functional characterization of renal chloride channel, CLCN5, mutations associated with Dent'sJapan disease","volume":"54","author":[{"family":"Igarashi","given":"T."},{"family":"Günther","given":"W."},{"family":"Sekine","given":"T."},{"family":"Inatomi","given":"J."},{"family":"Shiraga","given":"H."},{"family":"Takahashi","given":"S."},{"family":"Suzuki","given":"J."},{"family":"Tsuru","given":"N."},{"family":"Yanagihara","given":"T."},{"family":"Shimazu","given":"M."},{"family":"Jentsch","given":"T. J."},{"family":"Thakker","given":"R. V."}],"issued":{"date-parts":[["1998",12]]}}}],"schema":"https://github.com/citation-style-language/schema/raw/master/csl-citation.json"} </w:instrText>
            </w:r>
            <w:r w:rsidRPr="00BC0897">
              <w:rPr>
                <w:rFonts w:ascii="Times New Roman" w:hAnsi="Times New Roman" w:cs="Times New Roman"/>
                <w:sz w:val="20"/>
                <w:szCs w:val="20"/>
                <w:lang w:val="en-US"/>
              </w:rPr>
              <w:fldChar w:fldCharType="separate"/>
            </w:r>
            <w:r w:rsidR="000F21AB" w:rsidRPr="00BC0897">
              <w:rPr>
                <w:rFonts w:ascii="Times New Roman" w:hAnsi="Times New Roman" w:cs="Times New Roman"/>
                <w:sz w:val="20"/>
                <w:szCs w:val="20"/>
                <w:lang w:val="en-US"/>
              </w:rPr>
              <w:t>(Igarashi et al. 1998)</w:t>
            </w:r>
            <w:r w:rsidRPr="00BC0897">
              <w:rPr>
                <w:rFonts w:ascii="Times New Roman" w:hAnsi="Times New Roman" w:cs="Times New Roman"/>
                <w:sz w:val="20"/>
                <w:szCs w:val="20"/>
                <w:lang w:val="en-US"/>
              </w:rPr>
              <w:fldChar w:fldCharType="end"/>
            </w:r>
          </w:p>
        </w:tc>
      </w:tr>
      <w:tr w:rsidR="00646A25" w:rsidRPr="00BC0897" w:rsidTr="007B380E">
        <w:trPr>
          <w:trHeight w:val="270"/>
        </w:trPr>
        <w:tc>
          <w:tcPr>
            <w:tcW w:w="84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c.882dupC</w:t>
            </w:r>
          </w:p>
        </w:tc>
        <w:tc>
          <w:tcPr>
            <w:tcW w:w="187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p.Ile295fs*24</w:t>
            </w:r>
          </w:p>
        </w:tc>
        <w:tc>
          <w:tcPr>
            <w:tcW w:w="283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FGGS, Immature glomeruli</w:t>
            </w:r>
          </w:p>
        </w:tc>
        <w:tc>
          <w:tcPr>
            <w:tcW w:w="255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Tubular atrophy</w:t>
            </w:r>
          </w:p>
        </w:tc>
        <w:tc>
          <w:tcPr>
            <w:tcW w:w="198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Foot process effacement</w:t>
            </w:r>
          </w:p>
        </w:tc>
        <w:tc>
          <w:tcPr>
            <w:tcW w:w="1559"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Negative</w:t>
            </w:r>
          </w:p>
        </w:tc>
        <w:tc>
          <w:tcPr>
            <w:tcW w:w="1701" w:type="dxa"/>
            <w:vAlign w:val="center"/>
            <w:hideMark/>
          </w:tcPr>
          <w:p w:rsidR="00D86D41" w:rsidRPr="00BC0897" w:rsidRDefault="00D86D41" w:rsidP="00A44008">
            <w:pPr>
              <w:spacing w:after="0"/>
              <w:jc w:val="center"/>
              <w:rPr>
                <w:rFonts w:ascii="Times New Roman" w:hAnsi="Times New Roman" w:cs="Times New Roman"/>
                <w:sz w:val="20"/>
                <w:szCs w:val="20"/>
                <w:lang w:val="en-US"/>
              </w:rPr>
            </w:pPr>
          </w:p>
          <w:p w:rsidR="00646A25" w:rsidRPr="00BC0897" w:rsidRDefault="00646A25" w:rsidP="00A44008">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000F21AB" w:rsidRPr="00BC0897">
              <w:rPr>
                <w:rFonts w:ascii="Times New Roman" w:hAnsi="Times New Roman" w:cs="Times New Roman"/>
                <w:sz w:val="20"/>
                <w:szCs w:val="20"/>
                <w:lang w:val="en-US"/>
              </w:rPr>
              <w:instrText xml:space="preserve"> ADDIN ZOTERO_ITEM CSL_CITATION {"citationID":"WkBjVCiT","properties":{"formattedCitation":"(Sethi et al. 2009)","plainCitation":"(Sethi et al. 2009)","noteIndex":0},"citationItems":[{"id":581,"uris":["http://zotero.org/users/local/jkkvYBSC/items/WBY3CVD8"],"uri":["http://zotero.org/users/local/jkkvYBSC/items/WBY3CVD8"],"itemData":{"id":581,"type":"article-journal","abstract":"Dent's disease is an X-linked renal tubular disorder characterized by low molecular weight proteinuria, hypercalciuria and nephrocalcinosis or nephrolithiasis. The disease is caused by mutations in a renal chloride channel gene, CLCN5. We report on three boys, of Indian origin, with Dent's disease that presented at an early age (1-4 years), with polyuria, polydipsia, salt craving, recurrent vitamin A-responsive night blindness, hypophosphataemic rickets, hypercalciuria and low molecular weight proteinuria. All these patients were found to have novel mutations in the CLCN5 gene.","container-title":"Pediatric Nephrology (Berlin, Germany)","DOI":"10.1007/s00467-009-1198-6","ISSN":"1432-198X","issue":"9","journalAbbreviation":"Pediatr. Nephrol.","language":"eng","note":"PMID: 19444483","page":"1765-1770","source":"PubMed","title":"Vitamin A responsive night blindness in Dent's disease","volume":"24","author":[{"family":"Sethi","given":"Sidharth Kumar"},{"family":"Ludwig","given":"Michael"},{"family":"Kabra","given":"Madhulika"},{"family":"Hari","given":"Pankaj"},{"family":"Bagga","given":"Arvind"}],"issued":{"date-parts":[["2009",9]]}}}],"schema":"https://github.com/citation-style-language/schema/raw/master/csl-citation.json"} </w:instrText>
            </w:r>
            <w:r w:rsidRPr="00BC0897">
              <w:rPr>
                <w:rFonts w:ascii="Times New Roman" w:hAnsi="Times New Roman" w:cs="Times New Roman"/>
                <w:sz w:val="20"/>
                <w:szCs w:val="20"/>
                <w:lang w:val="en-US"/>
              </w:rPr>
              <w:fldChar w:fldCharType="separate"/>
            </w:r>
            <w:r w:rsidR="000F21AB" w:rsidRPr="00BC0897">
              <w:rPr>
                <w:rFonts w:ascii="Times New Roman" w:hAnsi="Times New Roman" w:cs="Times New Roman"/>
                <w:sz w:val="20"/>
                <w:szCs w:val="20"/>
              </w:rPr>
              <w:t>(Sethi et al. 2009)</w:t>
            </w:r>
            <w:r w:rsidRPr="00BC0897">
              <w:rPr>
                <w:rFonts w:ascii="Times New Roman" w:hAnsi="Times New Roman" w:cs="Times New Roman"/>
                <w:sz w:val="20"/>
                <w:szCs w:val="20"/>
                <w:lang w:val="en-US"/>
              </w:rPr>
              <w:fldChar w:fldCharType="end"/>
            </w:r>
          </w:p>
          <w:p w:rsidR="00D86D41" w:rsidRPr="00BC0897" w:rsidRDefault="00D86D41" w:rsidP="00D86D41">
            <w:pPr>
              <w:spacing w:after="0"/>
              <w:rPr>
                <w:rFonts w:ascii="Times New Roman" w:hAnsi="Times New Roman" w:cs="Times New Roman"/>
                <w:sz w:val="20"/>
                <w:szCs w:val="20"/>
                <w:lang w:val="en-US"/>
              </w:rPr>
            </w:pPr>
          </w:p>
        </w:tc>
      </w:tr>
      <w:tr w:rsidR="00D86D41" w:rsidRPr="00BC0897" w:rsidTr="00BA526F">
        <w:trPr>
          <w:trHeight w:val="300"/>
        </w:trPr>
        <w:tc>
          <w:tcPr>
            <w:tcW w:w="846" w:type="dxa"/>
            <w:vMerge w:val="restart"/>
            <w:vAlign w:val="center"/>
            <w:hideMark/>
          </w:tcPr>
          <w:p w:rsidR="00D86D41" w:rsidRPr="00BC0897" w:rsidRDefault="00D86D41"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lastRenderedPageBreak/>
              <w:t>Dent disease type</w:t>
            </w:r>
          </w:p>
        </w:tc>
        <w:tc>
          <w:tcPr>
            <w:tcW w:w="3715" w:type="dxa"/>
            <w:gridSpan w:val="2"/>
            <w:vAlign w:val="center"/>
            <w:hideMark/>
          </w:tcPr>
          <w:p w:rsidR="00D86D41" w:rsidRPr="00BC0897" w:rsidRDefault="00D86D41"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Mutation</w:t>
            </w:r>
          </w:p>
        </w:tc>
        <w:tc>
          <w:tcPr>
            <w:tcW w:w="5390" w:type="dxa"/>
            <w:gridSpan w:val="2"/>
            <w:vAlign w:val="center"/>
            <w:hideMark/>
          </w:tcPr>
          <w:p w:rsidR="00D86D41" w:rsidRPr="00BC0897" w:rsidRDefault="00D86D41"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Histology</w:t>
            </w:r>
          </w:p>
        </w:tc>
        <w:tc>
          <w:tcPr>
            <w:tcW w:w="1985" w:type="dxa"/>
            <w:vMerge w:val="restart"/>
            <w:vAlign w:val="center"/>
            <w:hideMark/>
          </w:tcPr>
          <w:p w:rsidR="00D86D41" w:rsidRPr="00BC0897" w:rsidRDefault="00D86D41"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TEM</w:t>
            </w:r>
          </w:p>
        </w:tc>
        <w:tc>
          <w:tcPr>
            <w:tcW w:w="1559" w:type="dxa"/>
            <w:vMerge w:val="restart"/>
            <w:vAlign w:val="center"/>
            <w:hideMark/>
          </w:tcPr>
          <w:p w:rsidR="00D86D41" w:rsidRPr="00BC0897" w:rsidRDefault="00D86D41"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IF</w:t>
            </w:r>
          </w:p>
        </w:tc>
        <w:tc>
          <w:tcPr>
            <w:tcW w:w="1701" w:type="dxa"/>
            <w:vMerge w:val="restart"/>
            <w:vAlign w:val="center"/>
            <w:hideMark/>
          </w:tcPr>
          <w:p w:rsidR="00D86D41" w:rsidRPr="00BC0897" w:rsidRDefault="00D86D41"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Ref</w:t>
            </w:r>
          </w:p>
        </w:tc>
      </w:tr>
      <w:tr w:rsidR="00D86D41" w:rsidRPr="00BC0897" w:rsidTr="00BA526F">
        <w:trPr>
          <w:trHeight w:val="258"/>
        </w:trPr>
        <w:tc>
          <w:tcPr>
            <w:tcW w:w="846" w:type="dxa"/>
            <w:vMerge/>
            <w:vAlign w:val="center"/>
            <w:hideMark/>
          </w:tcPr>
          <w:p w:rsidR="00D86D41" w:rsidRPr="00BC0897" w:rsidRDefault="00D86D41" w:rsidP="00BA526F">
            <w:pPr>
              <w:spacing w:after="0"/>
              <w:jc w:val="center"/>
              <w:rPr>
                <w:rFonts w:ascii="Times New Roman" w:hAnsi="Times New Roman" w:cs="Times New Roman"/>
                <w:b/>
                <w:bCs/>
                <w:sz w:val="20"/>
                <w:szCs w:val="20"/>
                <w:lang w:val="en-US"/>
              </w:rPr>
            </w:pPr>
          </w:p>
        </w:tc>
        <w:tc>
          <w:tcPr>
            <w:tcW w:w="1843" w:type="dxa"/>
            <w:vAlign w:val="center"/>
            <w:hideMark/>
          </w:tcPr>
          <w:p w:rsidR="00D86D41" w:rsidRPr="00BC0897" w:rsidRDefault="00D86D41"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Nucleotide</w:t>
            </w:r>
          </w:p>
        </w:tc>
        <w:tc>
          <w:tcPr>
            <w:tcW w:w="1872" w:type="dxa"/>
            <w:vAlign w:val="center"/>
            <w:hideMark/>
          </w:tcPr>
          <w:p w:rsidR="00D86D41" w:rsidRPr="00BC0897" w:rsidRDefault="00D86D41"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Protein</w:t>
            </w:r>
          </w:p>
        </w:tc>
        <w:tc>
          <w:tcPr>
            <w:tcW w:w="2835" w:type="dxa"/>
            <w:vAlign w:val="center"/>
            <w:hideMark/>
          </w:tcPr>
          <w:p w:rsidR="00D86D41" w:rsidRPr="00BC0897" w:rsidRDefault="00D86D41"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Glomerular</w:t>
            </w:r>
          </w:p>
        </w:tc>
        <w:tc>
          <w:tcPr>
            <w:tcW w:w="2555" w:type="dxa"/>
            <w:vAlign w:val="center"/>
            <w:hideMark/>
          </w:tcPr>
          <w:p w:rsidR="00D86D41" w:rsidRPr="00BC0897" w:rsidRDefault="00D86D41"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Interstitial</w:t>
            </w:r>
          </w:p>
        </w:tc>
        <w:tc>
          <w:tcPr>
            <w:tcW w:w="1985" w:type="dxa"/>
            <w:vMerge/>
            <w:vAlign w:val="center"/>
            <w:hideMark/>
          </w:tcPr>
          <w:p w:rsidR="00D86D41" w:rsidRPr="00BC0897" w:rsidRDefault="00D86D41" w:rsidP="00BA526F">
            <w:pPr>
              <w:spacing w:after="0"/>
              <w:jc w:val="center"/>
              <w:rPr>
                <w:rFonts w:ascii="Times New Roman" w:hAnsi="Times New Roman" w:cs="Times New Roman"/>
                <w:b/>
                <w:bCs/>
                <w:sz w:val="20"/>
                <w:szCs w:val="20"/>
                <w:lang w:val="en-US"/>
              </w:rPr>
            </w:pPr>
          </w:p>
        </w:tc>
        <w:tc>
          <w:tcPr>
            <w:tcW w:w="1559" w:type="dxa"/>
            <w:vMerge/>
            <w:vAlign w:val="center"/>
            <w:hideMark/>
          </w:tcPr>
          <w:p w:rsidR="00D86D41" w:rsidRPr="00BC0897" w:rsidRDefault="00D86D41" w:rsidP="00BA526F">
            <w:pPr>
              <w:spacing w:after="0"/>
              <w:jc w:val="center"/>
              <w:rPr>
                <w:rFonts w:ascii="Times New Roman" w:hAnsi="Times New Roman" w:cs="Times New Roman"/>
                <w:b/>
                <w:bCs/>
                <w:sz w:val="20"/>
                <w:szCs w:val="20"/>
                <w:lang w:val="en-US"/>
              </w:rPr>
            </w:pPr>
          </w:p>
        </w:tc>
        <w:tc>
          <w:tcPr>
            <w:tcW w:w="1701" w:type="dxa"/>
            <w:vMerge/>
            <w:vAlign w:val="center"/>
            <w:hideMark/>
          </w:tcPr>
          <w:p w:rsidR="00D86D41" w:rsidRPr="00BC0897" w:rsidRDefault="00D86D41" w:rsidP="00BA526F">
            <w:pPr>
              <w:spacing w:after="0"/>
              <w:jc w:val="center"/>
              <w:rPr>
                <w:rFonts w:ascii="Times New Roman" w:hAnsi="Times New Roman" w:cs="Times New Roman"/>
                <w:b/>
                <w:bCs/>
                <w:sz w:val="20"/>
                <w:szCs w:val="20"/>
                <w:lang w:val="en-US"/>
              </w:rPr>
            </w:pPr>
          </w:p>
        </w:tc>
      </w:tr>
      <w:tr w:rsidR="007B380E" w:rsidRPr="002212C2" w:rsidTr="007B380E">
        <w:trPr>
          <w:trHeight w:val="270"/>
        </w:trPr>
        <w:tc>
          <w:tcPr>
            <w:tcW w:w="846" w:type="dxa"/>
            <w:noWrap/>
            <w:vAlign w:val="center"/>
          </w:tcPr>
          <w:p w:rsidR="007B380E" w:rsidRPr="00BC0897" w:rsidRDefault="007B380E"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tcPr>
          <w:p w:rsidR="007B380E" w:rsidRPr="00BC0897" w:rsidRDefault="007B380E"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c.940delT</w:t>
            </w:r>
          </w:p>
        </w:tc>
        <w:tc>
          <w:tcPr>
            <w:tcW w:w="1872" w:type="dxa"/>
            <w:vAlign w:val="center"/>
          </w:tcPr>
          <w:p w:rsidR="007B380E" w:rsidRPr="00BC0897" w:rsidRDefault="007B380E"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p.Ser314Argfs*10</w:t>
            </w:r>
          </w:p>
        </w:tc>
        <w:tc>
          <w:tcPr>
            <w:tcW w:w="2835" w:type="dxa"/>
            <w:vAlign w:val="center"/>
          </w:tcPr>
          <w:p w:rsidR="007B380E" w:rsidRPr="00BC0897" w:rsidRDefault="007B380E"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Mesangial proliferative glomerulonephritis</w:t>
            </w:r>
          </w:p>
        </w:tc>
        <w:tc>
          <w:tcPr>
            <w:tcW w:w="2555" w:type="dxa"/>
            <w:vAlign w:val="center"/>
          </w:tcPr>
          <w:p w:rsidR="007B380E" w:rsidRPr="00BC0897" w:rsidRDefault="007B380E" w:rsidP="00C228AD">
            <w:pPr>
              <w:spacing w:after="0"/>
              <w:jc w:val="center"/>
              <w:rPr>
                <w:rFonts w:ascii="Times New Roman" w:hAnsi="Times New Roman" w:cs="Times New Roman"/>
                <w:sz w:val="20"/>
                <w:szCs w:val="20"/>
                <w:lang w:val="en-US"/>
              </w:rPr>
            </w:pPr>
          </w:p>
        </w:tc>
        <w:tc>
          <w:tcPr>
            <w:tcW w:w="1985" w:type="dxa"/>
            <w:vAlign w:val="center"/>
          </w:tcPr>
          <w:p w:rsidR="007B380E" w:rsidRPr="00BC0897" w:rsidRDefault="007B380E"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vAlign w:val="center"/>
          </w:tcPr>
          <w:p w:rsidR="007B380E" w:rsidRPr="00BC0897" w:rsidRDefault="007B380E"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tcPr>
          <w:p w:rsidR="007B380E" w:rsidRPr="00BC0897" w:rsidRDefault="007B380E" w:rsidP="00A44008">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{"citationID":"NzIi6qWz","properties":{"formattedCitation":"(Deng et al. 2020)","plainCitation":"(Deng et al. 2020)","noteIndex":0},"citationItems":[{"id":2533,"uris":["http://zotero.org/users/local/jkkvYBSC/items/5ERYPQ5M"],"uri":["http://zotero.org/users/local/jkkvYBSC/items/5ERYPQ5M"],"itemData":{"id":2533,"type":"article-journal","abstract":"BACKGROUND: To characterize the phenotypic spectrum and assess the antialbuminuric response to angiotensin converting enzyme (ACE) inhibitor and/or angiotensin receptor blocker (ARB) therapy in a cohort of children with Dent disease.\nMETHODS: The patients' clinical findings, renal biopsy results, genetic and follow-up data were analyzed retrospectively. Mutations in CLCN5 or OCRL were detected by next-generation sequencing or Sanger sequencing.\nRESULTS: Of 31 Dent disease boys, 24 carried CLCN5 and 7 carried OCRL mutations. Low molecular weight proteinuria and albuminuria were detected in all cases. Nephrotic-range proteinuria and severe albuminuria were identified in 52% and 62% of cases, respectively; by 7 years of age, 6 patients had hematuria and nephrotic-range proteinuria, and 7 patients had hematuria and moderate to severe albuminuria. In addition to disease-related renal features, patients with Dent-1 disease also presented with congenital cataract (1/9) and developmental delay (2/7). Seventeen of 31 patients underwent renal biopsy. Glomerular changes included mild glomerular lesions, mesangial proliferative glomerulonephritis and focal segmental glomerular sclerosis. Thirteen of the 31 patients had follow-up records and received ACE inhibitor and/or ARB treatment for more than 3 months. After a median 1.7 (range 0.3-8.5) years of treatment, a reduction in the urinary microalbumin-to-creatinine ratio was observed in 54% of children.\nCONCLUSIONS: Hematuria with nephrotic-range proteinuria or moderate to severe albuminuria was common in Dent disease patients. Extrarenal manifestations were observed in Dent-1 patients, which extends the phenotypic spectrum. In addition, ACE inhibitors and ARBs are well tolerated, and they are partially effective in controlling albuminuria.","container-title":"Molecular Genetics &amp; Genomic Medicine","DOI":"10.1002/mgg3.1306","ISSN":"2324-9269","journalAbbreviation":"Mol Genet Genomic Med","language":"eng","note":"PMID: 32495484","page":"e1306","source":"PubMed","title":"Phenotypic spectrum and antialbuminuric response to angiotensin converting enzyme inhibitor and angiotensin receptor blocker therapy in pediatric Dent disease","author":[{"family":"Deng","given":"Haiyue"},{"family":"Zhang","given":"Yanqin"},{"family":"Xiao","given":"Huijie"},{"family":"Yao","given":"Yong"},{"family":"Zhang","given":"Hongwen"},{"family":"Liu","given":"Xiaoyu"},{"family":"Su","given":"Baige"},{"family":"Guan","given":"Na"},{"family":"Zhong","given":"Xuhui"},{"family":"Wang","given":"Suxia"},{"family":"Ding","given":"Jie"},{"family":"Wang","given":"Fang"}],"issued":{"date-parts":[["2020",6,3]]}}}],"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lang w:val="en-US"/>
              </w:rPr>
              <w:t>(Deng et al. 2020)</w:t>
            </w:r>
            <w:r w:rsidRPr="00BC0897">
              <w:rPr>
                <w:rFonts w:ascii="Times New Roman" w:hAnsi="Times New Roman" w:cs="Times New Roman"/>
                <w:sz w:val="20"/>
                <w:szCs w:val="20"/>
                <w:lang w:val="en-US"/>
              </w:rPr>
              <w:fldChar w:fldCharType="end"/>
            </w:r>
          </w:p>
        </w:tc>
      </w:tr>
      <w:tr w:rsidR="00646A25" w:rsidRPr="00BC0897" w:rsidTr="007B380E">
        <w:trPr>
          <w:trHeight w:val="900"/>
        </w:trPr>
        <w:tc>
          <w:tcPr>
            <w:tcW w:w="846" w:type="dxa"/>
            <w:noWrap/>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p>
        </w:tc>
        <w:tc>
          <w:tcPr>
            <w:tcW w:w="1872"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p.Gly329Asp</w:t>
            </w:r>
          </w:p>
        </w:tc>
        <w:tc>
          <w:tcPr>
            <w:tcW w:w="283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Focal glomerulosclerosis, Mesangial proliferation, Adherence to Bowman capsule</w:t>
            </w:r>
          </w:p>
        </w:tc>
        <w:tc>
          <w:tcPr>
            <w:tcW w:w="255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Interstitial fibrosis, Tubular atrophy</w:t>
            </w:r>
          </w:p>
        </w:tc>
        <w:tc>
          <w:tcPr>
            <w:tcW w:w="1985"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vAlign w:val="center"/>
            <w:hideMark/>
          </w:tcPr>
          <w:p w:rsidR="00646A25" w:rsidRPr="00BC0897" w:rsidRDefault="00646A25" w:rsidP="00C228AD">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IgM</w:t>
            </w:r>
          </w:p>
        </w:tc>
        <w:tc>
          <w:tcPr>
            <w:tcW w:w="1701" w:type="dxa"/>
            <w:vAlign w:val="center"/>
            <w:hideMark/>
          </w:tcPr>
          <w:p w:rsidR="00646A25" w:rsidRPr="00BC0897" w:rsidRDefault="00646A25" w:rsidP="00A44008">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00E41E4B" w:rsidRPr="00BC0897">
              <w:rPr>
                <w:rFonts w:ascii="Times New Roman" w:hAnsi="Times New Roman" w:cs="Times New Roman"/>
                <w:sz w:val="20"/>
                <w:szCs w:val="20"/>
                <w:lang w:val="en-US"/>
              </w:rPr>
              <w:instrText xml:space="preserve"> ADDIN ZOTERO_ITEM CSL_CITATION {"citationID":"SeEDDFEb","properties":{"formattedCitation":"(Vaisbich et al. 2012)","plainCitation":"(Vaisbich et al. 2012)","noteIndex":0},"citationItems":[{"id":"p7ATYret/6GUfhuiX","uris":["http://zotero.org/users/local/jkkvYBSC/items/2JXLY6Y8"],"uri":["http://zotero.org/users/local/jkkvYBSC/items/2JXLY6Y8"],"itemData":{"id":812,"type":"article-journal","abstract":"Dent's disease type 1 is an X-linked tubular disease caused by mutations in the renal chloride channel CLCN-5, and it is characterized by low molecular weight proteinuria, hypercalciuria, nephrocalcinosis, and renal failure. Several cases have been described in which the only presenting symptoms were asymptomatic proteinuria, and focal segmental or global glomerulosclerosis. The renal failure in these patients may be caused by hypercalciuria and persistent proteinuria. Therefore, angiotensin converse enzyme inhibitor and thiazides could be useful. Our aim is to report the effects of these drugs in two novel mutations patients with Dent's disease type 1. In this report, no significant correlations between dosage of hydrochlorothiazide and calciuria and no significant correlations between proteinuria and dosage of enalapril were detected. This is important since these are polyuric patients and these drugs could be dangerous to their renal function.","container-title":"Jornal Brasileiro De Nefrologia: 'Orgao Oficial De Sociedades Brasileira E Latino-Americana De Nefrologia","ISSN":"2175-8239","issue":"1","journalAbbreviation":"J Bras Nefrol","language":"eng","note":"PMID: 22441187","page":"78-81","source":"PubMed","title":"The long-term use of enalapril and hydrochlorothiazide in two novel mutations patients with Dent's disease type 1","volume":"34","author":[{"family":"Vaisbich","given":"Maria Helena"},{"family":"Henriques","given":"Luciana Dos Santos"},{"family":"Igarashi","given":"Takashi"},{"family":"Sekine","given":"Takashi"},{"family":"Seki","given":"George"},{"family":"Koch","given":"Vera H."}],"issued":{"date-parts":[["2012",3]]}}}],"schema":"https://github.com/citation-style-language/schema/raw/master/csl-citation.json"} </w:instrText>
            </w:r>
            <w:r w:rsidRPr="00BC0897">
              <w:rPr>
                <w:rFonts w:ascii="Times New Roman" w:hAnsi="Times New Roman" w:cs="Times New Roman"/>
                <w:sz w:val="20"/>
                <w:szCs w:val="20"/>
                <w:lang w:val="en-US"/>
              </w:rPr>
              <w:fldChar w:fldCharType="separate"/>
            </w:r>
            <w:r w:rsidR="000F21AB" w:rsidRPr="00BC0897">
              <w:rPr>
                <w:rFonts w:ascii="Times New Roman" w:hAnsi="Times New Roman" w:cs="Times New Roman"/>
                <w:sz w:val="20"/>
                <w:szCs w:val="20"/>
              </w:rPr>
              <w:t>(Vaisbich et al. 2012)</w:t>
            </w:r>
            <w:r w:rsidRPr="00BC0897">
              <w:rPr>
                <w:rFonts w:ascii="Times New Roman" w:hAnsi="Times New Roman" w:cs="Times New Roman"/>
                <w:sz w:val="20"/>
                <w:szCs w:val="20"/>
                <w:lang w:val="en-US"/>
              </w:rPr>
              <w:fldChar w:fldCharType="end"/>
            </w:r>
          </w:p>
        </w:tc>
      </w:tr>
      <w:tr w:rsidR="008F7E4A" w:rsidRPr="00BC0897" w:rsidTr="007B380E">
        <w:trPr>
          <w:trHeight w:val="258"/>
        </w:trPr>
        <w:tc>
          <w:tcPr>
            <w:tcW w:w="846" w:type="dxa"/>
            <w:vAlign w:val="center"/>
          </w:tcPr>
          <w:p w:rsidR="008F7E4A" w:rsidRPr="00BC0897" w:rsidRDefault="008F7E4A" w:rsidP="008F7E4A">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t>1</w:t>
            </w:r>
          </w:p>
        </w:tc>
        <w:tc>
          <w:tcPr>
            <w:tcW w:w="1843" w:type="dxa"/>
            <w:vAlign w:val="center"/>
          </w:tcPr>
          <w:p w:rsidR="008F7E4A" w:rsidRPr="00BC0897" w:rsidRDefault="008F7E4A" w:rsidP="008F7E4A">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t>c.989G&gt;A</w:t>
            </w:r>
          </w:p>
        </w:tc>
        <w:tc>
          <w:tcPr>
            <w:tcW w:w="1872" w:type="dxa"/>
            <w:vAlign w:val="center"/>
          </w:tcPr>
          <w:p w:rsidR="008F7E4A" w:rsidRPr="00BC0897" w:rsidRDefault="008F7E4A" w:rsidP="008F7E4A">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t>p.Gly30Asp</w:t>
            </w:r>
          </w:p>
        </w:tc>
        <w:tc>
          <w:tcPr>
            <w:tcW w:w="2835" w:type="dxa"/>
            <w:vAlign w:val="center"/>
          </w:tcPr>
          <w:p w:rsidR="008F7E4A" w:rsidRPr="00BC0897" w:rsidRDefault="008F7E4A" w:rsidP="008F7E4A">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Mild glomerular lesions</w:t>
            </w:r>
          </w:p>
        </w:tc>
        <w:tc>
          <w:tcPr>
            <w:tcW w:w="2555" w:type="dxa"/>
            <w:vAlign w:val="center"/>
          </w:tcPr>
          <w:p w:rsidR="008F7E4A" w:rsidRPr="00BC0897" w:rsidRDefault="008F7E4A" w:rsidP="008F7E4A">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t>Tubular injury</w:t>
            </w:r>
          </w:p>
        </w:tc>
        <w:tc>
          <w:tcPr>
            <w:tcW w:w="1985"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{"citationID":"oEKE2yVL","properties":{"formattedCitation":"(Deng et al. 2020)","plainCitation":"(Deng et al. 2020)","noteIndex":0},"citationItems":[{"id":2533,"uris":["http://zotero.org/users/local/jkkvYBSC/items/5ERYPQ5M"],"uri":["http://zotero.org/users/local/jkkvYBSC/items/5ERYPQ5M"],"itemData":{"id":2533,"type":"article-journal","abstract":"BACKGROUND: To characterize the phenotypic spectrum and assess the antialbuminuric response to angiotensin converting enzyme (ACE) inhibitor and/or angiotensin receptor blocker (ARB) therapy in a cohort of children with Dent disease.\nMETHODS: The patients' clinical findings, renal biopsy results, genetic and follow-up data were analyzed retrospectively. Mutations in CLCN5 or OCRL were detected by next-generation sequencing or Sanger sequencing.\nRESULTS: Of 31 Dent disease boys, 24 carried CLCN5 and 7 carried OCRL mutations. Low molecular weight proteinuria and albuminuria were detected in all cases. Nephrotic-range proteinuria and severe albuminuria were identified in 52% and 62% of cases, respectively; by 7 years of age, 6 patients had hematuria and nephrotic-range proteinuria, and 7 patients had hematuria and moderate to severe albuminuria. In addition to disease-related renal features, patients with Dent-1 disease also presented with congenital cataract (1/9) and developmental delay (2/7). Seventeen of 31 patients underwent renal biopsy. Glomerular changes included mild glomerular lesions, mesangial proliferative glomerulonephritis and focal segmental glomerular sclerosis. Thirteen of the 31 patients had follow-up records and received ACE inhibitor and/or ARB treatment for more than 3 months. After a median 1.7 (range 0.3-8.5) years of treatment, a reduction in the urinary microalbumin-to-creatinine ratio was observed in 54% of children.\nCONCLUSIONS: Hematuria with nephrotic-range proteinuria or moderate to severe albuminuria was common in Dent disease patients. Extrarenal manifestations were observed in Dent-1 patients, which extends the phenotypic spectrum. In addition, ACE inhibitors and ARBs are well tolerated, and they are partially effective in controlling albuminuria.","container-title":"Molecular Genetics &amp; Genomic Medicine","DOI":"10.1002/mgg3.1306","ISSN":"2324-9269","journalAbbreviation":"Mol Genet Genomic Med","language":"eng","note":"PMID: 32495484","page":"e1306","source":"PubMed","title":"Phenotypic spectrum and antialbuminuric response to angiotensin converting enzyme inhibitor and angiotensin receptor blocker therapy in pediatric Dent disease","author":[{"family":"Deng","given":"Haiyue"},{"family":"Zhang","given":"Yanqin"},{"family":"Xiao","given":"Huijie"},{"family":"Yao","given":"Yong"},{"family":"Zhang","given":"Hongwen"},{"family":"Liu","given":"Xiaoyu"},{"family":"Su","given":"Baige"},{"family":"Guan","given":"Na"},{"family":"Zhong","given":"Xuhui"},{"family":"Wang","given":"Suxia"},{"family":"Ding","given":"Jie"},{"family":"Wang","given":"Fang"}],"issued":{"date-parts":[["2020",6,3]]}}}],"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lang w:val="en-US"/>
              </w:rPr>
              <w:t>(Deng et al. 2020)</w:t>
            </w:r>
            <w:r w:rsidRPr="00BC0897">
              <w:rPr>
                <w:rFonts w:ascii="Times New Roman" w:hAnsi="Times New Roman" w:cs="Times New Roman"/>
                <w:sz w:val="20"/>
                <w:szCs w:val="20"/>
                <w:lang w:val="en-US"/>
              </w:rPr>
              <w:fldChar w:fldCharType="end"/>
            </w:r>
          </w:p>
        </w:tc>
      </w:tr>
      <w:tr w:rsidR="008F7E4A" w:rsidRPr="002212C2" w:rsidTr="007B380E">
        <w:trPr>
          <w:trHeight w:val="258"/>
        </w:trPr>
        <w:tc>
          <w:tcPr>
            <w:tcW w:w="846" w:type="dxa"/>
            <w:vAlign w:val="center"/>
          </w:tcPr>
          <w:p w:rsidR="008F7E4A" w:rsidRPr="00BC0897" w:rsidRDefault="008F7E4A" w:rsidP="008F7E4A">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t>1</w:t>
            </w:r>
          </w:p>
        </w:tc>
        <w:tc>
          <w:tcPr>
            <w:tcW w:w="1843" w:type="dxa"/>
            <w:vAlign w:val="center"/>
          </w:tcPr>
          <w:p w:rsidR="008F7E4A" w:rsidRPr="00BC0897" w:rsidRDefault="008F7E4A" w:rsidP="008F7E4A">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t>c.992_993insAGTATTAT</w:t>
            </w:r>
          </w:p>
        </w:tc>
        <w:tc>
          <w:tcPr>
            <w:tcW w:w="1872" w:type="dxa"/>
            <w:vAlign w:val="center"/>
          </w:tcPr>
          <w:p w:rsidR="008F7E4A" w:rsidRPr="00BC0897" w:rsidRDefault="008F7E4A" w:rsidP="008F7E4A">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t>p.Pro34fs*1</w:t>
            </w:r>
          </w:p>
        </w:tc>
        <w:tc>
          <w:tcPr>
            <w:tcW w:w="2835" w:type="dxa"/>
            <w:vAlign w:val="center"/>
          </w:tcPr>
          <w:p w:rsidR="008F7E4A" w:rsidRPr="00BC0897" w:rsidRDefault="008F7E4A" w:rsidP="008F7E4A">
            <w:pPr>
              <w:spacing w:after="0"/>
              <w:jc w:val="center"/>
              <w:rPr>
                <w:rFonts w:ascii="Times New Roman" w:hAnsi="Times New Roman" w:cs="Times New Roman"/>
                <w:bCs/>
                <w:sz w:val="20"/>
                <w:szCs w:val="20"/>
                <w:lang w:val="en-US"/>
              </w:rPr>
            </w:pPr>
            <w:r w:rsidRPr="00BC0897">
              <w:rPr>
                <w:rFonts w:ascii="Times New Roman" w:hAnsi="Times New Roman" w:cs="Times New Roman"/>
                <w:bCs/>
                <w:sz w:val="20"/>
                <w:szCs w:val="20"/>
                <w:lang w:val="en-US"/>
              </w:rPr>
              <w:t>Mild glomerular lesions</w:t>
            </w:r>
          </w:p>
        </w:tc>
        <w:tc>
          <w:tcPr>
            <w:tcW w:w="2555" w:type="dxa"/>
            <w:vAlign w:val="center"/>
          </w:tcPr>
          <w:p w:rsidR="008F7E4A" w:rsidRPr="00BC0897" w:rsidRDefault="008F7E4A" w:rsidP="008F7E4A">
            <w:pPr>
              <w:spacing w:after="0"/>
              <w:jc w:val="center"/>
              <w:rPr>
                <w:rFonts w:ascii="Times New Roman" w:hAnsi="Times New Roman" w:cs="Times New Roman"/>
                <w:bCs/>
                <w:sz w:val="20"/>
                <w:szCs w:val="20"/>
                <w:lang w:val="en-US"/>
              </w:rPr>
            </w:pPr>
          </w:p>
        </w:tc>
        <w:tc>
          <w:tcPr>
            <w:tcW w:w="1985"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002E3128" w:rsidRPr="00BC0897">
              <w:rPr>
                <w:rFonts w:ascii="Times New Roman" w:hAnsi="Times New Roman" w:cs="Times New Roman"/>
                <w:sz w:val="20"/>
                <w:szCs w:val="20"/>
                <w:lang w:val="en-US"/>
              </w:rPr>
              <w:instrText xml:space="preserve"> ADDIN ZOTERO_ITEM CSL_CITATION {"citationID":"XEIZ8dGN","properties":{"formattedCitation":"(Deng et al. 2020)","plainCitation":"(Deng et al. 2020)","noteIndex":0},"citationItems":[{"id":2533,"uris":["http://zotero.org/users/local/jkkvYBSC/items/5ERYPQ5M"],"uri":["http://zotero.org/users/local/jkkvYBSC/items/5ERYPQ5M"],"itemData":{"id":2533,"type":"article-journal","abstract":"BACKGROUND: To characterize the phenotypic spectrum and assess the antialbuminuric response to angiotensin converting enzyme (ACE) inhibitor and/or angiotensin receptor blocker (ARB) therapy in a cohort of children with Dent disease.\nMETHODS: The patients' clinical findings, renal biopsy results, genetic and follow-up data were analyzed retrospectively. Mutations in CLCN5 or OCRL were detected by next-generation sequencing or Sanger sequencing.\nRESULTS: Of 31 Dent disease boys, 24 carried CLCN5 and 7 carried OCRL mutations. Low molecular weight proteinuria and albuminuria were detected in all cases. Nephrotic-range proteinuria and severe albuminuria were identified in 52% and 62% of cases, respectively; by 7 years of age, 6 patients had hematuria and nephrotic-range proteinuria, and 7 patients had hematuria and moderate to severe albuminuria. In addition to disease-related renal features, patients with Dent-1 disease also presented with congenital cataract (1/9) and developmental delay (2/7). Seventeen of 31 patients underwent renal biopsy. Glomerular changes included mild glomerular lesions, mesangial proliferative glomerulonephritis and focal segmental glomerular sclerosis. Thirteen of the 31 patients had follow-up records and received ACE inhibitor and/or ARB treatment for more than 3 months. After a median 1.7 (range 0.3-8.5) years of treatment, a reduction in the urinary microalbumin-to-creatinine ratio was observed in 54% of children.\nCONCLUSIONS: Hematuria with nephrotic-range proteinuria or moderate to severe albuminuria was common in Dent disease patients. Extrarenal manifestations were observed in Dent-1 patients, which extends the phenotypic spectrum. In addition, ACE inhibitors and ARBs are well tolerated, and they are partially effective in controlling albuminuria.","container-title":"Molecular Genetics &amp; Genomic Medicine","DOI":"10.1002/mgg3.1306","ISSN":"2324-9269","journalAbbreviation":"Mol Genet Genomic Med","language":"eng","note":"PMID: 32495484","page":"e1306","source":"PubMed","title":"Phenotypic spectrum and antialbuminuric response to angiotensin converting enzyme inhibitor and angiotensin receptor blocker therapy in pediatric Dent disease","author":[{"family":"Deng","given":"Haiyue"},{"family":"Zhang","given":"Yanqin"},{"family":"Xiao","given":"Huijie"},{"family":"Yao","given":"Yong"},{"family":"Zhang","given":"Hongwen"},{"family":"Liu","given":"Xiaoyu"},{"family":"Su","given":"Baige"},{"family":"Guan","given":"Na"},{"family":"Zhong","given":"Xuhui"},{"family":"Wang","given":"Suxia"},{"family":"Ding","given":"Jie"},{"family":"Wang","given":"Fang"}],"issued":{"date-parts":[["2020",6,3]]}}}],"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lang w:val="en-US"/>
              </w:rPr>
              <w:t>(Deng et al. 2020)</w:t>
            </w:r>
            <w:r w:rsidRPr="00BC0897">
              <w:rPr>
                <w:rFonts w:ascii="Times New Roman" w:hAnsi="Times New Roman" w:cs="Times New Roman"/>
                <w:sz w:val="20"/>
                <w:szCs w:val="20"/>
                <w:lang w:val="en-US"/>
              </w:rPr>
              <w:fldChar w:fldCharType="end"/>
            </w:r>
          </w:p>
        </w:tc>
      </w:tr>
      <w:tr w:rsidR="008F7E4A" w:rsidRPr="002212C2" w:rsidTr="007B380E">
        <w:trPr>
          <w:trHeight w:val="264"/>
        </w:trPr>
        <w:tc>
          <w:tcPr>
            <w:tcW w:w="846" w:type="dxa"/>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c.997G&gt;A</w:t>
            </w:r>
          </w:p>
        </w:tc>
        <w:tc>
          <w:tcPr>
            <w:tcW w:w="1872"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p.Gly333Arg</w:t>
            </w:r>
          </w:p>
        </w:tc>
        <w:tc>
          <w:tcPr>
            <w:tcW w:w="283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FSGS</w:t>
            </w:r>
          </w:p>
        </w:tc>
        <w:tc>
          <w:tcPr>
            <w:tcW w:w="255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p>
        </w:tc>
        <w:tc>
          <w:tcPr>
            <w:tcW w:w="198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Foot process effacement</w:t>
            </w:r>
          </w:p>
        </w:tc>
        <w:tc>
          <w:tcPr>
            <w:tcW w:w="1559"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Negative</w:t>
            </w:r>
          </w:p>
        </w:tc>
        <w:tc>
          <w:tcPr>
            <w:tcW w:w="1701"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{"citationID":"TZRhDXfz","properties":{"formattedCitation":"(Zaniew et al. 2017)","plainCitation":"(Zaniew et al. 2017)","noteIndex":0},"citationItems":[{"id":542,"uris":["http://zotero.org/users/local/jkkvYBSC/items/4G4P2PVC"],"uri":["http://zotero.org/users/local/jkkvYBSC/items/4G4P2PVC"],"itemData":{"id":542,"type":"article-journal","abstract":"PURPOSE: Dent disease (DD) is a rare tubulopathy characterized by proximal tubular dysfunction leading to chronic kidney disease (CKD). The aim of the study was to characterize patients with DD in Poland.\nMETHODS: A retrospective analysis of a national cohort with genetically confirmed diagnosis.\nRESULTS: Of 24 males, all patients except one carried mutations in the CLCN5 gene; in one patient a mutation in the OCRL gene was disclosed. Molecular diagnosis was delayed 1 year on average (range 0-21 years). The most common features were tubular proteinuria (100%), hypercalciuria (87%), and nephrocalcinosis (56%). CKD (≤stage II) and growth deficiency were found in 45 and 22% of patients, respectively. Over time, a progression of CKD and persistence of growth impairment was noted. Subnephrotic and nephrotic proteinuria (20%) was found in most patients, but tubular proteinuria was assessed in only 67% of patients. In one family steroid-resistant nephrotic syndrome prompted a genetic testing, and reverse phenotyping. Five children (20%) underwent kidney biopsy, and two of them were treated with immunosuppressants. Hydrochlorothiazide and angiotensin-converting enzyme inhibitors were prescribed for a significant proportion of patients (42 and 37.5%, respectively), while supplemental therapy with phosphate, potassium, vitamin D (12.5% each), and alkali (4.2%) was insufficient, when compared to the percentages of patients requiring repletion.\nCONCLUSIONS: We found CLCN5 mutations in the vast majority of Polish patients with DD. Proteinuria was the most constant finding; however, tubular proteins were not assessed commonly, likely leading to delayed molecular diagnosis and misdiagnosis in some patients. More consideration should be given to optimize the therapy.","container-title":"International Urology and Nephrology","DOI":"10.1007/s11255-017-1676-x","ISSN":"1573-2584","issue":"11","journalAbbreviation":"Int Urol Nephrol","language":"eng","note":"PMID: 28815356","page":"2005-2017","source":"PubMed","title":"Dent disease in Poland: what we have learned so far?","title-short":"Dent disease in Poland","volume":"49","author":[{"family":"Zaniew","given":"Marcin"},{"family":"Mizerska-Wasiak","given":"Małgorzata"},{"family":"Załuska-Leśniewska","given":"Iga"},{"family":"Adamczyk","given":"Piotr"},{"family":"Kiliś-Pstrusińska","given":"Katarzyna"},{"family":"Haliński","given":"Adam"},{"family":"Zawadzki","given":"Jan"},{"family":"Lipska-Ziętkiewicz","given":"Beata S."},{"family":"Pawlaczyk","given":"Krzysztof"},{"family":"Sikora","given":"Przemysław"},{"family":"Ludwig","given":"Michael"},{"family":"Szczepańska","given":"Maria"}],"issued":{"date-parts":[["2017",11]]}}}],"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szCs w:val="20"/>
                <w:lang w:val="en-US"/>
              </w:rPr>
              <w:t>(Zaniew et al. 2017)</w:t>
            </w:r>
            <w:r w:rsidRPr="00BC0897">
              <w:rPr>
                <w:rFonts w:ascii="Times New Roman" w:hAnsi="Times New Roman" w:cs="Times New Roman"/>
                <w:sz w:val="20"/>
                <w:szCs w:val="20"/>
                <w:lang w:val="en-US"/>
              </w:rPr>
              <w:fldChar w:fldCharType="end"/>
            </w:r>
          </w:p>
        </w:tc>
      </w:tr>
      <w:tr w:rsidR="008F7E4A" w:rsidRPr="00BC0897" w:rsidTr="007B380E">
        <w:trPr>
          <w:trHeight w:val="267"/>
        </w:trPr>
        <w:tc>
          <w:tcPr>
            <w:tcW w:w="846" w:type="dxa"/>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 §</w:t>
            </w:r>
          </w:p>
        </w:tc>
        <w:tc>
          <w:tcPr>
            <w:tcW w:w="1843"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c.1200delC</w:t>
            </w:r>
          </w:p>
        </w:tc>
        <w:tc>
          <w:tcPr>
            <w:tcW w:w="1872"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p.Leu400fs*33</w:t>
            </w:r>
          </w:p>
        </w:tc>
        <w:tc>
          <w:tcPr>
            <w:tcW w:w="283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Mesangial proliferation</w:t>
            </w:r>
          </w:p>
        </w:tc>
        <w:tc>
          <w:tcPr>
            <w:tcW w:w="255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p>
        </w:tc>
        <w:tc>
          <w:tcPr>
            <w:tcW w:w="198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Foot process effacement</w:t>
            </w:r>
          </w:p>
        </w:tc>
        <w:tc>
          <w:tcPr>
            <w:tcW w:w="1559"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{"citationID":"ZokHQIg3","properties":{"formattedCitation":"(Zaniew et al. 2017)","plainCitation":"(Zaniew et al. 2017)","noteIndex":0},"citationItems":[{"id":542,"uris":["http://zotero.org/users/local/jkkvYBSC/items/4G4P2PVC"],"uri":["http://zotero.org/users/local/jkkvYBSC/items/4G4P2PVC"],"itemData":{"id":542,"type":"article-journal","abstract":"PURPOSE: Dent disease (DD) is a rare tubulopathy characterized by proximal tubular dysfunction leading to chronic kidney disease (CKD). The aim of the study was to characterize patients with DD in Poland.\nMETHODS: A retrospective analysis of a national cohort with genetically confirmed diagnosis.\nRESULTS: Of 24 males, all patients except one carried mutations in the CLCN5 gene; in one patient a mutation in the OCRL gene was disclosed. Molecular diagnosis was delayed 1 year on average (range 0-21 years). The most common features were tubular proteinuria (100%), hypercalciuria (87%), and nephrocalcinosis (56%). CKD (≤stage II) and growth deficiency were found in 45 and 22% of patients, respectively. Over time, a progression of CKD and persistence of growth impairment was noted. Subnephrotic and nephrotic proteinuria (20%) was found in most patients, but tubular proteinuria was assessed in only 67% of patients. In one family steroid-resistant nephrotic syndrome prompted a genetic testing, and reverse phenotyping. Five children (20%) underwent kidney biopsy, and two of them were treated with immunosuppressants. Hydrochlorothiazide and angiotensin-converting enzyme inhibitors were prescribed for a significant proportion of patients (42 and 37.5%, respectively), while supplemental therapy with phosphate, potassium, vitamin D (12.5% each), and alkali (4.2%) was insufficient, when compared to the percentages of patients requiring repletion.\nCONCLUSIONS: We found CLCN5 mutations in the vast majority of Polish patients with DD. Proteinuria was the most constant finding; however, tubular proteins were not assessed commonly, likely leading to delayed molecular diagnosis and misdiagnosis in some patients. More consideration should be given to optimize the therapy.","container-title":"International Urology and Nephrology","DOI":"10.1007/s11255-017-1676-x","ISSN":"1573-2584","issue":"11","journalAbbreviation":"Int Urol Nephrol","language":"eng","note":"PMID: 28815356","page":"2005-2017","source":"PubMed","title":"Dent disease in Poland: what we have learned so far?","title-short":"Dent disease in Poland","volume":"49","author":[{"family":"Zaniew","given":"Marcin"},{"family":"Mizerska-Wasiak","given":"Małgorzata"},{"family":"Załuska-Leśniewska","given":"Iga"},{"family":"Adamczyk","given":"Piotr"},{"family":"Kiliś-Pstrusińska","given":"Katarzyna"},{"family":"Haliński","given":"Adam"},{"family":"Zawadzki","given":"Jan"},{"family":"Lipska-Ziętkiewicz","given":"Beata S."},{"family":"Pawlaczyk","given":"Krzysztof"},{"family":"Sikora","given":"Przemysław"},{"family":"Ludwig","given":"Michael"},{"family":"Szczepańska","given":"Maria"}],"issued":{"date-parts":[["2017",11]]}}}],"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szCs w:val="20"/>
              </w:rPr>
              <w:t>(Zaniew et al. 2017)</w:t>
            </w:r>
            <w:r w:rsidRPr="00BC0897">
              <w:rPr>
                <w:rFonts w:ascii="Times New Roman" w:hAnsi="Times New Roman" w:cs="Times New Roman"/>
                <w:sz w:val="20"/>
                <w:szCs w:val="20"/>
                <w:lang w:val="en-US"/>
              </w:rPr>
              <w:fldChar w:fldCharType="end"/>
            </w:r>
          </w:p>
        </w:tc>
      </w:tr>
      <w:tr w:rsidR="008F7E4A" w:rsidRPr="002212C2" w:rsidTr="007B380E">
        <w:trPr>
          <w:trHeight w:val="285"/>
        </w:trPr>
        <w:tc>
          <w:tcPr>
            <w:tcW w:w="846" w:type="dxa"/>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 §</w:t>
            </w:r>
          </w:p>
        </w:tc>
        <w:tc>
          <w:tcPr>
            <w:tcW w:w="1843"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c.1200delC</w:t>
            </w:r>
          </w:p>
        </w:tc>
        <w:tc>
          <w:tcPr>
            <w:tcW w:w="1872"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p.Leu400fs*33</w:t>
            </w:r>
          </w:p>
        </w:tc>
        <w:tc>
          <w:tcPr>
            <w:tcW w:w="283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FSGS</w:t>
            </w:r>
          </w:p>
        </w:tc>
        <w:tc>
          <w:tcPr>
            <w:tcW w:w="255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p>
        </w:tc>
        <w:tc>
          <w:tcPr>
            <w:tcW w:w="198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{"citationID":"QQmUSmTY","properties":{"formattedCitation":"(Zaniew et al. 2017)","plainCitation":"(Zaniew et al. 2017)","noteIndex":0},"citationItems":[{"id":542,"uris":["http://zotero.org/users/local/jkkvYBSC/items/4G4P2PVC"],"uri":["http://zotero.org/users/local/jkkvYBSC/items/4G4P2PVC"],"itemData":{"id":542,"type":"article-journal","abstract":"PURPOSE: Dent disease (DD) is a rare tubulopathy characterized by proximal tubular dysfunction leading to chronic kidney disease (CKD). The aim of the study was to characterize patients with DD in Poland.\nMETHODS: A retrospective analysis of a national cohort with genetically confirmed diagnosis.\nRESULTS: Of 24 males, all patients except one carried mutations in the CLCN5 gene; in one patient a mutation in the OCRL gene was disclosed. Molecular diagnosis was delayed 1 year on average (range 0-21 years). The most common features were tubular proteinuria (100%), hypercalciuria (87%), and nephrocalcinosis (56%). CKD (≤stage II) and growth deficiency were found in 45 and 22% of patients, respectively. Over time, a progression of CKD and persistence of growth impairment was noted. Subnephrotic and nephrotic proteinuria (20%) was found in most patients, but tubular proteinuria was assessed in only 67% of patients. In one family steroid-resistant nephrotic syndrome prompted a genetic testing, and reverse phenotyping. Five children (20%) underwent kidney biopsy, and two of them were treated with immunosuppressants. Hydrochlorothiazide and angiotensin-converting enzyme inhibitors were prescribed for a significant proportion of patients (42 and 37.5%, respectively), while supplemental therapy with phosphate, potassium, vitamin D (12.5% each), and alkali (4.2%) was insufficient, when compared to the percentages of patients requiring repletion.\nCONCLUSIONS: We found CLCN5 mutations in the vast majority of Polish patients with DD. Proteinuria was the most constant finding; however, tubular proteins were not assessed commonly, likely leading to delayed molecular diagnosis and misdiagnosis in some patients. More consideration should be given to optimize the therapy.","container-title":"International Urology and Nephrology","DOI":"10.1007/s11255-017-1676-x","ISSN":"1573-2584","issue":"11","journalAbbreviation":"Int Urol Nephrol","language":"eng","note":"PMID: 28815356","page":"2005-2017","source":"PubMed","title":"Dent disease in Poland: what we have learned so far?","title-short":"Dent disease in Poland","volume":"49","author":[{"family":"Zaniew","given":"Marcin"},{"family":"Mizerska-Wasiak","given":"Małgorzata"},{"family":"Załuska-Leśniewska","given":"Iga"},{"family":"Adamczyk","given":"Piotr"},{"family":"Kiliś-Pstrusińska","given":"Katarzyna"},{"family":"Haliński","given":"Adam"},{"family":"Zawadzki","given":"Jan"},{"family":"Lipska-Ziętkiewicz","given":"Beata S."},{"family":"Pawlaczyk","given":"Krzysztof"},{"family":"Sikora","given":"Przemysław"},{"family":"Ludwig","given":"Michael"},{"family":"Szczepańska","given":"Maria"}],"issued":{"date-parts":[["2017",11]]}}}],"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szCs w:val="20"/>
                <w:lang w:val="en-US"/>
              </w:rPr>
              <w:t>(Zaniew et al. 2017)</w:t>
            </w:r>
            <w:r w:rsidRPr="00BC0897">
              <w:rPr>
                <w:rFonts w:ascii="Times New Roman" w:hAnsi="Times New Roman" w:cs="Times New Roman"/>
                <w:sz w:val="20"/>
                <w:szCs w:val="20"/>
                <w:lang w:val="en-US"/>
              </w:rPr>
              <w:fldChar w:fldCharType="end"/>
            </w:r>
          </w:p>
        </w:tc>
      </w:tr>
      <w:tr w:rsidR="008F7E4A" w:rsidRPr="00BC0897" w:rsidTr="007B380E">
        <w:trPr>
          <w:trHeight w:val="274"/>
        </w:trPr>
        <w:tc>
          <w:tcPr>
            <w:tcW w:w="846" w:type="dxa"/>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c.1396G &gt; C</w:t>
            </w:r>
          </w:p>
        </w:tc>
        <w:tc>
          <w:tcPr>
            <w:tcW w:w="1872"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p.Gly466Arg</w:t>
            </w:r>
          </w:p>
        </w:tc>
        <w:tc>
          <w:tcPr>
            <w:tcW w:w="283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 xml:space="preserve">FGGS, FSGS, </w:t>
            </w:r>
            <w:proofErr w:type="spellStart"/>
            <w:r w:rsidRPr="00BC0897">
              <w:rPr>
                <w:rFonts w:ascii="Times New Roman" w:hAnsi="Times New Roman" w:cs="Times New Roman"/>
                <w:sz w:val="20"/>
                <w:szCs w:val="20"/>
                <w:lang w:val="en-US"/>
              </w:rPr>
              <w:t>Periglomerular</w:t>
            </w:r>
            <w:proofErr w:type="spellEnd"/>
            <w:r w:rsidRPr="00BC0897">
              <w:rPr>
                <w:rFonts w:ascii="Times New Roman" w:hAnsi="Times New Roman" w:cs="Times New Roman"/>
                <w:sz w:val="20"/>
                <w:szCs w:val="20"/>
                <w:lang w:val="en-US"/>
              </w:rPr>
              <w:t xml:space="preserve"> fibrosis</w:t>
            </w:r>
          </w:p>
        </w:tc>
        <w:tc>
          <w:tcPr>
            <w:tcW w:w="255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Interstitial fibrosis, Tubular atrophy</w:t>
            </w:r>
          </w:p>
        </w:tc>
        <w:tc>
          <w:tcPr>
            <w:tcW w:w="198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Foot process effacement, Normal GBM</w:t>
            </w:r>
          </w:p>
        </w:tc>
        <w:tc>
          <w:tcPr>
            <w:tcW w:w="1559"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Negative</w:t>
            </w:r>
          </w:p>
        </w:tc>
        <w:tc>
          <w:tcPr>
            <w:tcW w:w="1701"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00040F98" w:rsidRPr="00BC0897">
              <w:rPr>
                <w:rFonts w:ascii="Times New Roman" w:hAnsi="Times New Roman" w:cs="Times New Roman"/>
                <w:sz w:val="20"/>
                <w:szCs w:val="20"/>
                <w:lang w:val="en-US"/>
              </w:rPr>
              <w:instrText xml:space="preserve"> ADDIN ZOTERO_ITEM CSL_CITATION {"citationID":"cWfA7c6E","properties":{"formattedCitation":"(Valina et al. 2013)","plainCitation":"(Valina et al. 2013)","noteIndex":0},"citationItems":[{"id":"p7ATYret/8PgpKyQ8","uris":["http://zotero.org/users/local/jkkvYBSC/items/8E47ZZQD"],"uri":["http://zotero.org/users/local/jkkvYBSC/items/8E47ZZQD"],"itemData":{"id":823,"type":"article-journal","abstract":"Dent disease is an X-linked proximal tubulopathy that typically presents with hypercalciuria, low-molecular-weight proteinuria and slow progression to endstage renal disease. We report the case of a 5-year-old boy who presented with asymptomatic nephrotic range proteinuria and was later diagnosed with Dent disease. Absence of specific glomerular pathology in the first kidney biopsy led to erroneous treatment for presumably unsampled primary focal segmental glomerulosclerosis. Aggressive angiotensin blockade and immunosuppression resulted in significant side effects with marginal benefit. The continued nonspecific findings after a second kidney biopsy 2 years later led to the suspicion of a congenital tubulopathy. We detected a novel CLCN5 gene mutation, c.1396G &gt; C, that creates a G466R missense change in the ClC-5 protein. Dent disease should be considered in the differential diagnosis of asymptomatic proteinuria for male patients. Profiling proteinuria in these patients by spot urine albumin/creatinine ratio may give the first clue to a tubulopathy. Determining the extent to which the clinical work-up should proceed for females with Dent phenotype or asymptomatic proteinuria remains to be a challenging clinical dilemma.","container-title":"Clinical Nephrology","DOI":"10.5414/CN107429","ISSN":"0301-0430","issue":"5","journalAbbreviation":"Clin. Nephrol.","language":"eng","note":"PMID: 22735364","page":"377-384","source":"PubMed","title":"A novel CLCN5 mutation in a boy with asymptomatic proteinuria and focal global glomerulosclerosis","volume":"80","author":[{"family":"Valina","given":"Mary Rose"},{"family":"Larsen","given":"Christopher P."},{"family":"Kanosky","given":"Sherry"},{"family":"Suchy","given":"Sharon F."},{"family":"Nield","given":"Linda S."},{"family":"Onder","given":"Ali Mirza"}],"issued":{"date-parts":[["2013",11]]}}}],"schema":"https://github.com/citation-style-language/schema/raw/master/csl-citation.json"} </w:instrText>
            </w:r>
            <w:r w:rsidRPr="00BC0897">
              <w:rPr>
                <w:rFonts w:ascii="Times New Roman" w:hAnsi="Times New Roman" w:cs="Times New Roman"/>
                <w:sz w:val="20"/>
                <w:szCs w:val="20"/>
                <w:lang w:val="en-US"/>
              </w:rPr>
              <w:fldChar w:fldCharType="separate"/>
            </w:r>
            <w:r w:rsidR="00040F98" w:rsidRPr="00BC0897">
              <w:rPr>
                <w:rFonts w:ascii="Times New Roman" w:hAnsi="Times New Roman" w:cs="Times New Roman"/>
                <w:sz w:val="20"/>
              </w:rPr>
              <w:t>(Valina et al. 2013)</w:t>
            </w:r>
            <w:r w:rsidRPr="00BC0897">
              <w:rPr>
                <w:rFonts w:ascii="Times New Roman" w:hAnsi="Times New Roman" w:cs="Times New Roman"/>
                <w:sz w:val="20"/>
                <w:szCs w:val="20"/>
                <w:lang w:val="en-US"/>
              </w:rPr>
              <w:fldChar w:fldCharType="end"/>
            </w:r>
          </w:p>
        </w:tc>
      </w:tr>
      <w:tr w:rsidR="008F7E4A" w:rsidRPr="002212C2" w:rsidTr="007B380E">
        <w:trPr>
          <w:trHeight w:val="274"/>
        </w:trPr>
        <w:tc>
          <w:tcPr>
            <w:tcW w:w="846" w:type="dxa"/>
            <w:noWrap/>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c.1413_1414delTG</w:t>
            </w:r>
          </w:p>
        </w:tc>
        <w:tc>
          <w:tcPr>
            <w:tcW w:w="1872"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p.Cys471*</w:t>
            </w:r>
          </w:p>
        </w:tc>
        <w:tc>
          <w:tcPr>
            <w:tcW w:w="2835"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Mesangial proliferative glomerulonephritis</w:t>
            </w:r>
          </w:p>
        </w:tc>
        <w:tc>
          <w:tcPr>
            <w:tcW w:w="2555" w:type="dxa"/>
            <w:vAlign w:val="center"/>
          </w:tcPr>
          <w:p w:rsidR="008F7E4A" w:rsidRPr="00BC0897" w:rsidRDefault="008F7E4A" w:rsidP="008F7E4A">
            <w:pPr>
              <w:spacing w:after="0"/>
              <w:jc w:val="center"/>
              <w:rPr>
                <w:rFonts w:ascii="Times New Roman" w:hAnsi="Times New Roman" w:cs="Times New Roman"/>
                <w:sz w:val="20"/>
                <w:szCs w:val="20"/>
                <w:lang w:val="en-US"/>
              </w:rPr>
            </w:pPr>
          </w:p>
        </w:tc>
        <w:tc>
          <w:tcPr>
            <w:tcW w:w="1985"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002E3128" w:rsidRPr="00BC0897">
              <w:rPr>
                <w:rFonts w:ascii="Times New Roman" w:hAnsi="Times New Roman" w:cs="Times New Roman"/>
                <w:sz w:val="20"/>
                <w:szCs w:val="20"/>
                <w:lang w:val="en-US"/>
              </w:rPr>
              <w:instrText xml:space="preserve"> ADDIN ZOTERO_ITEM CSL_CITATION {"citationID":"KDrUWWdS","properties":{"formattedCitation":"(Deng et al. 2020)","plainCitation":"(Deng et al. 2020)","noteIndex":0},"citationItems":[{"id":2533,"uris":["http://zotero.org/users/local/jkkvYBSC/items/5ERYPQ5M"],"uri":["http://zotero.org/users/local/jkkvYBSC/items/5ERYPQ5M"],"itemData":{"id":2533,"type":"article-journal","abstract":"BACKGROUND: To characterize the phenotypic spectrum and assess the antialbuminuric response to angiotensin converting enzyme (ACE) inhibitor and/or angiotensin receptor blocker (ARB) therapy in a cohort of children with Dent disease.\nMETHODS: The patients' clinical findings, renal biopsy results, genetic and follow-up data were analyzed retrospectively. Mutations in CLCN5 or OCRL were detected by next-generation sequencing or Sanger sequencing.\nRESULTS: Of 31 Dent disease boys, 24 carried CLCN5 and 7 carried OCRL mutations. Low molecular weight proteinuria and albuminuria were detected in all cases. Nephrotic-range proteinuria and severe albuminuria were identified in 52% and 62% of cases, respectively; by 7 years of age, 6 patients had hematuria and nephrotic-range proteinuria, and 7 patients had hematuria and moderate to severe albuminuria. In addition to disease-related renal features, patients with Dent-1 disease also presented with congenital cataract (1/9) and developmental delay (2/7). Seventeen of 31 patients underwent renal biopsy. Glomerular changes included mild glomerular lesions, mesangial proliferative glomerulonephritis and focal segmental glomerular sclerosis. Thirteen of the 31 patients had follow-up records and received ACE inhibitor and/or ARB treatment for more than 3 months. After a median 1.7 (range 0.3-8.5) years of treatment, a reduction in the urinary microalbumin-to-creatinine ratio was observed in 54% of children.\nCONCLUSIONS: Hematuria with nephrotic-range proteinuria or moderate to severe albuminuria was common in Dent disease patients. Extrarenal manifestations were observed in Dent-1 patients, which extends the phenotypic spectrum. In addition, ACE inhibitors and ARBs are well tolerated, and they are partially effective in controlling albuminuria.","container-title":"Molecular Genetics &amp; Genomic Medicine","DOI":"10.1002/mgg3.1306","ISSN":"2324-9269","journalAbbreviation":"Mol Genet Genomic Med","language":"eng","note":"PMID: 32495484","page":"e1306","source":"PubMed","title":"Phenotypic spectrum and antialbuminuric response to angiotensin converting enzyme inhibitor and angiotensin receptor blocker therapy in pediatric Dent disease","author":[{"family":"Deng","given":"Haiyue"},{"family":"Zhang","given":"Yanqin"},{"family":"Xiao","given":"Huijie"},{"family":"Yao","given":"Yong"},{"family":"Zhang","given":"Hongwen"},{"family":"Liu","given":"Xiaoyu"},{"family":"Su","given":"Baige"},{"family":"Guan","given":"Na"},{"family":"Zhong","given":"Xuhui"},{"family":"Wang","given":"Suxia"},{"family":"Ding","given":"Jie"},{"family":"Wang","given":"Fang"}],"issued":{"date-parts":[["2020",6,3]]}}}],"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lang w:val="en-US"/>
              </w:rPr>
              <w:t>(Deng et al. 2020)</w:t>
            </w:r>
            <w:r w:rsidRPr="00BC0897">
              <w:rPr>
                <w:rFonts w:ascii="Times New Roman" w:hAnsi="Times New Roman" w:cs="Times New Roman"/>
                <w:sz w:val="20"/>
                <w:szCs w:val="20"/>
                <w:lang w:val="en-US"/>
              </w:rPr>
              <w:fldChar w:fldCharType="end"/>
            </w:r>
          </w:p>
        </w:tc>
      </w:tr>
      <w:tr w:rsidR="008F7E4A" w:rsidRPr="002212C2" w:rsidTr="007B380E">
        <w:trPr>
          <w:trHeight w:val="274"/>
        </w:trPr>
        <w:tc>
          <w:tcPr>
            <w:tcW w:w="846" w:type="dxa"/>
            <w:noWrap/>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c.1444delG</w:t>
            </w:r>
          </w:p>
        </w:tc>
        <w:tc>
          <w:tcPr>
            <w:tcW w:w="1872"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p.Gly483Valfs*21</w:t>
            </w:r>
          </w:p>
        </w:tc>
        <w:tc>
          <w:tcPr>
            <w:tcW w:w="2835"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Mild glomerular lesions</w:t>
            </w:r>
          </w:p>
        </w:tc>
        <w:tc>
          <w:tcPr>
            <w:tcW w:w="2555" w:type="dxa"/>
            <w:vAlign w:val="center"/>
          </w:tcPr>
          <w:p w:rsidR="008F7E4A" w:rsidRPr="00BC0897" w:rsidRDefault="008F7E4A" w:rsidP="008F7E4A">
            <w:pPr>
              <w:spacing w:after="0"/>
              <w:jc w:val="center"/>
              <w:rPr>
                <w:rFonts w:ascii="Times New Roman" w:hAnsi="Times New Roman" w:cs="Times New Roman"/>
                <w:sz w:val="20"/>
                <w:szCs w:val="20"/>
                <w:lang w:val="en-US"/>
              </w:rPr>
            </w:pPr>
          </w:p>
        </w:tc>
        <w:tc>
          <w:tcPr>
            <w:tcW w:w="1985"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002E3128" w:rsidRPr="00BC0897">
              <w:rPr>
                <w:rFonts w:ascii="Times New Roman" w:hAnsi="Times New Roman" w:cs="Times New Roman"/>
                <w:sz w:val="20"/>
                <w:szCs w:val="20"/>
                <w:lang w:val="en-US"/>
              </w:rPr>
              <w:instrText xml:space="preserve"> ADDIN ZOTERO_ITEM CSL_CITATION {"citationID":"9Ue25v7X","properties":{"formattedCitation":"(Deng et al. 2020)","plainCitation":"(Deng et al. 2020)","noteIndex":0},"citationItems":[{"id":2533,"uris":["http://zotero.org/users/local/jkkvYBSC/items/5ERYPQ5M"],"uri":["http://zotero.org/users/local/jkkvYBSC/items/5ERYPQ5M"],"itemData":{"id":2533,"type":"article-journal","abstract":"BACKGROUND: To characterize the phenotypic spectrum and assess the antialbuminuric response to angiotensin converting enzyme (ACE) inhibitor and/or angiotensin receptor blocker (ARB) therapy in a cohort of children with Dent disease.\nMETHODS: The patients' clinical findings, renal biopsy results, genetic and follow-up data were analyzed retrospectively. Mutations in CLCN5 or OCRL were detected by next-generation sequencing or Sanger sequencing.\nRESULTS: Of 31 Dent disease boys, 24 carried CLCN5 and 7 carried OCRL mutations. Low molecular weight proteinuria and albuminuria were detected in all cases. Nephrotic-range proteinuria and severe albuminuria were identified in 52% and 62% of cases, respectively; by 7 years of age, 6 patients had hematuria and nephrotic-range proteinuria, and 7 patients had hematuria and moderate to severe albuminuria. In addition to disease-related renal features, patients with Dent-1 disease also presented with congenital cataract (1/9) and developmental delay (2/7). Seventeen of 31 patients underwent renal biopsy. Glomerular changes included mild glomerular lesions, mesangial proliferative glomerulonephritis and focal segmental glomerular sclerosis. Thirteen of the 31 patients had follow-up records and received ACE inhibitor and/or ARB treatment for more than 3 months. After a median 1.7 (range 0.3-8.5) years of treatment, a reduction in the urinary microalbumin-to-creatinine ratio was observed in 54% of children.\nCONCLUSIONS: Hematuria with nephrotic-range proteinuria or moderate to severe albuminuria was common in Dent disease patients. Extrarenal manifestations were observed in Dent-1 patients, which extends the phenotypic spectrum. In addition, ACE inhibitors and ARBs are well tolerated, and they are partially effective in controlling albuminuria.","container-title":"Molecular Genetics &amp; Genomic Medicine","DOI":"10.1002/mgg3.1306","ISSN":"2324-9269","journalAbbreviation":"Mol Genet Genomic Med","language":"eng","note":"PMID: 32495484","page":"e1306","source":"PubMed","title":"Phenotypic spectrum and antialbuminuric response to angiotensin converting enzyme inhibitor and angiotensin receptor blocker therapy in pediatric Dent disease","author":[{"family":"Deng","given":"Haiyue"},{"family":"Zhang","given":"Yanqin"},{"family":"Xiao","given":"Huijie"},{"family":"Yao","given":"Yong"},{"family":"Zhang","given":"Hongwen"},{"family":"Liu","given":"Xiaoyu"},{"family":"Su","given":"Baige"},{"family":"Guan","given":"Na"},{"family":"Zhong","given":"Xuhui"},{"family":"Wang","given":"Suxia"},{"family":"Ding","given":"Jie"},{"family":"Wang","given":"Fang"}],"issued":{"date-parts":[["2020",6,3]]}}}],"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lang w:val="en-US"/>
              </w:rPr>
              <w:t>(Deng et al. 2020)</w:t>
            </w:r>
            <w:r w:rsidRPr="00BC0897">
              <w:rPr>
                <w:rFonts w:ascii="Times New Roman" w:hAnsi="Times New Roman" w:cs="Times New Roman"/>
                <w:sz w:val="20"/>
                <w:szCs w:val="20"/>
                <w:lang w:val="en-US"/>
              </w:rPr>
              <w:fldChar w:fldCharType="end"/>
            </w:r>
          </w:p>
        </w:tc>
      </w:tr>
      <w:tr w:rsidR="008F7E4A" w:rsidRPr="00BC0897" w:rsidTr="007B380E">
        <w:trPr>
          <w:trHeight w:val="274"/>
        </w:trPr>
        <w:tc>
          <w:tcPr>
            <w:tcW w:w="846" w:type="dxa"/>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c.1647C&gt;A</w:t>
            </w:r>
          </w:p>
        </w:tc>
        <w:tc>
          <w:tcPr>
            <w:tcW w:w="1872"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p.Tyr549*</w:t>
            </w:r>
          </w:p>
        </w:tc>
        <w:tc>
          <w:tcPr>
            <w:tcW w:w="283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FGGS</w:t>
            </w:r>
          </w:p>
        </w:tc>
        <w:tc>
          <w:tcPr>
            <w:tcW w:w="255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Focal interstitial fibrosis, Focal interstitial inflammation, Tubular damage, Nephrocalcinosis</w:t>
            </w:r>
          </w:p>
        </w:tc>
        <w:tc>
          <w:tcPr>
            <w:tcW w:w="198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Foot process effacement</w:t>
            </w:r>
          </w:p>
        </w:tc>
        <w:tc>
          <w:tcPr>
            <w:tcW w:w="1559"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{"citationID":"isNZgRzt","properties":{"formattedCitation":"(Zhang et al. 2017)","plainCitation":"(Zhang et al. 2017)","noteIndex":0},"citationItems":[{"id":27,"uris":["http://zotero.org/users/local/jkkvYBSC/items/WAC5SMPK"],"uri":["http://zotero.org/users/local/jkkvYBSC/items/WAC5SMPK"],"itemData":{"id":27,"type":"article-journal","abstract":"Dent's disease is an X-linked inherited renal disease. Patients with Dent's disease often carry mutations in genes encoding the Cl-/H+ exchanger ClC-5 and/or inositol polyphosphate 5-phosphatase (OCRL1). However, the mutations involved and the biochemical effects of these mutations are not fully understood. To characterize genetic changes in Dent's disease patients, in this study, samples from nine Chinese patients were subjected to genetic analysis. Among the nine patients, six were classified as having Dent-1 disease, one had Dent-2 disease, and two could not be classified. Expression of ClC-5 carrying Dent's disease-associated mutations in HEK293 cells had varying effects: (1) no detectable expression of mutant protein; (2) retention of a truncated protein in the endoplasmic reticulum; or (3) diminished protein expression with normal distribution in early endosomes. Dent's disease patients showed genetic heterogeneity and over 20% of patients did not have CLCN5 or OCRL1 mutations, suggesting the existence of other genetic factors. Using next-generation sequencing, we identified possible modifier genes that have not been previously reported in Dent's disease patients. Heterozygous variants in CFTR, SCNN1A, and SCNN1B genes associated with cystic fibrosis (CF) or CF-like disease were detected in four of our nine patients. These results may form the basis for future characterization of Dent's disease and genetic counseling approaches.","container-title":"DNA and cell biology","DOI":"10.1089/dna.2017.3731","ISSN":"1557-7430","issue":"12","journalAbbreviation":"DNA Cell Biol.","language":"eng","note":"PMID: 29058463","page":"1151-1158","source":"PubMed","title":"Genetic Analysis of Dent's Disease and Functional Research of CLCN5 Mutations","volume":"36","author":[{"family":"Zhang","given":"Ya"},{"family":"Fang","given":"Xiaoyan"},{"family":"Xu","given":"Hong"},{"family":"Shen","given":"Qian"}],"issued":{"date-parts":[["2017",12]]}}}],"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szCs w:val="20"/>
              </w:rPr>
              <w:t>(Zhang et al. 2017)</w:t>
            </w:r>
            <w:r w:rsidRPr="00BC0897">
              <w:rPr>
                <w:rFonts w:ascii="Times New Roman" w:hAnsi="Times New Roman" w:cs="Times New Roman"/>
                <w:sz w:val="20"/>
                <w:szCs w:val="20"/>
                <w:lang w:val="en-US"/>
              </w:rPr>
              <w:fldChar w:fldCharType="end"/>
            </w:r>
          </w:p>
        </w:tc>
      </w:tr>
      <w:tr w:rsidR="008F7E4A" w:rsidRPr="00BC0897" w:rsidTr="007B380E">
        <w:trPr>
          <w:trHeight w:val="273"/>
        </w:trPr>
        <w:tc>
          <w:tcPr>
            <w:tcW w:w="846" w:type="dxa"/>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p>
        </w:tc>
        <w:tc>
          <w:tcPr>
            <w:tcW w:w="1872"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p.Ile524Lys</w:t>
            </w:r>
          </w:p>
        </w:tc>
        <w:tc>
          <w:tcPr>
            <w:tcW w:w="283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Glomerulosclerosis</w:t>
            </w:r>
          </w:p>
        </w:tc>
        <w:tc>
          <w:tcPr>
            <w:tcW w:w="255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p>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Tubulointerstitial fibrosis, Tubular atrophy, Calcium deposits</w:t>
            </w:r>
          </w:p>
          <w:p w:rsidR="008F7E4A" w:rsidRPr="00BC0897" w:rsidRDefault="008F7E4A" w:rsidP="008F7E4A">
            <w:pPr>
              <w:spacing w:after="0"/>
              <w:rPr>
                <w:rFonts w:ascii="Times New Roman" w:hAnsi="Times New Roman" w:cs="Times New Roman"/>
                <w:sz w:val="20"/>
                <w:szCs w:val="20"/>
                <w:lang w:val="en-US"/>
              </w:rPr>
            </w:pPr>
          </w:p>
        </w:tc>
        <w:tc>
          <w:tcPr>
            <w:tcW w:w="198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p>
        </w:tc>
        <w:tc>
          <w:tcPr>
            <w:tcW w:w="1559"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Negative</w:t>
            </w:r>
          </w:p>
        </w:tc>
        <w:tc>
          <w:tcPr>
            <w:tcW w:w="1701"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{"citationID":"ggMOAlZ3","properties":{"formattedCitation":"(Yanagida et al. 2004)","plainCitation":"(Yanagida et al. 2004)","noteIndex":0},"citationItems":[{"id":"p7ATYret/WHKRXNEv","uris":["http://zotero.org/users/local/jkkvYBSC/items/U7AUGS58"],"uri":["http://zotero.org/users/local/jkkvYBSC/items/U7AUGS58"],"itemData":{"id":814,"type":"article-journal","abstract":"We encountered a 16-year-old boy with Japanese Dent's disease who exhibited renal insufficiency and an osseous disorder of the spine. Proteinuria first was noted at the age of 2 years. At 13 years, the patient underwent analysis of the CLCN5 gene, which identified missense mutation (I524K) in exon 10. During follow-up, a marked increase in urinary beta2-microglobulin was associated with mild deterioration of renal function. At the age of 15 years, hypocalcemia (7.5 mg/dl) accompanied by an increased plasma concentration of alkaline phosphatase was first detected. At that time, plasma concentration of 25(OH)D3 and 1'alpha25(OH)2D3 were low accompanied by a high plasma parathyroid hormone concentration. A renal biopsy specimen revealed tubulointerstitial alterations including mononuclear cell infiltration, partial fibrosis and focal glomerular sclerosis. Immunofluorescence revealed weak, discontinuous staining of megalin along the brushborder of renal proximal tubules. Western blotting demonstrated decreased urinary excretion of megalin. Thus, clinical manifestations and prognosis may vary in Japanese Dent's disease. Reduced megalin expression may have disturbed calcium homeostasis, leading to osseous disorder in our patient.","container-title":"Clinical Nephrology","DOI":"10.5414/cnp62306","ISSN":"0301-0430","issue":"4","journalAbbreviation":"Clin. Nephrol.","language":"eng","note":"PMID: 15524062","page":"306-312","source":"PubMed","title":"A boy with Japanese Dent's disease exhibiting abnormal calcium metabolism and osseous disorder of the spine: defective megalin expression at the brushborder of renal proximal tubules","title-short":"A boy with Japanese Dent's disease exhibiting abnormal calcium metabolism and osseous disorder of the spine","volume":"62","author":[{"family":"Yanagida","given":"H."},{"family":"Ikeoka","given":"M."},{"family":"Kuwajima","given":"H."},{"family":"Wada","given":"N."},{"family":"Tabata","given":"N."},{"family":"Sugimoto","given":"K."},{"family":"Okada","given":"M."},{"family":"Takemura","given":"T."}],"issued":{"date-parts":[["2004",10]]}}}],"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szCs w:val="20"/>
              </w:rPr>
              <w:t>(Yanagida et al. 2004)</w:t>
            </w:r>
            <w:r w:rsidRPr="00BC0897">
              <w:rPr>
                <w:rFonts w:ascii="Times New Roman" w:hAnsi="Times New Roman" w:cs="Times New Roman"/>
                <w:sz w:val="20"/>
                <w:szCs w:val="20"/>
                <w:lang w:val="en-US"/>
              </w:rPr>
              <w:fldChar w:fldCharType="end"/>
            </w:r>
          </w:p>
        </w:tc>
      </w:tr>
      <w:tr w:rsidR="008F7E4A" w:rsidRPr="00BC0897" w:rsidTr="007B380E">
        <w:trPr>
          <w:trHeight w:val="282"/>
        </w:trPr>
        <w:tc>
          <w:tcPr>
            <w:tcW w:w="846" w:type="dxa"/>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 §</w:t>
            </w:r>
          </w:p>
        </w:tc>
        <w:tc>
          <w:tcPr>
            <w:tcW w:w="1843"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c.1618G&gt;C</w:t>
            </w:r>
          </w:p>
        </w:tc>
        <w:tc>
          <w:tcPr>
            <w:tcW w:w="1872"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p.Ala540Pro</w:t>
            </w:r>
          </w:p>
        </w:tc>
        <w:tc>
          <w:tcPr>
            <w:tcW w:w="283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FSGS</w:t>
            </w:r>
          </w:p>
        </w:tc>
        <w:tc>
          <w:tcPr>
            <w:tcW w:w="255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Normal</w:t>
            </w:r>
          </w:p>
        </w:tc>
        <w:tc>
          <w:tcPr>
            <w:tcW w:w="198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{"citationID":"fMGbSr0h","properties":{"formattedCitation":"(Wong et al. 2017)","plainCitation":"(Wong et al. 2017)","noteIndex":0},"citationItems":[{"id":77,"uris":["http://zotero.org/users/local/jkkvYBSC/items/N7TTHXVH"],"uri":["http://zotero.org/users/local/jkkvYBSC/items/N7TTHXVH"],"itemData":{"id":77,"type":"article-journal","abstract":"BACKGROUND: Dent disease 1 is a rare cause of chronic kidney disease (CKD) in childhood secondary to mutations in the gene encoding the chloride-proton exchanger, CLC-5, which is found mainly in the proximal tubule. Clinical manifestations are variable and there are no known genotype-phenotype correlations.\nCASE DIAGNOSIS/TREATMENT: The proband was identified as having a mutation in CLCN5. The extended family of the proband was invited to participate in a study of Dent disease after several males were noted to have a history of CKD. Urine retinol binding protein, urine calcium, serum creatinine, and DNA samples were collected for analysis. Ten hemizygous males and 6 heterozygous females were identified. Advanced CKD was detected in 3 males (1 child). Renal biopsies in 4 children showed both glomerular and tubulo-interstitial changes. There was no correlation between age and disease severity.\nCONCLUSIONS: This is the first reported family from the southern hemisphere with this condition. A novel CLCN5 mutation is described, c.1618G&gt;C (p.Ala540Pro). The severity of renal disease varies greatly among individuals.","container-title":"Pediatric Nephrology (Berlin, Germany)","DOI":"10.1007/s00467-016-3472-8","ISSN":"1432-198X","issue":"2","journalAbbreviation":"Pediatr. Nephrol.","language":"eng","note":"PMID: 27699523","page":"365-369","source":"PubMed","title":"Phenotypic variability of Dent disease in a large New Zealand kindred","volume":"32","author":[{"family":"Wong","given":"William"},{"family":"Poke","given":"Gemma"},{"family":"Stack","given":"Maria"},{"family":"Kara","given":"Tonya"},{"family":"Prestidge","given":"Chanel"},{"family":"Flintoff","given":"Kim"}],"issued":{"date-parts":[["2017"]]}}}],"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szCs w:val="20"/>
              </w:rPr>
              <w:t>(Wong et al. 2017)</w:t>
            </w:r>
            <w:r w:rsidRPr="00BC0897">
              <w:rPr>
                <w:rFonts w:ascii="Times New Roman" w:hAnsi="Times New Roman" w:cs="Times New Roman"/>
                <w:sz w:val="20"/>
                <w:szCs w:val="20"/>
                <w:lang w:val="en-US"/>
              </w:rPr>
              <w:fldChar w:fldCharType="end"/>
            </w:r>
          </w:p>
        </w:tc>
      </w:tr>
      <w:tr w:rsidR="008F7E4A" w:rsidRPr="00BC0897" w:rsidTr="007B380E">
        <w:trPr>
          <w:trHeight w:val="282"/>
        </w:trPr>
        <w:tc>
          <w:tcPr>
            <w:tcW w:w="846" w:type="dxa"/>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 §</w:t>
            </w:r>
          </w:p>
        </w:tc>
        <w:tc>
          <w:tcPr>
            <w:tcW w:w="1843"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c.1618G&gt;C</w:t>
            </w:r>
          </w:p>
        </w:tc>
        <w:tc>
          <w:tcPr>
            <w:tcW w:w="1872"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p.Ala540Pro</w:t>
            </w:r>
          </w:p>
        </w:tc>
        <w:tc>
          <w:tcPr>
            <w:tcW w:w="283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Normal</w:t>
            </w:r>
          </w:p>
        </w:tc>
        <w:tc>
          <w:tcPr>
            <w:tcW w:w="255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Tubular calcification, Cast material in the tubular lumen</w:t>
            </w:r>
          </w:p>
        </w:tc>
        <w:tc>
          <w:tcPr>
            <w:tcW w:w="198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{"citationID":"bWXI4SNn","properties":{"formattedCitation":"(Wong et al. 2017)","plainCitation":"(Wong et al. 2017)","noteIndex":0},"citationItems":[{"id":77,"uris":["http://zotero.org/users/local/jkkvYBSC/items/N7TTHXVH"],"uri":["http://zotero.org/users/local/jkkvYBSC/items/N7TTHXVH"],"itemData":{"id":77,"type":"article-journal","abstract":"BACKGROUND: Dent disease 1 is a rare cause of chronic kidney disease (CKD) in childhood secondary to mutations in the gene encoding the chloride-proton exchanger, CLC-5, which is found mainly in the proximal tubule. Clinical manifestations are variable and there are no known genotype-phenotype correlations.\nCASE DIAGNOSIS/TREATMENT: The proband was identified as having a mutation in CLCN5. The extended family of the proband was invited to participate in a study of Dent disease after several males were noted to have a history of CKD. Urine retinol binding protein, urine calcium, serum creatinine, and DNA samples were collected for analysis. Ten hemizygous males and 6 heterozygous females were identified. Advanced CKD was detected in 3 males (1 child). Renal biopsies in 4 children showed both glomerular and tubulo-interstitial changes. There was no correlation between age and disease severity.\nCONCLUSIONS: This is the first reported family from the southern hemisphere with this condition. A novel CLCN5 mutation is described, c.1618G&gt;C (p.Ala540Pro). The severity of renal disease varies greatly among individuals.","container-title":"Pediatric Nephrology (Berlin, Germany)","DOI":"10.1007/s00467-016-3472-8","ISSN":"1432-198X","issue":"2","journalAbbreviation":"Pediatr. Nephrol.","language":"eng","note":"PMID: 27699523","page":"365-369","source":"PubMed","title":"Phenotypic variability of Dent disease in a large New Zealand kindred","volume":"32","author":[{"family":"Wong","given":"William"},{"family":"Poke","given":"Gemma"},{"family":"Stack","given":"Maria"},{"family":"Kara","given":"Tonya"},{"family":"Prestidge","given":"Chanel"},{"family":"Flintoff","given":"Kim"}],"issued":{"date-parts":[["2017"]]}}}],"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szCs w:val="20"/>
              </w:rPr>
              <w:t>(Wong et al. 2017)</w:t>
            </w:r>
            <w:r w:rsidRPr="00BC0897">
              <w:rPr>
                <w:rFonts w:ascii="Times New Roman" w:hAnsi="Times New Roman" w:cs="Times New Roman"/>
                <w:sz w:val="20"/>
                <w:szCs w:val="20"/>
                <w:lang w:val="en-US"/>
              </w:rPr>
              <w:fldChar w:fldCharType="end"/>
            </w:r>
          </w:p>
        </w:tc>
      </w:tr>
      <w:tr w:rsidR="00D86D41" w:rsidRPr="00BC0897" w:rsidTr="00BA526F">
        <w:trPr>
          <w:trHeight w:val="300"/>
        </w:trPr>
        <w:tc>
          <w:tcPr>
            <w:tcW w:w="846" w:type="dxa"/>
            <w:vMerge w:val="restart"/>
            <w:vAlign w:val="center"/>
            <w:hideMark/>
          </w:tcPr>
          <w:p w:rsidR="00D86D41" w:rsidRPr="00BC0897" w:rsidRDefault="00D86D41"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lastRenderedPageBreak/>
              <w:t>Dent disease type</w:t>
            </w:r>
          </w:p>
        </w:tc>
        <w:tc>
          <w:tcPr>
            <w:tcW w:w="3715" w:type="dxa"/>
            <w:gridSpan w:val="2"/>
            <w:vAlign w:val="center"/>
            <w:hideMark/>
          </w:tcPr>
          <w:p w:rsidR="00D86D41" w:rsidRPr="00BC0897" w:rsidRDefault="00D86D41"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Mutation</w:t>
            </w:r>
          </w:p>
        </w:tc>
        <w:tc>
          <w:tcPr>
            <w:tcW w:w="5390" w:type="dxa"/>
            <w:gridSpan w:val="2"/>
            <w:vAlign w:val="center"/>
            <w:hideMark/>
          </w:tcPr>
          <w:p w:rsidR="00D86D41" w:rsidRPr="00BC0897" w:rsidRDefault="00D86D41"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Histology</w:t>
            </w:r>
          </w:p>
        </w:tc>
        <w:tc>
          <w:tcPr>
            <w:tcW w:w="1985" w:type="dxa"/>
            <w:vMerge w:val="restart"/>
            <w:vAlign w:val="center"/>
            <w:hideMark/>
          </w:tcPr>
          <w:p w:rsidR="00D86D41" w:rsidRPr="00BC0897" w:rsidRDefault="00D86D41"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TEM</w:t>
            </w:r>
          </w:p>
        </w:tc>
        <w:tc>
          <w:tcPr>
            <w:tcW w:w="1559" w:type="dxa"/>
            <w:vMerge w:val="restart"/>
            <w:vAlign w:val="center"/>
            <w:hideMark/>
          </w:tcPr>
          <w:p w:rsidR="00D86D41" w:rsidRPr="00BC0897" w:rsidRDefault="00D86D41"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IF</w:t>
            </w:r>
          </w:p>
        </w:tc>
        <w:tc>
          <w:tcPr>
            <w:tcW w:w="1701" w:type="dxa"/>
            <w:vMerge w:val="restart"/>
            <w:vAlign w:val="center"/>
            <w:hideMark/>
          </w:tcPr>
          <w:p w:rsidR="00D86D41" w:rsidRPr="00BC0897" w:rsidRDefault="00D86D41"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Ref</w:t>
            </w:r>
          </w:p>
        </w:tc>
      </w:tr>
      <w:tr w:rsidR="00D86D41" w:rsidRPr="00BC0897" w:rsidTr="00BA526F">
        <w:trPr>
          <w:trHeight w:val="258"/>
        </w:trPr>
        <w:tc>
          <w:tcPr>
            <w:tcW w:w="846" w:type="dxa"/>
            <w:vMerge/>
            <w:vAlign w:val="center"/>
            <w:hideMark/>
          </w:tcPr>
          <w:p w:rsidR="00D86D41" w:rsidRPr="00BC0897" w:rsidRDefault="00D86D41" w:rsidP="00BA526F">
            <w:pPr>
              <w:spacing w:after="0"/>
              <w:jc w:val="center"/>
              <w:rPr>
                <w:rFonts w:ascii="Times New Roman" w:hAnsi="Times New Roman" w:cs="Times New Roman"/>
                <w:b/>
                <w:bCs/>
                <w:sz w:val="20"/>
                <w:szCs w:val="20"/>
                <w:lang w:val="en-US"/>
              </w:rPr>
            </w:pPr>
          </w:p>
        </w:tc>
        <w:tc>
          <w:tcPr>
            <w:tcW w:w="1843" w:type="dxa"/>
            <w:vAlign w:val="center"/>
            <w:hideMark/>
          </w:tcPr>
          <w:p w:rsidR="00D86D41" w:rsidRPr="00BC0897" w:rsidRDefault="00D86D41"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Nucleotide</w:t>
            </w:r>
          </w:p>
        </w:tc>
        <w:tc>
          <w:tcPr>
            <w:tcW w:w="1872" w:type="dxa"/>
            <w:vAlign w:val="center"/>
            <w:hideMark/>
          </w:tcPr>
          <w:p w:rsidR="00D86D41" w:rsidRPr="00BC0897" w:rsidRDefault="00D86D41"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Protein</w:t>
            </w:r>
          </w:p>
        </w:tc>
        <w:tc>
          <w:tcPr>
            <w:tcW w:w="2835" w:type="dxa"/>
            <w:vAlign w:val="center"/>
            <w:hideMark/>
          </w:tcPr>
          <w:p w:rsidR="00D86D41" w:rsidRPr="00BC0897" w:rsidRDefault="00D86D41"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Glomerular</w:t>
            </w:r>
          </w:p>
        </w:tc>
        <w:tc>
          <w:tcPr>
            <w:tcW w:w="2555" w:type="dxa"/>
            <w:vAlign w:val="center"/>
            <w:hideMark/>
          </w:tcPr>
          <w:p w:rsidR="00D86D41" w:rsidRPr="00BC0897" w:rsidRDefault="00D86D41"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Interstitial</w:t>
            </w:r>
          </w:p>
        </w:tc>
        <w:tc>
          <w:tcPr>
            <w:tcW w:w="1985" w:type="dxa"/>
            <w:vMerge/>
            <w:vAlign w:val="center"/>
            <w:hideMark/>
          </w:tcPr>
          <w:p w:rsidR="00D86D41" w:rsidRPr="00BC0897" w:rsidRDefault="00D86D41" w:rsidP="00BA526F">
            <w:pPr>
              <w:spacing w:after="0"/>
              <w:jc w:val="center"/>
              <w:rPr>
                <w:rFonts w:ascii="Times New Roman" w:hAnsi="Times New Roman" w:cs="Times New Roman"/>
                <w:b/>
                <w:bCs/>
                <w:sz w:val="20"/>
                <w:szCs w:val="20"/>
                <w:lang w:val="en-US"/>
              </w:rPr>
            </w:pPr>
          </w:p>
        </w:tc>
        <w:tc>
          <w:tcPr>
            <w:tcW w:w="1559" w:type="dxa"/>
            <w:vMerge/>
            <w:vAlign w:val="center"/>
            <w:hideMark/>
          </w:tcPr>
          <w:p w:rsidR="00D86D41" w:rsidRPr="00BC0897" w:rsidRDefault="00D86D41" w:rsidP="00BA526F">
            <w:pPr>
              <w:spacing w:after="0"/>
              <w:jc w:val="center"/>
              <w:rPr>
                <w:rFonts w:ascii="Times New Roman" w:hAnsi="Times New Roman" w:cs="Times New Roman"/>
                <w:b/>
                <w:bCs/>
                <w:sz w:val="20"/>
                <w:szCs w:val="20"/>
                <w:lang w:val="en-US"/>
              </w:rPr>
            </w:pPr>
          </w:p>
        </w:tc>
        <w:tc>
          <w:tcPr>
            <w:tcW w:w="1701" w:type="dxa"/>
            <w:vMerge/>
            <w:vAlign w:val="center"/>
            <w:hideMark/>
          </w:tcPr>
          <w:p w:rsidR="00D86D41" w:rsidRPr="00BC0897" w:rsidRDefault="00D86D41" w:rsidP="00BA526F">
            <w:pPr>
              <w:spacing w:after="0"/>
              <w:jc w:val="center"/>
              <w:rPr>
                <w:rFonts w:ascii="Times New Roman" w:hAnsi="Times New Roman" w:cs="Times New Roman"/>
                <w:b/>
                <w:bCs/>
                <w:sz w:val="20"/>
                <w:szCs w:val="20"/>
                <w:lang w:val="en-US"/>
              </w:rPr>
            </w:pPr>
          </w:p>
        </w:tc>
      </w:tr>
      <w:tr w:rsidR="008F7E4A" w:rsidRPr="00BC0897" w:rsidTr="007B380E">
        <w:trPr>
          <w:trHeight w:val="282"/>
        </w:trPr>
        <w:tc>
          <w:tcPr>
            <w:tcW w:w="846" w:type="dxa"/>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 §</w:t>
            </w:r>
          </w:p>
        </w:tc>
        <w:tc>
          <w:tcPr>
            <w:tcW w:w="1843"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c.1618G&gt;C</w:t>
            </w:r>
          </w:p>
        </w:tc>
        <w:tc>
          <w:tcPr>
            <w:tcW w:w="1872"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p.Ala540Pro</w:t>
            </w:r>
          </w:p>
        </w:tc>
        <w:tc>
          <w:tcPr>
            <w:tcW w:w="283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Normal</w:t>
            </w:r>
          </w:p>
        </w:tc>
        <w:tc>
          <w:tcPr>
            <w:tcW w:w="255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Tubular calcification, Cast material in the tubular lumen</w:t>
            </w:r>
          </w:p>
        </w:tc>
        <w:tc>
          <w:tcPr>
            <w:tcW w:w="198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{"citationID":"ZMs5amBy","properties":{"formattedCitation":"(Wong et al. 2017)","plainCitation":"(Wong et al. 2017)","noteIndex":0},"citationItems":[{"id":77,"uris":["http://zotero.org/users/local/jkkvYBSC/items/N7TTHXVH"],"uri":["http://zotero.org/users/local/jkkvYBSC/items/N7TTHXVH"],"itemData":{"id":77,"type":"article-journal","abstract":"BACKGROUND: Dent disease 1 is a rare cause of chronic kidney disease (CKD) in childhood secondary to mutations in the gene encoding the chloride-proton exchanger, CLC-5, which is found mainly in the proximal tubule. Clinical manifestations are variable and there are no known genotype-phenotype correlations.\nCASE DIAGNOSIS/TREATMENT: The proband was identified as having a mutation in CLCN5. The extended family of the proband was invited to participate in a study of Dent disease after several males were noted to have a history of CKD. Urine retinol binding protein, urine calcium, serum creatinine, and DNA samples were collected for analysis. Ten hemizygous males and 6 heterozygous females were identified. Advanced CKD was detected in 3 males (1 child). Renal biopsies in 4 children showed both glomerular and tubulo-interstitial changes. There was no correlation between age and disease severity.\nCONCLUSIONS: This is the first reported family from the southern hemisphere with this condition. A novel CLCN5 mutation is described, c.1618G&gt;C (p.Ala540Pro). The severity of renal disease varies greatly among individuals.","container-title":"Pediatric Nephrology (Berlin, Germany)","DOI":"10.1007/s00467-016-3472-8","ISSN":"1432-198X","issue":"2","journalAbbreviation":"Pediatr. Nephrol.","language":"eng","note":"PMID: 27699523","page":"365-369","source":"PubMed","title":"Phenotypic variability of Dent disease in a large New Zealand kindred","volume":"32","author":[{"family":"Wong","given":"William"},{"family":"Poke","given":"Gemma"},{"family":"Stack","given":"Maria"},{"family":"Kara","given":"Tonya"},{"family":"Prestidge","given":"Chanel"},{"family":"Flintoff","given":"Kim"}],"issued":{"date-parts":[["2017"]]}}}],"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szCs w:val="20"/>
              </w:rPr>
              <w:t>(Wong et al. 2017)</w:t>
            </w:r>
            <w:r w:rsidRPr="00BC0897">
              <w:rPr>
                <w:rFonts w:ascii="Times New Roman" w:hAnsi="Times New Roman" w:cs="Times New Roman"/>
                <w:sz w:val="20"/>
                <w:szCs w:val="20"/>
                <w:lang w:val="en-US"/>
              </w:rPr>
              <w:fldChar w:fldCharType="end"/>
            </w:r>
          </w:p>
        </w:tc>
      </w:tr>
      <w:tr w:rsidR="008F7E4A" w:rsidRPr="00BC0897" w:rsidTr="007B380E">
        <w:trPr>
          <w:trHeight w:val="282"/>
        </w:trPr>
        <w:tc>
          <w:tcPr>
            <w:tcW w:w="846" w:type="dxa"/>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 §</w:t>
            </w:r>
          </w:p>
        </w:tc>
        <w:tc>
          <w:tcPr>
            <w:tcW w:w="1843"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c.1618G&gt;C</w:t>
            </w:r>
          </w:p>
        </w:tc>
        <w:tc>
          <w:tcPr>
            <w:tcW w:w="1872"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p.Ala540Pro</w:t>
            </w:r>
          </w:p>
        </w:tc>
        <w:tc>
          <w:tcPr>
            <w:tcW w:w="283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Normal</w:t>
            </w:r>
          </w:p>
        </w:tc>
        <w:tc>
          <w:tcPr>
            <w:tcW w:w="255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 xml:space="preserve">Tubular </w:t>
            </w:r>
            <w:proofErr w:type="spellStart"/>
            <w:r w:rsidRPr="00BC0897">
              <w:rPr>
                <w:rFonts w:ascii="Times New Roman" w:hAnsi="Times New Roman" w:cs="Times New Roman"/>
                <w:sz w:val="20"/>
                <w:szCs w:val="20"/>
                <w:lang w:val="en-US"/>
              </w:rPr>
              <w:t>calcifrication</w:t>
            </w:r>
            <w:proofErr w:type="spellEnd"/>
            <w:r w:rsidRPr="00BC0897">
              <w:rPr>
                <w:rFonts w:ascii="Times New Roman" w:hAnsi="Times New Roman" w:cs="Times New Roman"/>
                <w:sz w:val="20"/>
                <w:szCs w:val="20"/>
                <w:lang w:val="en-US"/>
              </w:rPr>
              <w:t>, Cast material in the tubular lumen</w:t>
            </w:r>
          </w:p>
        </w:tc>
        <w:tc>
          <w:tcPr>
            <w:tcW w:w="198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{"citationID":"VzK04W69","properties":{"formattedCitation":"(Wong et al. 2017)","plainCitation":"(Wong et al. 2017)","noteIndex":0},"citationItems":[{"id":77,"uris":["http://zotero.org/users/local/jkkvYBSC/items/N7TTHXVH"],"uri":["http://zotero.org/users/local/jkkvYBSC/items/N7TTHXVH"],"itemData":{"id":77,"type":"article-journal","abstract":"BACKGROUND: Dent disease 1 is a rare cause of chronic kidney disease (CKD) in childhood secondary to mutations in the gene encoding the chloride-proton exchanger, CLC-5, which is found mainly in the proximal tubule. Clinical manifestations are variable and there are no known genotype-phenotype correlations.\nCASE DIAGNOSIS/TREATMENT: The proband was identified as having a mutation in CLCN5. The extended family of the proband was invited to participate in a study of Dent disease after several males were noted to have a history of CKD. Urine retinol binding protein, urine calcium, serum creatinine, and DNA samples were collected for analysis. Ten hemizygous males and 6 heterozygous females were identified. Advanced CKD was detected in 3 males (1 child). Renal biopsies in 4 children showed both glomerular and tubulo-interstitial changes. There was no correlation between age and disease severity.\nCONCLUSIONS: This is the first reported family from the southern hemisphere with this condition. A novel CLCN5 mutation is described, c.1618G&gt;C (p.Ala540Pro). The severity of renal disease varies greatly among individuals.","container-title":"Pediatric Nephrology (Berlin, Germany)","DOI":"10.1007/s00467-016-3472-8","ISSN":"1432-198X","issue":"2","journalAbbreviation":"Pediatr. Nephrol.","language":"eng","note":"PMID: 27699523","page":"365-369","source":"PubMed","title":"Phenotypic variability of Dent disease in a large New Zealand kindred","volume":"32","author":[{"family":"Wong","given":"William"},{"family":"Poke","given":"Gemma"},{"family":"Stack","given":"Maria"},{"family":"Kara","given":"Tonya"},{"family":"Prestidge","given":"Chanel"},{"family":"Flintoff","given":"Kim"}],"issued":{"date-parts":[["2017"]]}}}],"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szCs w:val="20"/>
              </w:rPr>
              <w:t>(Wong et al. 2017)</w:t>
            </w:r>
            <w:r w:rsidRPr="00BC0897">
              <w:rPr>
                <w:rFonts w:ascii="Times New Roman" w:hAnsi="Times New Roman" w:cs="Times New Roman"/>
                <w:sz w:val="20"/>
                <w:szCs w:val="20"/>
                <w:lang w:val="en-US"/>
              </w:rPr>
              <w:fldChar w:fldCharType="end"/>
            </w:r>
          </w:p>
        </w:tc>
      </w:tr>
      <w:tr w:rsidR="008F7E4A" w:rsidRPr="00BC0897" w:rsidTr="007B380E">
        <w:trPr>
          <w:trHeight w:val="493"/>
        </w:trPr>
        <w:tc>
          <w:tcPr>
            <w:tcW w:w="846" w:type="dxa"/>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p>
        </w:tc>
        <w:tc>
          <w:tcPr>
            <w:tcW w:w="1872"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p.Tyr567*</w:t>
            </w:r>
          </w:p>
        </w:tc>
        <w:tc>
          <w:tcPr>
            <w:tcW w:w="283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Focal glomerulosclerosis</w:t>
            </w:r>
          </w:p>
        </w:tc>
        <w:tc>
          <w:tcPr>
            <w:tcW w:w="255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Tubulointerstitial fibrosis, Mononuclear cell infiltration</w:t>
            </w:r>
          </w:p>
        </w:tc>
        <w:tc>
          <w:tcPr>
            <w:tcW w:w="198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Negative</w:t>
            </w:r>
          </w:p>
        </w:tc>
        <w:tc>
          <w:tcPr>
            <w:tcW w:w="1701"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{"citationID":"wUxDBlPc","properties":{"formattedCitation":"(Okamoto et al. 2012)","plainCitation":"(Okamoto et al. 2012)","noteIndex":0},"citationItems":[{"id":606,"uris":["http://zotero.org/users/local/jkkvYBSC/items/B3J98JCC"],"uri":["http://zotero.org/users/local/jkkvYBSC/items/B3J98JCC"],"itemData":{"id":606,"type":"article-journal","abstract":"Dent disease is an X-linked tubulopathy mainly caused by inactivating mutations of CLCN5. Features of Bartter syndrome such as hypokalemic metabolic alkalosis are rarely observed in patients with Dent disease. We report a Japanese male patient with Dent disease who also manifested features of Bartter syndrome. At the age of 3 years, he was diagnosed with Dent disease based on low molecular weight proteinuria and hypercalciuria. One year later, he was found to have features of Bartter syndrome, i.e., hypokalemia and metabolic alkalosis, and high levels of plasma renin activity and aldosterone with a normal blood pressure. Despite medical interventions, he developed chronic kidney disease stage 3 at the age of 21 years. To investigate the molecular basis of his disease, CLCN5, KCNJ1, SLC12A1, and CLCkb were analyzed and a novel mutation (Y567X) in CLCN5 was identified.\nCONCLUSION: Hypokalemic metabolic alkalosis is a rare manifestation in Dent disease. It is speculated that Dent patients with features of Bartter syndrome are susceptible to progression to renal failure. To study this hypothesis, additional observations and long-term follow-up of such patients are necessary.","container-title":"European Journal of Pediatrics","DOI":"10.1007/s00431-011-1578-3","ISSN":"1432-1076","issue":"2","journalAbbreviation":"Eur. J. Pediatr.","language":"eng","note":"PMID: 21932010","page":"401-404","source":"PubMed","title":"A patient with Dent disease and features of Bartter syndrome caused by a novel mutation of CLCN5","volume":"171","author":[{"family":"Okamoto","given":"Takayuki"},{"family":"Tajima","given":"Toshihiro"},{"family":"Hirayama","given":"Tomoya"},{"family":"Sasaki","given":"Satoshi"}],"issued":{"date-parts":[["2012",2]]}}}],"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szCs w:val="20"/>
              </w:rPr>
              <w:t>(Okamoto et al. 2012)</w:t>
            </w:r>
            <w:r w:rsidRPr="00BC0897">
              <w:rPr>
                <w:rFonts w:ascii="Times New Roman" w:hAnsi="Times New Roman" w:cs="Times New Roman"/>
                <w:sz w:val="20"/>
                <w:szCs w:val="20"/>
                <w:lang w:val="en-US"/>
              </w:rPr>
              <w:fldChar w:fldCharType="end"/>
            </w:r>
          </w:p>
        </w:tc>
      </w:tr>
      <w:tr w:rsidR="008F7E4A" w:rsidRPr="00BC0897" w:rsidTr="007B380E">
        <w:trPr>
          <w:trHeight w:val="414"/>
        </w:trPr>
        <w:tc>
          <w:tcPr>
            <w:tcW w:w="846" w:type="dxa"/>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c.1711C&gt;T</w:t>
            </w:r>
          </w:p>
        </w:tc>
        <w:tc>
          <w:tcPr>
            <w:tcW w:w="1872"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p.Leu571Phe</w:t>
            </w:r>
          </w:p>
        </w:tc>
        <w:tc>
          <w:tcPr>
            <w:tcW w:w="283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Mesangial proliferative glomerulonephritis</w:t>
            </w:r>
          </w:p>
        </w:tc>
        <w:tc>
          <w:tcPr>
            <w:tcW w:w="255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p>
        </w:tc>
        <w:tc>
          <w:tcPr>
            <w:tcW w:w="198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{"citationID":"HBj4YKuH","properties":{"formattedCitation":"(Bao et al. 2019)","plainCitation":"(Bao et al. 2019)","noteIndex":0},"citationItems":[{"id":259,"uris":["http://zotero.org/users/local/jkkvYBSC/items/A2LVT5AF"],"uri":["http://zotero.org/users/local/jkkvYBSC/items/A2LVT5AF"],"itemData":{"id":259,"type":"article-journal","container-title":"Science China. Life Sciences","DOI":"10.1007/s11427-018-9829-0","ISSN":"1869-1889","issue":"12","journalAbbreviation":"Sci China Life Sci","language":"eng","note":"PMID: 31701402","page":"1590-1593","source":"PubMed","title":"Clinical and genetic analysis of Dent disease with nephrotic range albuminuria in Shaanxi, China","volume":"62","author":[{"family":"Bao","given":"Ying"},{"family":"Suo","given":"Lei"},{"family":"Qian","given":"Pei"},{"family":"Huang","given":"Huimei"},{"family":"Yang","given":"Ying"},{"family":"Tang","given":"Jun"},{"family":"Zhang","given":"Min"},{"family":"Li","given":"Zhijuan"},{"family":"Wang","given":"Ying"},{"family":"Liang","given":"Nan"},{"family":"Wang","given":"Yili"}],"issued":{"date-parts":[["2019",12]]}}}],"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szCs w:val="20"/>
              </w:rPr>
              <w:t>(Bao et al. 2019)</w:t>
            </w:r>
            <w:r w:rsidRPr="00BC0897">
              <w:rPr>
                <w:rFonts w:ascii="Times New Roman" w:hAnsi="Times New Roman" w:cs="Times New Roman"/>
                <w:sz w:val="20"/>
                <w:szCs w:val="20"/>
                <w:lang w:val="en-US"/>
              </w:rPr>
              <w:fldChar w:fldCharType="end"/>
            </w:r>
          </w:p>
        </w:tc>
      </w:tr>
      <w:tr w:rsidR="008F7E4A" w:rsidRPr="002212C2" w:rsidTr="007B380E">
        <w:trPr>
          <w:trHeight w:val="414"/>
        </w:trPr>
        <w:tc>
          <w:tcPr>
            <w:tcW w:w="846" w:type="dxa"/>
            <w:noWrap/>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c.1720A&gt;G</w:t>
            </w:r>
          </w:p>
        </w:tc>
        <w:tc>
          <w:tcPr>
            <w:tcW w:w="1872"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p.Met574Val</w:t>
            </w:r>
          </w:p>
        </w:tc>
        <w:tc>
          <w:tcPr>
            <w:tcW w:w="2835"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Mild glomerular lesions</w:t>
            </w:r>
          </w:p>
        </w:tc>
        <w:tc>
          <w:tcPr>
            <w:tcW w:w="2555" w:type="dxa"/>
            <w:vAlign w:val="center"/>
          </w:tcPr>
          <w:p w:rsidR="008F7E4A" w:rsidRPr="00BC0897" w:rsidRDefault="008F7E4A" w:rsidP="008F7E4A">
            <w:pPr>
              <w:spacing w:after="0"/>
              <w:jc w:val="center"/>
              <w:rPr>
                <w:rFonts w:ascii="Times New Roman" w:hAnsi="Times New Roman" w:cs="Times New Roman"/>
                <w:sz w:val="20"/>
                <w:szCs w:val="20"/>
                <w:lang w:val="en-US"/>
              </w:rPr>
            </w:pPr>
          </w:p>
        </w:tc>
        <w:tc>
          <w:tcPr>
            <w:tcW w:w="1985"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{"citationID":"lYsl2rvp","properties":{"formattedCitation":"(Deng et al. 2020)","plainCitation":"(Deng et al. 2020)","noteIndex":0},"citationItems":[{"id":2533,"uris":["http://zotero.org/users/local/jkkvYBSC/items/5ERYPQ5M"],"uri":["http://zotero.org/users/local/jkkvYBSC/items/5ERYPQ5M"],"itemData":{"id":2533,"type":"article-journal","abstract":"BACKGROUND: To characterize the phenotypic spectrum and assess the antialbuminuric response to angiotensin converting enzyme (ACE) inhibitor and/or angiotensin receptor blocker (ARB) therapy in a cohort of children with Dent disease.\nMETHODS: The patients' clinical findings, renal biopsy results, genetic and follow-up data were analyzed retrospectively. Mutations in CLCN5 or OCRL were detected by next-generation sequencing or Sanger sequencing.\nRESULTS: Of 31 Dent disease boys, 24 carried CLCN5 and 7 carried OCRL mutations. Low molecular weight proteinuria and albuminuria were detected in all cases. Nephrotic-range proteinuria and severe albuminuria were identified in 52% and 62% of cases, respectively; by 7 years of age, 6 patients had hematuria and nephrotic-range proteinuria, and 7 patients had hematuria and moderate to severe albuminuria. In addition to disease-related renal features, patients with Dent-1 disease also presented with congenital cataract (1/9) and developmental delay (2/7). Seventeen of 31 patients underwent renal biopsy. Glomerular changes included mild glomerular lesions, mesangial proliferative glomerulonephritis and focal segmental glomerular sclerosis. Thirteen of the 31 patients had follow-up records and received ACE inhibitor and/or ARB treatment for more than 3 months. After a median 1.7 (range 0.3-8.5) years of treatment, a reduction in the urinary microalbumin-to-creatinine ratio was observed in 54% of children.\nCONCLUSIONS: Hematuria with nephrotic-range proteinuria or moderate to severe albuminuria was common in Dent disease patients. Extrarenal manifestations were observed in Dent-1 patients, which extends the phenotypic spectrum. In addition, ACE inhibitors and ARBs are well tolerated, and they are partially effective in controlling albuminuria.","container-title":"Molecular Genetics &amp; Genomic Medicine","DOI":"10.1002/mgg3.1306","ISSN":"2324-9269","journalAbbreviation":"Mol Genet Genomic Med","language":"eng","note":"PMID: 32495484","page":"e1306","source":"PubMed","title":"Phenotypic spectrum and antialbuminuric response to angiotensin converting enzyme inhibitor and angiotensin receptor blocker therapy in pediatric Dent disease","author":[{"family":"Deng","given":"Haiyue"},{"family":"Zhang","given":"Yanqin"},{"family":"Xiao","given":"Huijie"},{"family":"Yao","given":"Yong"},{"family":"Zhang","given":"Hongwen"},{"family":"Liu","given":"Xiaoyu"},{"family":"Su","given":"Baige"},{"family":"Guan","given":"Na"},{"family":"Zhong","given":"Xuhui"},{"family":"Wang","given":"Suxia"},{"family":"Ding","given":"Jie"},{"family":"Wang","given":"Fang"}],"issued":{"date-parts":[["2020",6,3]]}}}],"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lang w:val="en-US"/>
              </w:rPr>
              <w:t>(Deng et al. 2020)</w:t>
            </w:r>
            <w:r w:rsidRPr="00BC0897">
              <w:rPr>
                <w:rFonts w:ascii="Times New Roman" w:hAnsi="Times New Roman" w:cs="Times New Roman"/>
                <w:sz w:val="20"/>
                <w:szCs w:val="20"/>
                <w:lang w:val="en-US"/>
              </w:rPr>
              <w:fldChar w:fldCharType="end"/>
            </w:r>
          </w:p>
        </w:tc>
      </w:tr>
      <w:tr w:rsidR="008F7E4A" w:rsidRPr="002212C2" w:rsidTr="007B380E">
        <w:trPr>
          <w:trHeight w:val="273"/>
        </w:trPr>
        <w:tc>
          <w:tcPr>
            <w:tcW w:w="846" w:type="dxa"/>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c.1726G&gt;A</w:t>
            </w:r>
          </w:p>
        </w:tc>
        <w:tc>
          <w:tcPr>
            <w:tcW w:w="1872"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p.Gly576Arg</w:t>
            </w:r>
          </w:p>
        </w:tc>
        <w:tc>
          <w:tcPr>
            <w:tcW w:w="283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FGGS</w:t>
            </w:r>
          </w:p>
        </w:tc>
        <w:tc>
          <w:tcPr>
            <w:tcW w:w="255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Normal</w:t>
            </w:r>
          </w:p>
        </w:tc>
        <w:tc>
          <w:tcPr>
            <w:tcW w:w="198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00040F98" w:rsidRPr="00BC0897">
              <w:rPr>
                <w:rFonts w:ascii="Times New Roman" w:hAnsi="Times New Roman" w:cs="Times New Roman"/>
                <w:sz w:val="20"/>
                <w:szCs w:val="20"/>
                <w:lang w:val="en-US"/>
              </w:rPr>
              <w:instrText xml:space="preserve"> ADDIN ZOTERO_ITEM CSL_CITATION {"citationID":"m2GbnpJw","properties":{"formattedCitation":"(Matsuyama et al. 2004)","plainCitation":"(Matsuyama et al. 2004)","noteIndex":0},"citationItems":[{"id":"p7ATYret/9mj6WikF","uris":["http://zotero.org/users/local/jkkvYBSC/items/7XS7KDRE"],"uri":["http://zotero.org/users/local/jkkvYBSC/items/7XS7KDRE"],"itemData":{"id":802,"type":"article-journal","abstract":"BACKGROUND: Dent's disease is an X-linked renal tubular disorder characterized by low-molecular-weight-proteinuria, hypercalciuria, nephrolithiasis and renal failure. The disease is due to inactivation of a renal chloride channel gene, CLCN5. We have investigated 3 unrelated Japanese families for CLCN5 mutations and assessed the carrier mothers biochemically and ultrasonogaraphically to ascertain whether these clinical examinations can predict the carrier state of the disease.\nMATERIAL AND METHODS: Twelve members from these families were studied biochemically and ultrasonographically. Leukocyte DNA from probands was used with CLCN5-specific primers for PCR amplification of the coding region and exon-intron boundaries, and the DNA sequences of the products determined to identify abnormalities in the gene.\nRESULTS: Three novel CLCN5 mutations consisting of a single base \"A\" insertion between nucleotides 590 and 591, a nonsense mutation (R28X) and a missense mutation (G506R) were exhibited. Hypophosphatemia was detected in 2 patients, beta2-microglobulinuria, alpha1-microglobulinuria, and hyperretinol binding proteinuria in 6 patients, hypercalciuria in 5 patients, decreased urine osmolality in 3 patients, and nephrocalcinosis or nephrolithiasis in 4 patients. Biochemical analysis of the urine and the renal ultrasonography in each carrier mother were completely normal.\nCONCLUSIONS: Neither urinary low-molecular-weight-proteins, urinary calcium to creatinine ratio, nor renal ultrasonography was predictive of carrier state in the 3 families with this disease, although each carrier mother had CLCN5 mutation. Hypophosphatemia and decreased urine osmolality might be a hint to suspect the carrier state of Dent's disease, although these findings are not found frequently.","container-title":"Clinical Nephrology","DOI":"10.5414/cnp61231","ISSN":"0301-0430","issue":"4","journalAbbreviation":"Clin. Nephrol.","language":"eng","note":"PMID: 15125028","page":"231-237","source":"PubMed","title":"Molecular and clinical studies of Dent's disease in Japan: biochemical examination and renal ultrasonography do not predict carrier state","title-short":"Molecular and clinical studies of Dent's disease in Japan","volume":"61","author":[{"family":"Matsuyama","given":"T."},{"family":"Awazu","given":"M."},{"family":"Oikawa","given":"T."},{"family":"Inatomi","given":"J."},{"family":"Sekine","given":"T."},{"family":"Igarashi","given":"T."}],"issued":{"date-parts":[["2004",4]]}}}],"schema":"https://github.com/citation-style-language/schema/raw/master/csl-citation.json"} </w:instrText>
            </w:r>
            <w:r w:rsidRPr="00BC0897">
              <w:rPr>
                <w:rFonts w:ascii="Times New Roman" w:hAnsi="Times New Roman" w:cs="Times New Roman"/>
                <w:sz w:val="20"/>
                <w:szCs w:val="20"/>
                <w:lang w:val="en-US"/>
              </w:rPr>
              <w:fldChar w:fldCharType="separate"/>
            </w:r>
            <w:r w:rsidR="00040F98" w:rsidRPr="00BC0897">
              <w:rPr>
                <w:rFonts w:ascii="Times New Roman" w:hAnsi="Times New Roman" w:cs="Times New Roman"/>
                <w:sz w:val="20"/>
                <w:lang w:val="en-US"/>
              </w:rPr>
              <w:t>(Matsuyama et al. 2004)</w:t>
            </w:r>
            <w:r w:rsidRPr="00BC0897">
              <w:rPr>
                <w:rFonts w:ascii="Times New Roman" w:hAnsi="Times New Roman" w:cs="Times New Roman"/>
                <w:sz w:val="20"/>
                <w:szCs w:val="20"/>
                <w:lang w:val="en-US"/>
              </w:rPr>
              <w:fldChar w:fldCharType="end"/>
            </w:r>
          </w:p>
        </w:tc>
      </w:tr>
      <w:tr w:rsidR="008F7E4A" w:rsidRPr="002212C2" w:rsidTr="007B380E">
        <w:trPr>
          <w:trHeight w:val="273"/>
        </w:trPr>
        <w:tc>
          <w:tcPr>
            <w:tcW w:w="846" w:type="dxa"/>
            <w:noWrap/>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c.1745-2A&gt;G</w:t>
            </w:r>
          </w:p>
        </w:tc>
        <w:tc>
          <w:tcPr>
            <w:tcW w:w="1872"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2835"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Mild glomerular lesions</w:t>
            </w:r>
          </w:p>
        </w:tc>
        <w:tc>
          <w:tcPr>
            <w:tcW w:w="2555"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Tubular interstitial nephritis</w:t>
            </w:r>
          </w:p>
        </w:tc>
        <w:tc>
          <w:tcPr>
            <w:tcW w:w="1985"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002E3128" w:rsidRPr="00BC0897">
              <w:rPr>
                <w:rFonts w:ascii="Times New Roman" w:hAnsi="Times New Roman" w:cs="Times New Roman"/>
                <w:sz w:val="20"/>
                <w:szCs w:val="20"/>
                <w:lang w:val="en-US"/>
              </w:rPr>
              <w:instrText xml:space="preserve"> ADDIN ZOTERO_ITEM CSL_CITATION {"citationID":"qtY5N0IE","properties":{"formattedCitation":"(Deng et al. 2020)","plainCitation":"(Deng et al. 2020)","noteIndex":0},"citationItems":[{"id":2533,"uris":["http://zotero.org/users/local/jkkvYBSC/items/5ERYPQ5M"],"uri":["http://zotero.org/users/local/jkkvYBSC/items/5ERYPQ5M"],"itemData":{"id":2533,"type":"article-journal","abstract":"BACKGROUND: To characterize the phenotypic spectrum and assess the antialbuminuric response to angiotensin converting enzyme (ACE) inhibitor and/or angiotensin receptor blocker (ARB) therapy in a cohort of children with Dent disease.\nMETHODS: The patients' clinical findings, renal biopsy results, genetic and follow-up data were analyzed retrospectively. Mutations in CLCN5 or OCRL were detected by next-generation sequencing or Sanger sequencing.\nRESULTS: Of 31 Dent disease boys, 24 carried CLCN5 and 7 carried OCRL mutations. Low molecular weight proteinuria and albuminuria were detected in all cases. Nephrotic-range proteinuria and severe albuminuria were identified in 52% and 62% of cases, respectively; by 7 years of age, 6 patients had hematuria and nephrotic-range proteinuria, and 7 patients had hematuria and moderate to severe albuminuria. In addition to disease-related renal features, patients with Dent-1 disease also presented with congenital cataract (1/9) and developmental delay (2/7). Seventeen of 31 patients underwent renal biopsy. Glomerular changes included mild glomerular lesions, mesangial proliferative glomerulonephritis and focal segmental glomerular sclerosis. Thirteen of the 31 patients had follow-up records and received ACE inhibitor and/or ARB treatment for more than 3 months. After a median 1.7 (range 0.3-8.5) years of treatment, a reduction in the urinary microalbumin-to-creatinine ratio was observed in 54% of children.\nCONCLUSIONS: Hematuria with nephrotic-range proteinuria or moderate to severe albuminuria was common in Dent disease patients. Extrarenal manifestations were observed in Dent-1 patients, which extends the phenotypic spectrum. In addition, ACE inhibitors and ARBs are well tolerated, and they are partially effective in controlling albuminuria.","container-title":"Molecular Genetics &amp; Genomic Medicine","DOI":"10.1002/mgg3.1306","ISSN":"2324-9269","journalAbbreviation":"Mol Genet Genomic Med","language":"eng","note":"PMID: 32495484","page":"e1306","source":"PubMed","title":"Phenotypic spectrum and antialbuminuric response to angiotensin converting enzyme inhibitor and angiotensin receptor blocker therapy in pediatric Dent disease","author":[{"family":"Deng","given":"Haiyue"},{"family":"Zhang","given":"Yanqin"},{"family":"Xiao","given":"Huijie"},{"family":"Yao","given":"Yong"},{"family":"Zhang","given":"Hongwen"},{"family":"Liu","given":"Xiaoyu"},{"family":"Su","given":"Baige"},{"family":"Guan","given":"Na"},{"family":"Zhong","given":"Xuhui"},{"family":"Wang","given":"Suxia"},{"family":"Ding","given":"Jie"},{"family":"Wang","given":"Fang"}],"issued":{"date-parts":[["2020",6,3]]}}}],"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lang w:val="en-US"/>
              </w:rPr>
              <w:t>(Deng et al. 2020)</w:t>
            </w:r>
            <w:r w:rsidRPr="00BC0897">
              <w:rPr>
                <w:rFonts w:ascii="Times New Roman" w:hAnsi="Times New Roman" w:cs="Times New Roman"/>
                <w:sz w:val="20"/>
                <w:szCs w:val="20"/>
                <w:lang w:val="en-US"/>
              </w:rPr>
              <w:fldChar w:fldCharType="end"/>
            </w:r>
          </w:p>
        </w:tc>
      </w:tr>
      <w:tr w:rsidR="008F7E4A" w:rsidRPr="00BC0897" w:rsidTr="007B380E">
        <w:trPr>
          <w:trHeight w:val="261"/>
        </w:trPr>
        <w:tc>
          <w:tcPr>
            <w:tcW w:w="846" w:type="dxa"/>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 §</w:t>
            </w:r>
          </w:p>
        </w:tc>
        <w:tc>
          <w:tcPr>
            <w:tcW w:w="1843"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c.1771C&gt;T</w:t>
            </w:r>
          </w:p>
        </w:tc>
        <w:tc>
          <w:tcPr>
            <w:tcW w:w="1872"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p.Leu591Phe</w:t>
            </w:r>
          </w:p>
        </w:tc>
        <w:tc>
          <w:tcPr>
            <w:tcW w:w="283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FSGS</w:t>
            </w:r>
          </w:p>
        </w:tc>
        <w:tc>
          <w:tcPr>
            <w:tcW w:w="255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p>
        </w:tc>
        <w:tc>
          <w:tcPr>
            <w:tcW w:w="198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{"citationID":"x7yvXUnz","properties":{"formattedCitation":"(Solanki et al. 2018)","plainCitation":"(Solanki et al. 2018)","noteIndex":0},"citationItems":[{"id":12,"uris":["http://zotero.org/users/local/jkkvYBSC/items/MHKC43V6"],"uri":["http://zotero.org/users/local/jkkvYBSC/items/MHKC43V6"],"itemData":{"id":12,"type":"article-journal","abstract":"Introduction: Tubular dysfunction is characteristic of Dent's disease; however, focal segmental glomerulosclerosis (FSGS) can also be present. Glomerulosclerosis could be secondary to tubular injury, but it remains uncertain whether the CLCN5 gene, which encodes an endosomal chloride and/or hydrogen exchanger, plays a role in podocyte biology. Here, we implicate a role for CLCN5 in podocyte function and pathophysiology.\nMethods: Whole exome capture and sequencing of the proband and 5 maternally-related family members was conducted to identify X-linked mutations associated with biopsy-proven FSGS. Human podocyte cultures were used to characterize the mutant phenotype on podocyte function.\nResults: We identified a novel mutation (L521F) in CLCN5 in 2 members of a Hispanic family who presented with a histologic diagnosis of FSGS and low-molecular-weight proteinuria without hypercalciuria. Presence of CLCN5 was confirmed in cultured human podocytes. Podocytes transfected with the wild-type or the mutant (L521F) CLCN5 constructs showed differential localization. CLCN5 knockdown in podocytes resulted in defective transferrin endocytosis and was associated with decreased cell proliferation and increased cell migration, which are hallmarks of podocyte injury.\nConclusions: The CLCN5 mutation, which causes Dent's disease, may be associated with FSGS without hyercalcuria and nepthrolithiasis. The present findings supported the hypothesis that CLCN5 participates in protein trafficking in podocytes and plays a critical role in organizing the components of the podocyte slit diaphragm to help maintain normal cell physiology and a functional filtration barrier. In addition to tubular dysfunction, mutations in CLCN5 may also lead to podocyte dysfunction, which results in a histologic picture of FSGS that may be a primary event and not a consequence of tubular damage.","container-title":"Kidney International Reports","DOI":"10.1016/j.ekir.2018.06.003","ISSN":"2468-0249","issue":"6","journalAbbreviation":"Kidney Int Rep","language":"eng","note":"PMID: 30426109\nPMCID: PMC6224352","page":"1443-1453","source":"PubMed","title":"A Novel CLCN5 Mutation Associated With Focal Segmental Glomerulosclerosis and Podocyte Injury","volume":"3","author":[{"family":"Solanki","given":"Ashish K."},{"family":"Arif","given":"Ehtesham"},{"family":"Morinelli","given":"Thomas"},{"family":"Wilson","given":"Robert C."},{"family":"Hardiman","given":"Gary"},{"family":"Deng","given":"Peifeng"},{"family":"Arthur","given":"John M."},{"family":"Velez","given":"Juan Cq"},{"family":"Nihalani","given":"Deepak"},{"family":"Janech","given":"Michael G."},{"family":"Budisavljevic","given":"Milos N."}],"issued":{"date-parts":[["2018",11]]}}}],"schema":"https://github.com/citation-style-language/schema/raw/master/csl-citation.json"}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szCs w:val="20"/>
              </w:rPr>
              <w:t>(Solanki et al. 2018)</w:t>
            </w:r>
            <w:r w:rsidRPr="00BC0897">
              <w:rPr>
                <w:rFonts w:ascii="Times New Roman" w:hAnsi="Times New Roman" w:cs="Times New Roman"/>
                <w:sz w:val="20"/>
                <w:szCs w:val="20"/>
                <w:lang w:val="en-US"/>
              </w:rPr>
              <w:fldChar w:fldCharType="end"/>
            </w:r>
          </w:p>
        </w:tc>
      </w:tr>
      <w:tr w:rsidR="008F7E4A" w:rsidRPr="002212C2" w:rsidTr="007B380E">
        <w:trPr>
          <w:trHeight w:val="279"/>
        </w:trPr>
        <w:tc>
          <w:tcPr>
            <w:tcW w:w="846" w:type="dxa"/>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 §</w:t>
            </w:r>
          </w:p>
        </w:tc>
        <w:tc>
          <w:tcPr>
            <w:tcW w:w="1843"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c.1771C&gt;T</w:t>
            </w:r>
          </w:p>
        </w:tc>
        <w:tc>
          <w:tcPr>
            <w:tcW w:w="1872"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p.Leu591Phe</w:t>
            </w:r>
          </w:p>
        </w:tc>
        <w:tc>
          <w:tcPr>
            <w:tcW w:w="283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FSGS</w:t>
            </w:r>
          </w:p>
        </w:tc>
        <w:tc>
          <w:tcPr>
            <w:tcW w:w="255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p>
        </w:tc>
        <w:tc>
          <w:tcPr>
            <w:tcW w:w="198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{"citationID":"ca4YJDlH","properties":{"formattedCitation":"(Solanki et al. 2018)","plainCitation":"(Solanki et al. 2018)","noteIndex":0},"citationItems":[{"id":12,"uris":["http://zotero.org/users/local/jkkvYBSC/items/MHKC43V6"],"uri":["http://zotero.org/users/local/jkkvYBSC/items/MHKC43V6"],"itemData":{"id":12,"type":"article-journal","abstract":"Introduction: Tubular dysfunction is characteristic of Dent's disease; however, focal segmental glomerulosclerosis (FSGS) can also be present. Glomerulosclerosis could be secondary to tubular injury, but it remains uncertain whether the CLCN5 gene, which encodes an endosomal chloride and/or hydrogen exchanger, plays a role in podocyte biology. Here, we implicate a role for CLCN5 in podocyte function and pathophysiology.\nMethods: Whole exome capture and sequencing of the proband and 5 maternally-related family members was conducted to identify X-linked mutations associated with biopsy-proven FSGS. Human podocyte cultures were used to characterize the mutant phenotype on podocyte function.\nResults: We identified a novel mutation (L521F) in CLCN5 in 2 members of a Hispanic family who presented with a histologic diagnosis of FSGS and low-molecular-weight proteinuria without hypercalciuria. Presence of CLCN5 was confirmed in cultured human podocytes. Podocytes transfected with the wild-type or the mutant (L521F) CLCN5 constructs showed differential localization. CLCN5 knockdown in podocytes resulted in defective transferrin endocytosis and was associated with decreased cell proliferation and increased cell migration, which are hallmarks of podocyte injury.\nConclusions: The CLCN5 mutation, which causes Dent's disease, may be associated with FSGS without hyercalcuria and nepthrolithiasis. The present findings supported the hypothesis that CLCN5 participates in protein trafficking in podocytes and plays a critical role in organizing the components of the podocyte slit diaphragm to help maintain normal cell physiology and a functional filtration barrier. In addition to tubular dysfunction, mutations in CLCN5 may also lead to podocyte dysfunction, which results in a histologic picture of FSGS that may be a primary event and not a consequence of tubular damage.","container-title":"Kidney International Reports","DOI":"10.1016/j.ekir.2018.06.003","ISSN":"2468-0249","issue":"6","journalAbbreviation":"Kidney Int Rep","language":"eng","note":"PMID: 30426109\nPMCID: PMC6224352","page":"1443-1453","source":"PubMed","title":"A Novel CLCN5 Mutation Associated With Focal Segmental Glomerulosclerosis and Podocyte Injury","volume":"3","author":[{"family":"Solanki","given":"Ashish K."},{"family":"Arif","given":"Ehtesham"},{"family":"Morinelli","given":"Thomas"},{"family":"Wilson","given":"Robert C."},{"family":"Hardiman","given":"Gary"},{"family":"Deng","given":"Peifeng"},{"family":"Arthur","given":"John M."},{"family":"Velez","given":"Juan Cq"},{"family":"Nihalani","given":"Deepak"},{"family":"Janech","given":"Michael G."},{"family":"Budisavljevic","given":"Milos N."}],"issued":{"date-parts":[["2018",11]]}}}],"schema":"https://github.com/citation-style-language/schema/raw/master/csl-citation.json"}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szCs w:val="20"/>
                <w:lang w:val="en-US"/>
              </w:rPr>
              <w:t>(Solanki et al. 2018)</w:t>
            </w:r>
            <w:r w:rsidRPr="00BC0897">
              <w:rPr>
                <w:rFonts w:ascii="Times New Roman" w:hAnsi="Times New Roman" w:cs="Times New Roman"/>
                <w:sz w:val="20"/>
                <w:szCs w:val="20"/>
                <w:lang w:val="en-US"/>
              </w:rPr>
              <w:fldChar w:fldCharType="end"/>
            </w:r>
          </w:p>
        </w:tc>
      </w:tr>
      <w:tr w:rsidR="008F7E4A" w:rsidRPr="002212C2" w:rsidTr="007B380E">
        <w:trPr>
          <w:trHeight w:val="282"/>
        </w:trPr>
        <w:tc>
          <w:tcPr>
            <w:tcW w:w="846" w:type="dxa"/>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c.1799G&gt;T</w:t>
            </w:r>
          </w:p>
        </w:tc>
        <w:tc>
          <w:tcPr>
            <w:tcW w:w="1872"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p.Gly600Val</w:t>
            </w:r>
          </w:p>
        </w:tc>
        <w:tc>
          <w:tcPr>
            <w:tcW w:w="283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 xml:space="preserve">FGGS, Mesangial </w:t>
            </w:r>
            <w:proofErr w:type="spellStart"/>
            <w:r w:rsidRPr="00BC0897">
              <w:rPr>
                <w:rFonts w:ascii="Times New Roman" w:hAnsi="Times New Roman" w:cs="Times New Roman"/>
                <w:sz w:val="20"/>
                <w:szCs w:val="20"/>
                <w:lang w:val="en-US"/>
              </w:rPr>
              <w:t>hypercellularity</w:t>
            </w:r>
            <w:proofErr w:type="spellEnd"/>
          </w:p>
        </w:tc>
        <w:tc>
          <w:tcPr>
            <w:tcW w:w="255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Focal interstitial inflammation, Tubular damage, Nephrocalcinosis</w:t>
            </w:r>
          </w:p>
        </w:tc>
        <w:tc>
          <w:tcPr>
            <w:tcW w:w="198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Foot process effacement</w:t>
            </w:r>
          </w:p>
        </w:tc>
        <w:tc>
          <w:tcPr>
            <w:tcW w:w="1559"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{"citationID":"EorBA9w2","properties":{"formattedCitation":"(Bao et al. 2019)","plainCitation":"(Bao et al. 2019)","noteIndex":0},"citationItems":[{"id":259,"uris":["http://zotero.org/users/local/jkkvYBSC/items/A2LVT5AF"],"uri":["http://zotero.org/users/local/jkkvYBSC/items/A2LVT5AF"],"itemData":{"id":259,"type":"article-journal","container-title":"Science China. Life Sciences","DOI":"10.1007/s11427-018-9829-0","ISSN":"1869-1889","issue":"12","journalAbbreviation":"Sci China Life Sci","language":"eng","note":"PMID: 31701402","page":"1590-1593","source":"PubMed","title":"Clinical and genetic analysis of Dent disease with nephrotic range albuminuria in Shaanxi, China","volume":"62","author":[{"family":"Bao","given":"Ying"},{"family":"Suo","given":"Lei"},{"family":"Qian","given":"Pei"},{"family":"Huang","given":"Huimei"},{"family":"Yang","given":"Ying"},{"family":"Tang","given":"Jun"},{"family":"Zhang","given":"Min"},{"family":"Li","given":"Zhijuan"},{"family":"Wang","given":"Ying"},{"family":"Liang","given":"Nan"},{"family":"Wang","given":"Yili"}],"issued":{"date-parts":[["2019",12]]}}}],"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szCs w:val="20"/>
                <w:lang w:val="en-US"/>
              </w:rPr>
              <w:t>(Bao et al. 2019)</w:t>
            </w:r>
            <w:r w:rsidRPr="00BC0897">
              <w:rPr>
                <w:rFonts w:ascii="Times New Roman" w:hAnsi="Times New Roman" w:cs="Times New Roman"/>
                <w:sz w:val="20"/>
                <w:szCs w:val="20"/>
                <w:lang w:val="en-US"/>
              </w:rPr>
              <w:fldChar w:fldCharType="end"/>
            </w:r>
          </w:p>
        </w:tc>
      </w:tr>
      <w:tr w:rsidR="008F7E4A" w:rsidRPr="00BC0897" w:rsidTr="007B380E">
        <w:trPr>
          <w:trHeight w:val="282"/>
        </w:trPr>
        <w:tc>
          <w:tcPr>
            <w:tcW w:w="846" w:type="dxa"/>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c.1843A&gt;C</w:t>
            </w:r>
          </w:p>
        </w:tc>
        <w:tc>
          <w:tcPr>
            <w:tcW w:w="1872"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p.Ser615Arg</w:t>
            </w:r>
          </w:p>
        </w:tc>
        <w:tc>
          <w:tcPr>
            <w:tcW w:w="283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FGGS</w:t>
            </w:r>
          </w:p>
        </w:tc>
        <w:tc>
          <w:tcPr>
            <w:tcW w:w="255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Focal interstitial inflammation, Tubular damage, Nephrocalcinosis</w:t>
            </w:r>
          </w:p>
        </w:tc>
        <w:tc>
          <w:tcPr>
            <w:tcW w:w="198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Foot process effacement</w:t>
            </w:r>
          </w:p>
        </w:tc>
        <w:tc>
          <w:tcPr>
            <w:tcW w:w="1559"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{"citationID":"DX7BSBdC","properties":{"formattedCitation":"(Zhang et al. 2017)","plainCitation":"(Zhang et al. 2017)","noteIndex":0},"citationItems":[{"id":27,"uris":["http://zotero.org/users/local/jkkvYBSC/items/WAC5SMPK"],"uri":["http://zotero.org/users/local/jkkvYBSC/items/WAC5SMPK"],"itemData":{"id":27,"type":"article-journal","abstract":"Dent's disease is an X-linked inherited renal disease. Patients with Dent's disease often carry mutations in genes encoding the Cl-/H+ exchanger ClC-5 and/or inositol polyphosphate 5-phosphatase (OCRL1). However, the mutations involved and the biochemical effects of these mutations are not fully understood. To characterize genetic changes in Dent's disease patients, in this study, samples from nine Chinese patients were subjected to genetic analysis. Among the nine patients, six were classified as having Dent-1 disease, one had Dent-2 disease, and two could not be classified. Expression of ClC-5 carrying Dent's disease-associated mutations in HEK293 cells had varying effects: (1) no detectable expression of mutant protein; (2) retention of a truncated protein in the endoplasmic reticulum; or (3) diminished protein expression with normal distribution in early endosomes. Dent's disease patients showed genetic heterogeneity and over 20% of patients did not have CLCN5 or OCRL1 mutations, suggesting the existence of other genetic factors. Using next-generation sequencing, we identified possible modifier genes that have not been previously reported in Dent's disease patients. Heterozygous variants in CFTR, SCNN1A, and SCNN1B genes associated with cystic fibrosis (CF) or CF-like disease were detected in four of our nine patients. These results may form the basis for future characterization of Dent's disease and genetic counseling approaches.","container-title":"DNA and cell biology","DOI":"10.1089/dna.2017.3731","ISSN":"1557-7430","issue":"12","journalAbbreviation":"DNA Cell Biol.","language":"eng","note":"PMID: 29058463","page":"1151-1158","source":"PubMed","title":"Genetic Analysis of Dent's Disease and Functional Research of CLCN5 Mutations","volume":"36","author":[{"family":"Zhang","given":"Ya"},{"family":"Fang","given":"Xiaoyan"},{"family":"Xu","given":"Hong"},{"family":"Shen","given":"Qian"}],"issued":{"date-parts":[["2017",12]]}}}],"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szCs w:val="20"/>
              </w:rPr>
              <w:t>(Zhang et al. 2017)</w:t>
            </w:r>
            <w:r w:rsidRPr="00BC0897">
              <w:rPr>
                <w:rFonts w:ascii="Times New Roman" w:hAnsi="Times New Roman" w:cs="Times New Roman"/>
                <w:sz w:val="20"/>
                <w:szCs w:val="20"/>
                <w:lang w:val="en-US"/>
              </w:rPr>
              <w:fldChar w:fldCharType="end"/>
            </w:r>
          </w:p>
        </w:tc>
      </w:tr>
      <w:tr w:rsidR="008F7E4A" w:rsidRPr="00BC0897" w:rsidTr="007B380E">
        <w:trPr>
          <w:trHeight w:val="282"/>
        </w:trPr>
        <w:tc>
          <w:tcPr>
            <w:tcW w:w="846" w:type="dxa"/>
            <w:noWrap/>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c.1889-1890delC</w:t>
            </w:r>
          </w:p>
        </w:tc>
        <w:tc>
          <w:tcPr>
            <w:tcW w:w="1872"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p.His631Thrfs*25</w:t>
            </w:r>
          </w:p>
        </w:tc>
        <w:tc>
          <w:tcPr>
            <w:tcW w:w="2835"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Normal</w:t>
            </w:r>
          </w:p>
        </w:tc>
        <w:tc>
          <w:tcPr>
            <w:tcW w:w="2555"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Normal</w:t>
            </w:r>
          </w:p>
        </w:tc>
        <w:tc>
          <w:tcPr>
            <w:tcW w:w="1985"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002E3128" w:rsidRPr="00BC0897">
              <w:rPr>
                <w:rFonts w:ascii="Times New Roman" w:hAnsi="Times New Roman" w:cs="Times New Roman"/>
                <w:sz w:val="20"/>
                <w:szCs w:val="20"/>
                <w:lang w:val="en-US"/>
              </w:rPr>
              <w:instrText xml:space="preserve"> ADDIN ZOTERO_ITEM CSL_CITATION {"citationID":"vXTXrczf","properties":{"formattedCitation":"(Deng et al. 2020)","plainCitation":"(Deng et al. 2020)","noteIndex":0},"citationItems":[{"id":2533,"uris":["http://zotero.org/users/local/jkkvYBSC/items/5ERYPQ5M"],"uri":["http://zotero.org/users/local/jkkvYBSC/items/5ERYPQ5M"],"itemData":{"id":2533,"type":"article-journal","abstract":"BACKGROUND: To characterize the phenotypic spectrum and assess the antialbuminuric response to angiotensin converting enzyme (ACE) inhibitor and/or angiotensin receptor blocker (ARB) therapy in a cohort of children with Dent disease.\nMETHODS: The patients' clinical findings, renal biopsy results, genetic and follow-up data were analyzed retrospectively. Mutations in CLCN5 or OCRL were detected by next-generation sequencing or Sanger sequencing.\nRESULTS: Of 31 Dent disease boys, 24 carried CLCN5 and 7 carried OCRL mutations. Low molecular weight proteinuria and albuminuria were detected in all cases. Nephrotic-range proteinuria and severe albuminuria were identified in 52% and 62% of cases, respectively; by 7 years of age, 6 patients had hematuria and nephrotic-range proteinuria, and 7 patients had hematuria and moderate to severe albuminuria. In addition to disease-related renal features, patients with Dent-1 disease also presented with congenital cataract (1/9) and developmental delay (2/7). Seventeen of 31 patients underwent renal biopsy. Glomerular changes included mild glomerular lesions, mesangial proliferative glomerulonephritis and focal segmental glomerular sclerosis. Thirteen of the 31 patients had follow-up records and received ACE inhibitor and/or ARB treatment for more than 3 months. After a median 1.7 (range 0.3-8.5) years of treatment, a reduction in the urinary microalbumin-to-creatinine ratio was observed in 54% of children.\nCONCLUSIONS: Hematuria with nephrotic-range proteinuria or moderate to severe albuminuria was common in Dent disease patients. Extrarenal manifestations were observed in Dent-1 patients, which extends the phenotypic spectrum. In addition, ACE inhibitors and ARBs are well tolerated, and they are partially effective in controlling albuminuria.","container-title":"Molecular Genetics &amp; Genomic Medicine","DOI":"10.1002/mgg3.1306","ISSN":"2324-9269","journalAbbreviation":"Mol Genet Genomic Med","language":"eng","note":"PMID: 32495484","page":"e1306","source":"PubMed","title":"Phenotypic spectrum and antialbuminuric response to angiotensin converting enzyme inhibitor and angiotensin receptor blocker therapy in pediatric Dent disease","author":[{"family":"Deng","given":"Haiyue"},{"family":"Zhang","given":"Yanqin"},{"family":"Xiao","given":"Huijie"},{"family":"Yao","given":"Yong"},{"family":"Zhang","given":"Hongwen"},{"family":"Liu","given":"Xiaoyu"},{"family":"Su","given":"Baige"},{"family":"Guan","given":"Na"},{"family":"Zhong","given":"Xuhui"},{"family":"Wang","given":"Suxia"},{"family":"Ding","given":"Jie"},{"family":"Wang","given":"Fang"}],"issued":{"date-parts":[["2020",6,3]]}}}],"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lang w:val="en-US"/>
              </w:rPr>
              <w:t>(Deng et al. 2020)</w:t>
            </w:r>
            <w:r w:rsidRPr="00BC0897">
              <w:rPr>
                <w:rFonts w:ascii="Times New Roman" w:hAnsi="Times New Roman" w:cs="Times New Roman"/>
                <w:sz w:val="20"/>
                <w:szCs w:val="20"/>
                <w:lang w:val="en-US"/>
              </w:rPr>
              <w:fldChar w:fldCharType="end"/>
            </w:r>
          </w:p>
        </w:tc>
      </w:tr>
      <w:tr w:rsidR="008F7E4A" w:rsidRPr="00BC0897" w:rsidTr="007B380E">
        <w:trPr>
          <w:trHeight w:val="273"/>
        </w:trPr>
        <w:tc>
          <w:tcPr>
            <w:tcW w:w="846" w:type="dxa"/>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p>
        </w:tc>
        <w:tc>
          <w:tcPr>
            <w:tcW w:w="1872"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p.Arg637*</w:t>
            </w:r>
          </w:p>
        </w:tc>
        <w:tc>
          <w:tcPr>
            <w:tcW w:w="283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Mesangial proliferation</w:t>
            </w:r>
          </w:p>
        </w:tc>
        <w:tc>
          <w:tcPr>
            <w:tcW w:w="255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Calcium crystal deposition</w:t>
            </w:r>
          </w:p>
        </w:tc>
        <w:tc>
          <w:tcPr>
            <w:tcW w:w="198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Negative</w:t>
            </w:r>
          </w:p>
        </w:tc>
        <w:tc>
          <w:tcPr>
            <w:tcW w:w="1701"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00040F98" w:rsidRPr="00BC0897">
              <w:rPr>
                <w:rFonts w:ascii="Times New Roman" w:hAnsi="Times New Roman" w:cs="Times New Roman"/>
                <w:sz w:val="20"/>
                <w:szCs w:val="20"/>
                <w:lang w:val="en-US"/>
              </w:rPr>
              <w:instrText xml:space="preserve"> ADDIN ZOTERO_ITEM CSL_CITATION {"citationID":"vO9Jlmo4","properties":{"formattedCitation":"(Takemura et al. 2001)","plainCitation":"(Takemura et al. 2001)","noteIndex":0},"citationItems":[{"id":1459,"uris":["http://zotero.org/users/local/jkkvYBSC/items/5IGPCBQ9"],"uri":["http://zotero.org/users/local/jkkvYBSC/items/5IGPCBQ9"],"itemData":{"id":1459,"type":"article-journal","abstract":"Two Japanese patients, belonging to unrelated families, with idiopathic low-molecular-weight proteinuria (LMWP; Japanese Dent's disease) showed novel mutations of the gene encoding renal-specific chloride channel 5 (CLC-5). Proteinuria was first noticed at the ages of 2 and 3 years in patients 1 and 2, respectively. During follow-up, marked increases in urinary ss(2)-microglobulin levels, hypercalciuria, and high levels of urinary excretion of growth hormone were observed in both patients. Nephrocalcinosis was detected in patient 2. Renal biopsy specimens from both patients showed minimal alterations in glomeruli and tubulointerstitium, except for mild mesangial proliferation in patient 2. DNA sequence analysis of the entire 2,238-bp coding region and exon-intron boundaries of the CLCN5 gene showed the presence of two novel mutations in exon 10, consisting of one missense mutation (I524K) in patient 1 and one nonsense mutation (R637X) in patient 2. DNA analysis and measurement of urinary ss(2)-microglobulin levels in family members indicated an X-linked mode of inheritance in patient 1 and sporadic occurrence in patient 2. These results have expanded our understanding of the association between idiopathic LMWP (Japanese Dent's disease) and mutations of the CLCN5 gene.","container-title":"American Journal of Kidney Diseases: The Official Journal of the National Kidney Foundation","DOI":"10.1016/s0272-6386(01)80067-6","ISSN":"1523-6838","issue":"1","journalAbbreviation":"Am. J. Kidney Dis.","language":"eng","note":"PMID: 11136179","page":"138-143","source":"PubMed","title":"Identification of two novel mutations in the CLCN5 gene in Japanese patients with familial idiopathic low molecular weight proteinuria (Japanese Dent's disease)","volume":"37","author":[{"family":"Takemura","given":"T."},{"family":"Hino","given":"S."},{"family":"Ikeda","given":"M."},{"family":"Okada","given":"M."},{"family":"Igarashi","given":"T."},{"family":"Inatomi","given":"J."},{"family":"Yoshioka","given":"K."}],"issued":{"date-parts":[["2001",1]]}}}],"schema":"https://github.com/citation-style-language/schema/raw/master/csl-citation.json"} </w:instrText>
            </w:r>
            <w:r w:rsidRPr="00BC0897">
              <w:rPr>
                <w:rFonts w:ascii="Times New Roman" w:hAnsi="Times New Roman" w:cs="Times New Roman"/>
                <w:sz w:val="20"/>
                <w:szCs w:val="20"/>
                <w:lang w:val="en-US"/>
              </w:rPr>
              <w:fldChar w:fldCharType="separate"/>
            </w:r>
            <w:r w:rsidR="00040F98" w:rsidRPr="00BC0897">
              <w:rPr>
                <w:rFonts w:ascii="Times New Roman" w:hAnsi="Times New Roman" w:cs="Times New Roman"/>
                <w:sz w:val="20"/>
              </w:rPr>
              <w:t>(Takemura et al. 2001)</w:t>
            </w:r>
            <w:r w:rsidRPr="00BC0897">
              <w:rPr>
                <w:rFonts w:ascii="Times New Roman" w:hAnsi="Times New Roman" w:cs="Times New Roman"/>
                <w:sz w:val="20"/>
                <w:szCs w:val="20"/>
                <w:lang w:val="en-US"/>
              </w:rPr>
              <w:fldChar w:fldCharType="end"/>
            </w:r>
          </w:p>
        </w:tc>
      </w:tr>
      <w:tr w:rsidR="008F7E4A" w:rsidRPr="00BC0897" w:rsidTr="007B380E">
        <w:trPr>
          <w:trHeight w:val="267"/>
        </w:trPr>
        <w:tc>
          <w:tcPr>
            <w:tcW w:w="846" w:type="dxa"/>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p>
        </w:tc>
        <w:tc>
          <w:tcPr>
            <w:tcW w:w="1872"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p.Arg637*</w:t>
            </w:r>
          </w:p>
        </w:tc>
        <w:tc>
          <w:tcPr>
            <w:tcW w:w="283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Normal</w:t>
            </w:r>
          </w:p>
        </w:tc>
        <w:tc>
          <w:tcPr>
            <w:tcW w:w="255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Focal medullary calcification</w:t>
            </w:r>
          </w:p>
        </w:tc>
        <w:tc>
          <w:tcPr>
            <w:tcW w:w="198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00621AE4" w:rsidRPr="00BC0897">
              <w:rPr>
                <w:rFonts w:ascii="Times New Roman" w:hAnsi="Times New Roman" w:cs="Times New Roman"/>
                <w:sz w:val="20"/>
                <w:szCs w:val="20"/>
                <w:lang w:val="en-US"/>
              </w:rPr>
              <w:instrText xml:space="preserve"> ADDIN ZOTERO_ITEM CSL_CITATION {"citationID":"504ao4jq","properties":{"formattedCitation":"(Cheong et al. 2005)","plainCitation":"(Cheong et al. 2005)","noteIndex":0},"citationItems":[{"id":1441,"uris":["http://zotero.org/users/local/jkkvYBSC/items/XYSK6TXN"],"uri":["http://zotero.org/users/local/jkkvYBSC/items/XYSK6TXN"],"itemData":{"id":1441,"type":"article-journal","abstract":"Dent's disease is a hereditary renal tubular disorder caused by mutations of the CLCN5 gene and is clinically characterized by low molecular weight proteinuria, hypercalciuria and nephrocalcinosis. This disease has been reported in several countries. However, there are some phenotypic differences between countries, such as hypophosphatemic rickets, progressive renal failure and hematuria. In this study, phenotypes were analyzed in three Korean boys with Dent's disease, and genetic diagnoses were performed using a new convenient method using peripheral blood RNA. Gene studies revealed two nonsense mutations, R637X in two patients and E609X in one patient. The phenotypes of the two patients with R637X were very similar to those of Japanese patients, i.e., they presented with asymptomatic proteinuria without rickets, renal failure or hematuria. The E609X patient was diagnosed genetically at 3 months of age before the onset of clinical symptoms because of superimposed furosemide-induced nephrolithiasis. This is the first report to characterize mutations in the CLCN5 gene in Korean patients with Dent's disease, and expands the spectrum of CLCN5 mutations by reporting a novel mutation, E609X. In addition, the mutational analysis using peripheral blood RNA can be easily applied in the clinical diagnosis.","container-title":"Pediatric Nephrology (Berlin, Germany)","DOI":"10.1007/s00467-004-1769-5","ISSN":"0931-041X","issue":"4","journalAbbreviation":"Pediatr. Nephrol.","language":"eng","note":"PMID: 15719255","page":"455-459","source":"PubMed","title":"Phenotype and genotype of Dent's disease in three Korean boys","volume":"20","author":[{"family":"Cheong","given":"Hae Il"},{"family":"Lee","given":"Jung Won"},{"family":"Zheng","given":"Shou Huan"},{"family":"Lee","given":"Joo Hoon"},{"family":"Kang","given":"Ju Hyung"},{"family":"Kang","given":"Hee Gyung"},{"family":"Ha","given":"Il Soo"},{"family":"Lee","given":"Seung Joo"},{"family":"Choi","given":"Yong"}],"issued":{"date-parts":[["2005",4]]}}}],"schema":"https://github.com/citation-style-language/schema/raw/master/csl-citation.json"} </w:instrText>
            </w:r>
            <w:r w:rsidRPr="00BC0897">
              <w:rPr>
                <w:rFonts w:ascii="Times New Roman" w:hAnsi="Times New Roman" w:cs="Times New Roman"/>
                <w:sz w:val="20"/>
                <w:szCs w:val="20"/>
                <w:lang w:val="en-US"/>
              </w:rPr>
              <w:fldChar w:fldCharType="separate"/>
            </w:r>
            <w:r w:rsidR="00621AE4" w:rsidRPr="00BC0897">
              <w:rPr>
                <w:rFonts w:ascii="Times New Roman" w:hAnsi="Times New Roman" w:cs="Times New Roman"/>
                <w:sz w:val="20"/>
              </w:rPr>
              <w:t>(Cheong et al. 2005)</w:t>
            </w:r>
            <w:r w:rsidRPr="00BC0897">
              <w:rPr>
                <w:rFonts w:ascii="Times New Roman" w:hAnsi="Times New Roman" w:cs="Times New Roman"/>
                <w:sz w:val="20"/>
                <w:szCs w:val="20"/>
                <w:lang w:val="en-US"/>
              </w:rPr>
              <w:fldChar w:fldCharType="end"/>
            </w:r>
          </w:p>
        </w:tc>
      </w:tr>
      <w:tr w:rsidR="008F7E4A" w:rsidRPr="00BC0897" w:rsidTr="007B380E">
        <w:trPr>
          <w:trHeight w:val="600"/>
        </w:trPr>
        <w:tc>
          <w:tcPr>
            <w:tcW w:w="846" w:type="dxa"/>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p>
        </w:tc>
        <w:tc>
          <w:tcPr>
            <w:tcW w:w="1872"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p.Arg648*</w:t>
            </w:r>
          </w:p>
        </w:tc>
        <w:tc>
          <w:tcPr>
            <w:tcW w:w="283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FGGS, Mesangial proliferation without mesangial matrix expansion</w:t>
            </w:r>
          </w:p>
        </w:tc>
        <w:tc>
          <w:tcPr>
            <w:tcW w:w="255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Normal</w:t>
            </w:r>
          </w:p>
        </w:tc>
        <w:tc>
          <w:tcPr>
            <w:tcW w:w="198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Sample unsuitable for analysis</w:t>
            </w:r>
          </w:p>
        </w:tc>
        <w:tc>
          <w:tcPr>
            <w:tcW w:w="1559"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Negative</w:t>
            </w:r>
          </w:p>
        </w:tc>
        <w:tc>
          <w:tcPr>
            <w:tcW w:w="1701"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{"citationID":"vWAWLp0N","properties":{"formattedCitation":"(Frishberg et al. 2009)","plainCitation":"(Frishberg et al. 2009)","noteIndex":0},"citationItems":[{"id":252,"uris":["http://zotero.org/users/local/jkkvYBSC/items/F9K9WMU6"],"uri":["http://zotero.org/users/local/jkkvYBSC/items/F9K9WMU6"],"itemData":{"id":252,"type":"article-journal","abstract":"Dent's disease is an X-linked proximal tubulopathy. It often manifests in childhood with symptoms of Fanconi syndrome and low-molecular-weight proteinuria. We describe four boys from three unrelated families whose only presenting symptoms of Dent's disease were nephrotic-range proteinuria and histological findings of focal segmental and/or global glomerulosclerosis. In all families, a causal mutation in the CLCN5 gene, encoding a voltage-gated chloride transporter and chloride-proton exchanger, was identified. All three mutations are pathogenic: two are novel (p.Asp727fs and p.Trp122X), and one is a recurrent mutation, p.R648X. Given the atypical phenotype of these patients with Dent's disease, it is possible that this clinical entity is markedly underdiagnosed and that our report represents only the tip of the iceberg. The diagnosis of Dent's disease should be considered in all patients with nephrotic-range proteinuria without hypoalbuminemia or edema. Establishing the diagnosis of Dent's disease will prevent the administration of unnecessary immunosuppressive medications with their undesirable side effects.","container-title":"Pediatric Nephrology (Berlin, Germany)","DOI":"10.1007/s00467-009-1299-2","ISSN":"1432-198X","issue":"12","journalAbbreviation":"Pediatr. Nephrol.","language":"eng","note":"PMID: 19806368","page":"2369-2373","source":"PubMed","title":"Dent's disease manifesting as focal glomerulosclerosis: Is it the tip of the iceberg?","title-short":"Dent's disease manifesting as focal glomerulosclerosis","volume":"24","author":[{"family":"Frishberg","given":"Yaacov"},{"family":"Dinour","given":"Dganit"},{"family":"Belostotsky","given":"Ruth"},{"family":"Becker-Cohen","given":"Rachel"},{"family":"Rinat","given":"Choni"},{"family":"Feinstein","given":"Sofia"},{"family":"Navon-Elkan","given":"Paulina"},{"family":"Ben-Shalom","given":"Efrat"}],"issued":{"date-parts":[["2009",12]]}}}],"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szCs w:val="20"/>
              </w:rPr>
              <w:t>(Frishberg et al. 2009)</w:t>
            </w:r>
            <w:r w:rsidRPr="00BC0897">
              <w:rPr>
                <w:rFonts w:ascii="Times New Roman" w:hAnsi="Times New Roman" w:cs="Times New Roman"/>
                <w:sz w:val="20"/>
                <w:szCs w:val="20"/>
                <w:lang w:val="en-US"/>
              </w:rPr>
              <w:fldChar w:fldCharType="end"/>
            </w:r>
          </w:p>
        </w:tc>
      </w:tr>
      <w:tr w:rsidR="008F7E4A" w:rsidRPr="002212C2" w:rsidTr="007B380E">
        <w:trPr>
          <w:trHeight w:val="271"/>
        </w:trPr>
        <w:tc>
          <w:tcPr>
            <w:tcW w:w="846" w:type="dxa"/>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 §</w:t>
            </w:r>
          </w:p>
        </w:tc>
        <w:tc>
          <w:tcPr>
            <w:tcW w:w="1843"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p>
        </w:tc>
        <w:tc>
          <w:tcPr>
            <w:tcW w:w="1872"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P.Arg648*</w:t>
            </w:r>
          </w:p>
        </w:tc>
        <w:tc>
          <w:tcPr>
            <w:tcW w:w="283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Normal</w:t>
            </w:r>
          </w:p>
        </w:tc>
        <w:tc>
          <w:tcPr>
            <w:tcW w:w="255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Calcification</w:t>
            </w:r>
          </w:p>
        </w:tc>
        <w:tc>
          <w:tcPr>
            <w:tcW w:w="198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hideMark/>
          </w:tcPr>
          <w:p w:rsidR="005336D6" w:rsidRPr="00BC0897" w:rsidRDefault="005336D6" w:rsidP="008F7E4A">
            <w:pPr>
              <w:spacing w:after="0"/>
              <w:jc w:val="center"/>
              <w:rPr>
                <w:rFonts w:ascii="Times New Roman" w:hAnsi="Times New Roman" w:cs="Times New Roman"/>
                <w:sz w:val="20"/>
                <w:szCs w:val="20"/>
                <w:lang w:val="en-US"/>
              </w:rPr>
            </w:pPr>
          </w:p>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{"citationID":"mnh3wxWH","properties":{"formattedCitation":"(Igarashi et al. 1998)","plainCitation":"(Igarashi et al. 1998)","noteIndex":0},"citationItems":[{"id":332,"uris":["http://zotero.org/users/local/jkkvYBSC/items/CP8UYL58"],"uri":["http://zotero.org/users/local/jkkvYBSC/items/CP8UYL58"],"itemData":{"id":332,"type":"article-journal","abstract":"BACKGROUND: The annual urinary screening of Japanese children above three years of age has identified a progressive renal tubular disorder characterized by low molecular weight proteinuria, hypercalciuria and nephrocalcinosis, and this represents a variant of Dent's disease. Hitherto, 12 mutations of the X-linked renal specific chloride channel, CLCN5, have been reported in the Dent'sJapan variant. To further identify such CLCN5 mutations and to define the structure-function relationships of this channel, we have investigated five unrelated, non-consanguinous Japanese families with this disorder.\nMETHODS: Leukocyte DNA from probands was used with CLCN5 primers for PCR amplification of the coding region, and the DNA sequences of the products determined. Functional studies were performed by expressing the mutants in Xenopus oocytes.\nRESULTS: Five CLCN5 mutations consisting of two nonsense (R648X and R704X), two missense (S270R and L278F) and one acceptor splice site mutation (ag--&gt;cg) in intron 4 were identified. The missense and splice site mutations represent novel abnormalities. Heterologous expression in Xenopus oocytes of wild-type and the missense mutants demonstrated that the mutations, which were translated, either abolished or markedly reduced chloride conductance.\nCONCLUSIONS: These results expand the spectrum of CLCN5 mutations associated with this renal disorder and provide insight into possible structure-function relationships. For example, both the missense mutations are located within a short putative loop between two transmembrane domains, and our results suggest that this region may have an important functional role in the regulation of channel activity.","container-title":"Kidney International","DOI":"10.1046/j.1523-1755.1998.00203.x","ISSN":"0085-2538","issue":"6","journalAbbreviation":"Kidney Int.","language":"eng","note":"PMID: 9853249","page":"1850-1856","source":"PubMed","title":"Functional characterization of renal chloride channel, CLCN5, mutations associated with Dent'sJapan disease","volume":"54","author":[{"family":"Igarashi","given":"T."},{"family":"Günther","given":"W."},{"family":"Sekine","given":"T."},{"family":"Inatomi","given":"J."},{"family":"Shiraga","given":"H."},{"family":"Takahashi","given":"S."},{"family":"Suzuki","given":"J."},{"family":"Tsuru","given":"N."},{"family":"Yanagihara","given":"T."},{"family":"Shimazu","given":"M."},{"family":"Jentsch","given":"T. J."},{"family":"Thakker","given":"R. V."}],"issued":{"date-parts":[["1998",12]]}}}],"schema":"https://github.com/citation-style-language/schema/raw/master/csl-citation.json"}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szCs w:val="20"/>
                <w:lang w:val="en-US"/>
              </w:rPr>
              <w:t>(Igarashi et al. 1998)</w:t>
            </w:r>
            <w:r w:rsidRPr="00BC0897">
              <w:rPr>
                <w:rFonts w:ascii="Times New Roman" w:hAnsi="Times New Roman" w:cs="Times New Roman"/>
                <w:sz w:val="20"/>
                <w:szCs w:val="20"/>
                <w:lang w:val="en-US"/>
              </w:rPr>
              <w:fldChar w:fldCharType="end"/>
            </w:r>
          </w:p>
        </w:tc>
      </w:tr>
      <w:tr w:rsidR="005336D6" w:rsidRPr="002212C2" w:rsidTr="00BA526F">
        <w:trPr>
          <w:trHeight w:val="300"/>
        </w:trPr>
        <w:tc>
          <w:tcPr>
            <w:tcW w:w="846" w:type="dxa"/>
            <w:vMerge w:val="restart"/>
            <w:vAlign w:val="center"/>
            <w:hideMark/>
          </w:tcPr>
          <w:p w:rsidR="005336D6" w:rsidRPr="00BC0897" w:rsidRDefault="005336D6"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lastRenderedPageBreak/>
              <w:t>Dent disease type</w:t>
            </w:r>
          </w:p>
        </w:tc>
        <w:tc>
          <w:tcPr>
            <w:tcW w:w="3715" w:type="dxa"/>
            <w:gridSpan w:val="2"/>
            <w:vAlign w:val="center"/>
            <w:hideMark/>
          </w:tcPr>
          <w:p w:rsidR="005336D6" w:rsidRPr="00BC0897" w:rsidRDefault="005336D6"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Mutation</w:t>
            </w:r>
          </w:p>
        </w:tc>
        <w:tc>
          <w:tcPr>
            <w:tcW w:w="5390" w:type="dxa"/>
            <w:gridSpan w:val="2"/>
            <w:vAlign w:val="center"/>
            <w:hideMark/>
          </w:tcPr>
          <w:p w:rsidR="005336D6" w:rsidRPr="00BC0897" w:rsidRDefault="005336D6"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Histology</w:t>
            </w:r>
          </w:p>
        </w:tc>
        <w:tc>
          <w:tcPr>
            <w:tcW w:w="1985" w:type="dxa"/>
            <w:vMerge w:val="restart"/>
            <w:vAlign w:val="center"/>
            <w:hideMark/>
          </w:tcPr>
          <w:p w:rsidR="005336D6" w:rsidRPr="00BC0897" w:rsidRDefault="005336D6"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TEM</w:t>
            </w:r>
          </w:p>
        </w:tc>
        <w:tc>
          <w:tcPr>
            <w:tcW w:w="1559" w:type="dxa"/>
            <w:vMerge w:val="restart"/>
            <w:vAlign w:val="center"/>
            <w:hideMark/>
          </w:tcPr>
          <w:p w:rsidR="005336D6" w:rsidRPr="00BC0897" w:rsidRDefault="005336D6"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IF</w:t>
            </w:r>
          </w:p>
        </w:tc>
        <w:tc>
          <w:tcPr>
            <w:tcW w:w="1701" w:type="dxa"/>
            <w:vMerge w:val="restart"/>
            <w:vAlign w:val="center"/>
            <w:hideMark/>
          </w:tcPr>
          <w:p w:rsidR="005336D6" w:rsidRPr="00BC0897" w:rsidRDefault="005336D6"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Ref</w:t>
            </w:r>
          </w:p>
        </w:tc>
      </w:tr>
      <w:tr w:rsidR="005336D6" w:rsidRPr="002212C2" w:rsidTr="00BA526F">
        <w:trPr>
          <w:trHeight w:val="258"/>
        </w:trPr>
        <w:tc>
          <w:tcPr>
            <w:tcW w:w="846" w:type="dxa"/>
            <w:vMerge/>
            <w:vAlign w:val="center"/>
            <w:hideMark/>
          </w:tcPr>
          <w:p w:rsidR="005336D6" w:rsidRPr="00BC0897" w:rsidRDefault="005336D6" w:rsidP="00BA526F">
            <w:pPr>
              <w:spacing w:after="0"/>
              <w:jc w:val="center"/>
              <w:rPr>
                <w:rFonts w:ascii="Times New Roman" w:hAnsi="Times New Roman" w:cs="Times New Roman"/>
                <w:b/>
                <w:bCs/>
                <w:sz w:val="20"/>
                <w:szCs w:val="20"/>
                <w:lang w:val="en-US"/>
              </w:rPr>
            </w:pPr>
          </w:p>
        </w:tc>
        <w:tc>
          <w:tcPr>
            <w:tcW w:w="1843" w:type="dxa"/>
            <w:vAlign w:val="center"/>
            <w:hideMark/>
          </w:tcPr>
          <w:p w:rsidR="005336D6" w:rsidRPr="00BC0897" w:rsidRDefault="005336D6"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Nucleotide</w:t>
            </w:r>
          </w:p>
        </w:tc>
        <w:tc>
          <w:tcPr>
            <w:tcW w:w="1872" w:type="dxa"/>
            <w:vAlign w:val="center"/>
            <w:hideMark/>
          </w:tcPr>
          <w:p w:rsidR="005336D6" w:rsidRPr="00BC0897" w:rsidRDefault="005336D6"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Protein</w:t>
            </w:r>
          </w:p>
        </w:tc>
        <w:tc>
          <w:tcPr>
            <w:tcW w:w="2835" w:type="dxa"/>
            <w:vAlign w:val="center"/>
            <w:hideMark/>
          </w:tcPr>
          <w:p w:rsidR="005336D6" w:rsidRPr="00BC0897" w:rsidRDefault="005336D6"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Glomerular</w:t>
            </w:r>
          </w:p>
        </w:tc>
        <w:tc>
          <w:tcPr>
            <w:tcW w:w="2555" w:type="dxa"/>
            <w:vAlign w:val="center"/>
            <w:hideMark/>
          </w:tcPr>
          <w:p w:rsidR="005336D6" w:rsidRPr="00BC0897" w:rsidRDefault="005336D6"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Interstitial</w:t>
            </w:r>
          </w:p>
        </w:tc>
        <w:tc>
          <w:tcPr>
            <w:tcW w:w="1985" w:type="dxa"/>
            <w:vMerge/>
            <w:vAlign w:val="center"/>
            <w:hideMark/>
          </w:tcPr>
          <w:p w:rsidR="005336D6" w:rsidRPr="00BC0897" w:rsidRDefault="005336D6" w:rsidP="00BA526F">
            <w:pPr>
              <w:spacing w:after="0"/>
              <w:jc w:val="center"/>
              <w:rPr>
                <w:rFonts w:ascii="Times New Roman" w:hAnsi="Times New Roman" w:cs="Times New Roman"/>
                <w:b/>
                <w:bCs/>
                <w:sz w:val="20"/>
                <w:szCs w:val="20"/>
                <w:lang w:val="en-US"/>
              </w:rPr>
            </w:pPr>
          </w:p>
        </w:tc>
        <w:tc>
          <w:tcPr>
            <w:tcW w:w="1559" w:type="dxa"/>
            <w:vMerge/>
            <w:vAlign w:val="center"/>
            <w:hideMark/>
          </w:tcPr>
          <w:p w:rsidR="005336D6" w:rsidRPr="00BC0897" w:rsidRDefault="005336D6" w:rsidP="00BA526F">
            <w:pPr>
              <w:spacing w:after="0"/>
              <w:jc w:val="center"/>
              <w:rPr>
                <w:rFonts w:ascii="Times New Roman" w:hAnsi="Times New Roman" w:cs="Times New Roman"/>
                <w:b/>
                <w:bCs/>
                <w:sz w:val="20"/>
                <w:szCs w:val="20"/>
                <w:lang w:val="en-US"/>
              </w:rPr>
            </w:pPr>
          </w:p>
        </w:tc>
        <w:tc>
          <w:tcPr>
            <w:tcW w:w="1701" w:type="dxa"/>
            <w:vMerge/>
            <w:vAlign w:val="center"/>
            <w:hideMark/>
          </w:tcPr>
          <w:p w:rsidR="005336D6" w:rsidRPr="00BC0897" w:rsidRDefault="005336D6" w:rsidP="00BA526F">
            <w:pPr>
              <w:spacing w:after="0"/>
              <w:jc w:val="center"/>
              <w:rPr>
                <w:rFonts w:ascii="Times New Roman" w:hAnsi="Times New Roman" w:cs="Times New Roman"/>
                <w:b/>
                <w:bCs/>
                <w:sz w:val="20"/>
                <w:szCs w:val="20"/>
                <w:lang w:val="en-US"/>
              </w:rPr>
            </w:pPr>
          </w:p>
        </w:tc>
      </w:tr>
      <w:tr w:rsidR="008F7E4A" w:rsidRPr="002212C2" w:rsidTr="007B380E">
        <w:trPr>
          <w:trHeight w:val="275"/>
        </w:trPr>
        <w:tc>
          <w:tcPr>
            <w:tcW w:w="846" w:type="dxa"/>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 §</w:t>
            </w:r>
          </w:p>
        </w:tc>
        <w:tc>
          <w:tcPr>
            <w:tcW w:w="1843"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p>
        </w:tc>
        <w:tc>
          <w:tcPr>
            <w:tcW w:w="1872"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P.Arg648*</w:t>
            </w:r>
          </w:p>
        </w:tc>
        <w:tc>
          <w:tcPr>
            <w:tcW w:w="283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Glomerulosclerosis</w:t>
            </w:r>
          </w:p>
        </w:tc>
        <w:tc>
          <w:tcPr>
            <w:tcW w:w="255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Calcification</w:t>
            </w:r>
          </w:p>
        </w:tc>
        <w:tc>
          <w:tcPr>
            <w:tcW w:w="198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hideMark/>
          </w:tcPr>
          <w:p w:rsidR="008F7E4A" w:rsidRPr="00BC0897" w:rsidRDefault="008F7E4A" w:rsidP="00D86D41">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{"citationID":"s0YcCBiW","properties":{"formattedCitation":"(Igarashi et al. 1998)","plainCitation":"(Igarashi et al. 1998)","noteIndex":0},"citationItems":[{"id":332,"uris":["http://zotero.org/users/local/jkkvYBSC/items/CP8UYL58"],"uri":["http://zotero.org/users/local/jkkvYBSC/items/CP8UYL58"],"itemData":{"id":332,"type":"article-journal","abstract":"BACKGROUND: The annual urinary screening of Japanese children above three years of age has identified a progressive renal tubular disorder characterized by low molecular weight proteinuria, hypercalciuria and nephrocalcinosis, and this represents a variant of Dent's disease. Hitherto, 12 mutations of the X-linked renal specific chloride channel, CLCN5, have been reported in the Dent'sJapan variant. To further identify such CLCN5 mutations and to define the structure-function relationships of this channel, we have investigated five unrelated, non-consanguinous Japanese families with this disorder.\nMETHODS: Leukocyte DNA from probands was used with CLCN5 primers for PCR amplification of the coding region, and the DNA sequences of the products determined. Functional studies were performed by expressing the mutants in Xenopus oocytes.\nRESULTS: Five CLCN5 mutations consisting of two nonsense (R648X and R704X), two missense (S270R and L278F) and one acceptor splice site mutation (ag--&gt;cg) in intron 4 were identified. The missense and splice site mutations represent novel abnormalities. Heterologous expression in Xenopus oocytes of wild-type and the missense mutants demonstrated that the mutations, which were translated, either abolished or markedly reduced chloride conductance.\nCONCLUSIONS: These results expand the spectrum of CLCN5 mutations associated with this renal disorder and provide insight into possible structure-function relationships. For example, both the missense mutations are located within a short putative loop between two transmembrane domains, and our results suggest that this region may have an important functional role in the regulation of channel activity.","container-title":"Kidney International","DOI":"10.1046/j.1523-1755.1998.00203.x","ISSN":"0085-2538","issue":"6","journalAbbreviation":"Kidney Int.","language":"eng","note":"PMID: 9853249","page":"1850-1856","source":"PubMed","title":"Functional characterization of renal chloride channel, CLCN5, mutations associated with Dent'sJapan disease","volume":"54","author":[{"family":"Igarashi","given":"T."},{"family":"Günther","given":"W."},{"family":"Sekine","given":"T."},{"family":"Inatomi","given":"J."},{"family":"Shiraga","given":"H."},{"family":"Takahashi","given":"S."},{"family":"Suzuki","given":"J."},{"family":"Tsuru","given":"N."},{"family":"Yanagihara","given":"T."},{"family":"Shimazu","given":"M."},{"family":"Jentsch","given":"T. J."},{"family":"Thakker","given":"R. V."}],"issued":{"date-parts":[["1998",12]]}}}],"schema":"https://github.com/citation-style-language/schema/raw/master/csl-citation.json"}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szCs w:val="20"/>
                <w:lang w:val="en-US"/>
              </w:rPr>
              <w:t>(Igarashi et al. 1998)</w:t>
            </w:r>
            <w:r w:rsidRPr="00BC0897">
              <w:rPr>
                <w:rFonts w:ascii="Times New Roman" w:hAnsi="Times New Roman" w:cs="Times New Roman"/>
                <w:sz w:val="20"/>
                <w:szCs w:val="20"/>
                <w:lang w:val="en-US"/>
              </w:rPr>
              <w:fldChar w:fldCharType="end"/>
            </w:r>
          </w:p>
        </w:tc>
      </w:tr>
      <w:tr w:rsidR="008F7E4A" w:rsidRPr="002212C2" w:rsidTr="00BB319F">
        <w:trPr>
          <w:trHeight w:val="282"/>
        </w:trPr>
        <w:tc>
          <w:tcPr>
            <w:tcW w:w="846" w:type="dxa"/>
            <w:noWrap/>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c.1975delC</w:t>
            </w:r>
          </w:p>
        </w:tc>
        <w:tc>
          <w:tcPr>
            <w:tcW w:w="1872"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p.Arg659Glyfs*7</w:t>
            </w:r>
          </w:p>
        </w:tc>
        <w:tc>
          <w:tcPr>
            <w:tcW w:w="2835"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FSGS</w:t>
            </w:r>
          </w:p>
        </w:tc>
        <w:tc>
          <w:tcPr>
            <w:tcW w:w="2555"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Chronic tubulointerstitial damage</w:t>
            </w:r>
          </w:p>
        </w:tc>
        <w:tc>
          <w:tcPr>
            <w:tcW w:w="1985"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{"citationID":"jbTQHdB5","properties":{"formattedCitation":"(Deng et al. 2020)","plainCitation":"(Deng et al. 2020)","noteIndex":0},"citationItems":[{"id":2533,"uris":["http://zotero.org/users/local/jkkvYBSC/items/5ERYPQ5M"],"uri":["http://zotero.org/users/local/jkkvYBSC/items/5ERYPQ5M"],"itemData":{"id":2533,"type":"article-journal","abstract":"BACKGROUND: To characterize the phenotypic spectrum and assess the antialbuminuric response to angiotensin converting enzyme (ACE) inhibitor and/or angiotensin receptor blocker (ARB) therapy in a cohort of children with Dent disease.\nMETHODS: The patients' clinical findings, renal biopsy results, genetic and follow-up data were analyzed retrospectively. Mutations in CLCN5 or OCRL were detected by next-generation sequencing or Sanger sequencing.\nRESULTS: Of 31 Dent disease boys, 24 carried CLCN5 and 7 carried OCRL mutations. Low molecular weight proteinuria and albuminuria were detected in all cases. Nephrotic-range proteinuria and severe albuminuria were identified in 52% and 62% of cases, respectively; by 7 years of age, 6 patients had hematuria and nephrotic-range proteinuria, and 7 patients had hematuria and moderate to severe albuminuria. In addition to disease-related renal features, patients with Dent-1 disease also presented with congenital cataract (1/9) and developmental delay (2/7). Seventeen of 31 patients underwent renal biopsy. Glomerular changes included mild glomerular lesions, mesangial proliferative glomerulonephritis and focal segmental glomerular sclerosis. Thirteen of the 31 patients had follow-up records and received ACE inhibitor and/or ARB treatment for more than 3 months. After a median 1.7 (range 0.3-8.5) years of treatment, a reduction in the urinary microalbumin-to-creatinine ratio was observed in 54% of children.\nCONCLUSIONS: Hematuria with nephrotic-range proteinuria or moderate to severe albuminuria was common in Dent disease patients. Extrarenal manifestations were observed in Dent-1 patients, which extends the phenotypic spectrum. In addition, ACE inhibitors and ARBs are well tolerated, and they are partially effective in controlling albuminuria.","container-title":"Molecular Genetics &amp; Genomic Medicine","DOI":"10.1002/mgg3.1306","ISSN":"2324-9269","journalAbbreviation":"Mol Genet Genomic Med","language":"eng","note":"PMID: 32495484","page":"e1306","source":"PubMed","title":"Phenotypic spectrum and antialbuminuric response to angiotensin converting enzyme inhibitor and angiotensin receptor blocker therapy in pediatric Dent disease","author":[{"family":"Deng","given":"Haiyue"},{"family":"Zhang","given":"Yanqin"},{"family":"Xiao","given":"Huijie"},{"family":"Yao","given":"Yong"},{"family":"Zhang","given":"Hongwen"},{"family":"Liu","given":"Xiaoyu"},{"family":"Su","given":"Baige"},{"family":"Guan","given":"Na"},{"family":"Zhong","given":"Xuhui"},{"family":"Wang","given":"Suxia"},{"family":"Ding","given":"Jie"},{"family":"Wang","given":"Fang"}],"issued":{"date-parts":[["2020",6,3]]}}}],"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lang w:val="en-US"/>
              </w:rPr>
              <w:t>(Deng et al. 2020)</w:t>
            </w:r>
            <w:r w:rsidRPr="00BC0897">
              <w:rPr>
                <w:rFonts w:ascii="Times New Roman" w:hAnsi="Times New Roman" w:cs="Times New Roman"/>
                <w:sz w:val="20"/>
                <w:szCs w:val="20"/>
                <w:lang w:val="en-US"/>
              </w:rPr>
              <w:fldChar w:fldCharType="end"/>
            </w:r>
          </w:p>
        </w:tc>
      </w:tr>
      <w:tr w:rsidR="008F7E4A" w:rsidRPr="00BC0897" w:rsidTr="007B380E">
        <w:trPr>
          <w:trHeight w:val="691"/>
        </w:trPr>
        <w:tc>
          <w:tcPr>
            <w:tcW w:w="846" w:type="dxa"/>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p>
        </w:tc>
        <w:tc>
          <w:tcPr>
            <w:tcW w:w="1872"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p.Arg704*</w:t>
            </w:r>
          </w:p>
        </w:tc>
        <w:tc>
          <w:tcPr>
            <w:tcW w:w="283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 xml:space="preserve">Glomerulosclerosis, </w:t>
            </w:r>
            <w:proofErr w:type="spellStart"/>
            <w:r w:rsidRPr="00BC0897">
              <w:rPr>
                <w:rFonts w:ascii="Times New Roman" w:hAnsi="Times New Roman" w:cs="Times New Roman"/>
                <w:sz w:val="20"/>
                <w:szCs w:val="20"/>
                <w:lang w:val="en-US"/>
              </w:rPr>
              <w:t>Periglomerular</w:t>
            </w:r>
            <w:proofErr w:type="spellEnd"/>
            <w:r w:rsidRPr="00BC0897">
              <w:rPr>
                <w:rFonts w:ascii="Times New Roman" w:hAnsi="Times New Roman" w:cs="Times New Roman"/>
                <w:sz w:val="20"/>
                <w:szCs w:val="20"/>
                <w:lang w:val="en-US"/>
              </w:rPr>
              <w:t xml:space="preserve"> fibrosis</w:t>
            </w:r>
          </w:p>
        </w:tc>
        <w:tc>
          <w:tcPr>
            <w:tcW w:w="255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Interstitial fibrosis, Tubular atrophy, Tubulointerstitial calcium deposits, Nephrocalcinosis</w:t>
            </w:r>
          </w:p>
        </w:tc>
        <w:tc>
          <w:tcPr>
            <w:tcW w:w="198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Normal GBM</w:t>
            </w:r>
          </w:p>
        </w:tc>
        <w:tc>
          <w:tcPr>
            <w:tcW w:w="1559"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Negative</w:t>
            </w:r>
          </w:p>
        </w:tc>
        <w:tc>
          <w:tcPr>
            <w:tcW w:w="1701"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00040F98" w:rsidRPr="00BC0897">
              <w:rPr>
                <w:rFonts w:ascii="Times New Roman" w:hAnsi="Times New Roman" w:cs="Times New Roman"/>
                <w:sz w:val="20"/>
                <w:szCs w:val="20"/>
                <w:lang w:val="en-US"/>
              </w:rPr>
              <w:instrText xml:space="preserve"> ADDIN ZOTERO_ITEM CSL_CITATION {"citationID":"hpyPqNEO","properties":{"formattedCitation":"(Langlois et al. 1998)","plainCitation":"(Langlois et al. 1998)","noteIndex":0},"citationItems":[{"id":"p7ATYret/tnFQdrXH","uris":["http://zotero.org/users/local/jkkvYBSC/items/THQB786W"],"uri":["http://zotero.org/users/local/jkkvYBSC/items/THQB786W"],"itemData":{"id":795,"type":"article-journal","abstract":"X-linked recessive nephrolithiasis (XRN) is a rare hereditary form of progressive renal failure characterized by (1) proximal tubular dysfunction and low molecular weight proteinuria; (2) hypercalciuria with nephrocalcinosis and nephrolithiasis. Because the clinical features are non-specific and variable, affected families in different parts of the world were initially thought to have several distinct syndromes. However, positional cloning of the relevant gene (CLCN5) demonstrated that these families have, in common, mutations affecting a chloride channel expressed throughout the renal tubule. To expand the description of early clinical and pathological manifestations of XRN, we describe three patients diagnosed in the 1st decade of life. Renal tubular dysfunction may be evident even in the neonatal period, hypophosphatemic rickets may develop in the first years of life, and nephrocalcinosis (but not nephrolithiasis) with glomerulosclerosis are consistent features in childhood. One of our patients is indistinguishable from the others on clinical grounds, yet no mutations of the coding regions of the CLCN5 gene were found, raising the possibility of genetic heterogeneity in the XRN syndrome.","container-title":"Pediatric Nephrology (Berlin, Germany)","DOI":"10.1007/s004670050516","ISSN":"0931-041X","issue":"8","journalAbbreviation":"Pediatr. Nephrol.","language":"eng","note":"PMID: 9811383","page":"625-629","source":"PubMed","title":"Clinical features of X-linked nephrolithiasis in childhood","volume":"12","author":[{"family":"Langlois","given":"V."},{"family":"Bernard","given":"C."},{"family":"Scheinman","given":"S. J."},{"family":"Thakker","given":"R. V."},{"family":"Cox","given":"J. P."},{"family":"Goodyer","given":"P. R."}],"issued":{"date-parts":[["1998",10]]}}}],"schema":"https://github.com/citation-style-language/schema/raw/master/csl-citation.json"} </w:instrText>
            </w:r>
            <w:r w:rsidRPr="00BC0897">
              <w:rPr>
                <w:rFonts w:ascii="Times New Roman" w:hAnsi="Times New Roman" w:cs="Times New Roman"/>
                <w:sz w:val="20"/>
                <w:szCs w:val="20"/>
                <w:lang w:val="en-US"/>
              </w:rPr>
              <w:fldChar w:fldCharType="separate"/>
            </w:r>
            <w:r w:rsidR="00040F98" w:rsidRPr="00BC0897">
              <w:rPr>
                <w:rFonts w:ascii="Times New Roman" w:hAnsi="Times New Roman" w:cs="Times New Roman"/>
                <w:sz w:val="20"/>
              </w:rPr>
              <w:t>(Langlois et al. 1998)</w:t>
            </w:r>
            <w:r w:rsidRPr="00BC0897">
              <w:rPr>
                <w:rFonts w:ascii="Times New Roman" w:hAnsi="Times New Roman" w:cs="Times New Roman"/>
                <w:sz w:val="20"/>
                <w:szCs w:val="20"/>
                <w:lang w:val="en-US"/>
              </w:rPr>
              <w:fldChar w:fldCharType="end"/>
            </w:r>
          </w:p>
        </w:tc>
      </w:tr>
      <w:tr w:rsidR="00621AE4" w:rsidRPr="00BC0897" w:rsidTr="00BA526F">
        <w:trPr>
          <w:trHeight w:val="267"/>
        </w:trPr>
        <w:tc>
          <w:tcPr>
            <w:tcW w:w="846" w:type="dxa"/>
            <w:noWrap/>
            <w:vAlign w:val="center"/>
            <w:hideMark/>
          </w:tcPr>
          <w:p w:rsidR="00621AE4" w:rsidRPr="00BC0897" w:rsidRDefault="00621AE4" w:rsidP="00BA526F">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hideMark/>
          </w:tcPr>
          <w:p w:rsidR="00621AE4" w:rsidRPr="00BC0897" w:rsidRDefault="00621AE4" w:rsidP="00BA526F">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c.2119C&gt;T</w:t>
            </w:r>
          </w:p>
        </w:tc>
        <w:tc>
          <w:tcPr>
            <w:tcW w:w="1872" w:type="dxa"/>
            <w:vAlign w:val="center"/>
            <w:hideMark/>
          </w:tcPr>
          <w:p w:rsidR="00621AE4" w:rsidRPr="00BC0897" w:rsidRDefault="00621AE4" w:rsidP="00BA526F">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p.Arg707*</w:t>
            </w:r>
          </w:p>
        </w:tc>
        <w:tc>
          <w:tcPr>
            <w:tcW w:w="2835" w:type="dxa"/>
            <w:vAlign w:val="center"/>
            <w:hideMark/>
          </w:tcPr>
          <w:p w:rsidR="00621AE4" w:rsidRPr="00BC0897" w:rsidRDefault="00621AE4" w:rsidP="00BA526F">
            <w:pPr>
              <w:spacing w:after="0"/>
              <w:jc w:val="center"/>
              <w:rPr>
                <w:rFonts w:ascii="Times New Roman" w:hAnsi="Times New Roman" w:cs="Times New Roman"/>
                <w:sz w:val="20"/>
                <w:szCs w:val="20"/>
                <w:lang w:val="en-US"/>
              </w:rPr>
            </w:pPr>
          </w:p>
        </w:tc>
        <w:tc>
          <w:tcPr>
            <w:tcW w:w="2555" w:type="dxa"/>
            <w:vAlign w:val="center"/>
            <w:hideMark/>
          </w:tcPr>
          <w:p w:rsidR="00621AE4" w:rsidRPr="00BC0897" w:rsidRDefault="00621AE4" w:rsidP="00BA526F">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Mild tubulointerstitial lesions</w:t>
            </w:r>
          </w:p>
        </w:tc>
        <w:tc>
          <w:tcPr>
            <w:tcW w:w="1985" w:type="dxa"/>
            <w:vAlign w:val="center"/>
            <w:hideMark/>
          </w:tcPr>
          <w:p w:rsidR="00621AE4" w:rsidRPr="00BC0897" w:rsidRDefault="00621AE4" w:rsidP="00BA526F">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vAlign w:val="center"/>
            <w:hideMark/>
          </w:tcPr>
          <w:p w:rsidR="00621AE4" w:rsidRPr="00BC0897" w:rsidRDefault="00621AE4" w:rsidP="00BA526F">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hideMark/>
          </w:tcPr>
          <w:p w:rsidR="00621AE4" w:rsidRPr="00BC0897" w:rsidRDefault="00621AE4" w:rsidP="00BA526F">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{"citationID":"cz5rmZgQ","properties":{"formattedCitation":"(Li and Huang 2009)","plainCitation":"(Li and Huang 2009)","noteIndex":0},"citationItems":[{"id":1450,"uris":["http://zotero.org/users/local/jkkvYBSC/items/KM6JFIG3"],"uri":["http://zotero.org/users/local/jkkvYBSC/items/KM6JFIG3"],"itemData":{"id":1450,"type":"article-journal","abstract":"AIM: Dent's disease represents a group of hereditary renal tubular disorders mainly characterized by hypercalciuria, nephrocalcinosis and low molecular weight proteinuria. The majority of patients with Dent's disease were found to carry CLCN5 gene mutations, whereas a small fraction of patients carry OCRL1 gene mutations. Up to date, over 100 patients with Dent's disease have been reported to carry CLCN5 gene mutations, but none in Chinese patients. The purpose of this study was to investigate the phenotypes and genotypes of three Chinese boys with Dent's disease.\nMETHODS: Three patients from three unrelated families were studied. Genomic DNA was extracted from peripheral white blood cells using a simple salting out procedure after informed consent. Thirteen pairs of primers were used to amplify all coding exons and exon-intron boundaries of the CLCN5 gene by polymerase chain reaction (PCR). All PCR products were sequenced directly on an autosequencer.\nRESULTS: Low molecular weight proteinuria and hypercalciuria were found in all patients, nephrocalcinosis in two patients and hypophosphataemia in two patients. Three mutations of the CLCN5 gene were revealed, including R467X, L594fsX595 and R637X. Each mutation was inherited from maternal DNA, respectively. The mutation L594fsX595 was never reported before.\nCONCLUSION: Low molecular weight proteinuria and hypercalciuria were the main clinical features of the three Chinese boys with Dent's disease. Our study was the first to demonstrate CLCN5 gene mutations in Chinese patients with Dent's disease and we reported a novel mutation.","container-title":"Nephrology (Carlton, Vic.)","DOI":"10.1111/j.1440-1797.2008.01057.x","ISSN":"1440-1797","issue":"2","journalAbbreviation":"Nephrology (Carlton)","language":"eng","note":"PMID: 19076289","page":"139-142","source":"PubMed","title":"Phenotype and genotype of Dent's disease in three Chinese boys","volume":"14","author":[{"family":"Li","given":"Peng"},{"family":"Huang","given":"Jian-Ping"}],"issued":{"date-parts":[["2009",4]]}}}],"schema":"https://github.com/citation-style-language/schema/raw/master/csl-citation.json"}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rPr>
              <w:t>(Li and Huang 2009)</w:t>
            </w:r>
            <w:r w:rsidRPr="00BC0897">
              <w:rPr>
                <w:rFonts w:ascii="Times New Roman" w:hAnsi="Times New Roman" w:cs="Times New Roman"/>
                <w:sz w:val="20"/>
                <w:szCs w:val="20"/>
                <w:lang w:val="en-US"/>
              </w:rPr>
              <w:fldChar w:fldCharType="end"/>
            </w:r>
          </w:p>
        </w:tc>
      </w:tr>
      <w:tr w:rsidR="008F7E4A" w:rsidRPr="00BC0897" w:rsidTr="007B380E">
        <w:trPr>
          <w:trHeight w:val="267"/>
        </w:trPr>
        <w:tc>
          <w:tcPr>
            <w:tcW w:w="846" w:type="dxa"/>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c.2119C&gt;T</w:t>
            </w:r>
          </w:p>
        </w:tc>
        <w:tc>
          <w:tcPr>
            <w:tcW w:w="1872"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p.Arg707*</w:t>
            </w:r>
          </w:p>
        </w:tc>
        <w:tc>
          <w:tcPr>
            <w:tcW w:w="283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 xml:space="preserve">FGGS, Mesangial </w:t>
            </w:r>
            <w:proofErr w:type="spellStart"/>
            <w:r w:rsidRPr="00BC0897">
              <w:rPr>
                <w:rFonts w:ascii="Times New Roman" w:hAnsi="Times New Roman" w:cs="Times New Roman"/>
                <w:sz w:val="20"/>
                <w:szCs w:val="20"/>
                <w:lang w:val="en-US"/>
              </w:rPr>
              <w:t>hypercellularity</w:t>
            </w:r>
            <w:proofErr w:type="spellEnd"/>
          </w:p>
        </w:tc>
        <w:tc>
          <w:tcPr>
            <w:tcW w:w="255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Focal interstitial inflammation, Tubular damage</w:t>
            </w:r>
          </w:p>
        </w:tc>
        <w:tc>
          <w:tcPr>
            <w:tcW w:w="198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Normal</w:t>
            </w:r>
          </w:p>
        </w:tc>
        <w:tc>
          <w:tcPr>
            <w:tcW w:w="1559"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{"citationID":"1Urwrfgq","properties":{"formattedCitation":"(Zhang et al. 2017)","plainCitation":"(Zhang et al. 2017)","noteIndex":0},"citationItems":[{"id":27,"uris":["http://zotero.org/users/local/jkkvYBSC/items/WAC5SMPK"],"uri":["http://zotero.org/users/local/jkkvYBSC/items/WAC5SMPK"],"itemData":{"id":27,"type":"article-journal","abstract":"Dent's disease is an X-linked inherited renal disease. Patients with Dent's disease often carry mutations in genes encoding the Cl-/H+ exchanger ClC-5 and/or inositol polyphosphate 5-phosphatase (OCRL1). However, the mutations involved and the biochemical effects of these mutations are not fully understood. To characterize genetic changes in Dent's disease patients, in this study, samples from nine Chinese patients were subjected to genetic analysis. Among the nine patients, six were classified as having Dent-1 disease, one had Dent-2 disease, and two could not be classified. Expression of ClC-5 carrying Dent's disease-associated mutations in HEK293 cells had varying effects: (1) no detectable expression of mutant protein; (2) retention of a truncated protein in the endoplasmic reticulum; or (3) diminished protein expression with normal distribution in early endosomes. Dent's disease patients showed genetic heterogeneity and over 20% of patients did not have CLCN5 or OCRL1 mutations, suggesting the existence of other genetic factors. Using next-generation sequencing, we identified possible modifier genes that have not been previously reported in Dent's disease patients. Heterozygous variants in CFTR, SCNN1A, and SCNN1B genes associated with cystic fibrosis (CF) or CF-like disease were detected in four of our nine patients. These results may form the basis for future characterization of Dent's disease and genetic counseling approaches.","container-title":"DNA and cell biology","DOI":"10.1089/dna.2017.3731","ISSN":"1557-7430","issue":"12","journalAbbreviation":"DNA Cell Biol.","language":"eng","note":"PMID: 29058463","page":"1151-1158","source":"PubMed","title":"Genetic Analysis of Dent's Disease and Functional Research of CLCN5 Mutations","volume":"36","author":[{"family":"Zhang","given":"Ya"},{"family":"Fang","given":"Xiaoyan"},{"family":"Xu","given":"Hong"},{"family":"Shen","given":"Qian"}],"issued":{"date-parts":[["2017",12]]}}}],"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szCs w:val="20"/>
              </w:rPr>
              <w:t>(Zhang et al. 2017)</w:t>
            </w:r>
            <w:r w:rsidRPr="00BC0897">
              <w:rPr>
                <w:rFonts w:ascii="Times New Roman" w:hAnsi="Times New Roman" w:cs="Times New Roman"/>
                <w:sz w:val="20"/>
                <w:szCs w:val="20"/>
                <w:lang w:val="en-US"/>
              </w:rPr>
              <w:fldChar w:fldCharType="end"/>
            </w:r>
          </w:p>
        </w:tc>
      </w:tr>
      <w:tr w:rsidR="008F7E4A" w:rsidRPr="00BC0897" w:rsidTr="007B380E">
        <w:trPr>
          <w:trHeight w:val="273"/>
        </w:trPr>
        <w:tc>
          <w:tcPr>
            <w:tcW w:w="846" w:type="dxa"/>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 §</w:t>
            </w:r>
          </w:p>
        </w:tc>
        <w:tc>
          <w:tcPr>
            <w:tcW w:w="1843"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c.2179delG</w:t>
            </w:r>
          </w:p>
        </w:tc>
        <w:tc>
          <w:tcPr>
            <w:tcW w:w="1872"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p.Asp727fs*2</w:t>
            </w:r>
          </w:p>
        </w:tc>
        <w:tc>
          <w:tcPr>
            <w:tcW w:w="283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FGGS</w:t>
            </w:r>
          </w:p>
        </w:tc>
        <w:tc>
          <w:tcPr>
            <w:tcW w:w="255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p>
        </w:tc>
        <w:tc>
          <w:tcPr>
            <w:tcW w:w="198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{"citationID":"E81sYH3B","properties":{"formattedCitation":"(Sheffer-Babila et al. 2008)","plainCitation":"(Sheffer-Babila et al. 2008)","noteIndex":0},"citationItems":[{"id":588,"uris":["http://zotero.org/users/local/jkkvYBSC/items/DDR39TPS"],"uri":["http://zotero.org/users/local/jkkvYBSC/items/DDR39TPS"],"itemData":{"id":588,"type":"article-journal","abstract":"Dent disease, an X-linked recessive renal tubular disease, results from loss-of-function mutations in the CLCN5 chloride channel gene. The effects of Dent disease on growth have not been described. We report siblings who presented with proteinuria, calciuria, and phosphaturia and growth failure who responded to growth hormone (GH) treatment. Genotyping revealed a novel c.2179delG frameshift mutation at codon 727, exon 12 of the CLCNS gene. Two years after initial presentation, linear growth had slowed, and evaluation revealed isolated GH deficiency. GH therapy resulted in more than two-fold increases in height velocity and serum IGF-I levels. There was no net change in estimated glomerular filtration rate, proteinuria or calciuria in response to GH therapy, but there was a delayed improvement in phosphaturia. These cases provide insight into the effects of GH on growth and renal function in Dent disease. Furthermore, we have reported a novel CLCN5 mutation.","container-title":"Journal of pediatric endocrinology &amp; metabolism: JPEM","DOI":"10.1515/jpem.2008.21.3.279","ISSN":"0334-018X","issue":"3","journalAbbreviation":"J. Pediatr. Endocrinol. Metab.","language":"eng","note":"PMID: 18540256","page":"279-286","source":"PubMed","title":"Growth hormone improves growth rate and preserves renal function in Dent disease","volume":"21","author":[{"family":"Sheffer-Babila","given":"Sharone"},{"family":"Chandra","given":"Manju"},{"family":"Speiser","given":"Phyllis W."}],"issued":{"date-parts":[["2008",3]]}}}],"schema":"https://github.com/citation-style-language/schema/raw/master/csl-citation.json"}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szCs w:val="20"/>
              </w:rPr>
              <w:t>(Sheffer-Babila et al. 2008)</w:t>
            </w:r>
            <w:r w:rsidRPr="00BC0897">
              <w:rPr>
                <w:rFonts w:ascii="Times New Roman" w:hAnsi="Times New Roman" w:cs="Times New Roman"/>
                <w:sz w:val="20"/>
                <w:szCs w:val="20"/>
                <w:lang w:val="en-US"/>
              </w:rPr>
              <w:fldChar w:fldCharType="end"/>
            </w:r>
          </w:p>
        </w:tc>
      </w:tr>
      <w:tr w:rsidR="008F7E4A" w:rsidRPr="00BC0897" w:rsidTr="007B380E">
        <w:trPr>
          <w:trHeight w:val="277"/>
        </w:trPr>
        <w:tc>
          <w:tcPr>
            <w:tcW w:w="846" w:type="dxa"/>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 §</w:t>
            </w:r>
          </w:p>
        </w:tc>
        <w:tc>
          <w:tcPr>
            <w:tcW w:w="1843"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c.2179delG</w:t>
            </w:r>
          </w:p>
        </w:tc>
        <w:tc>
          <w:tcPr>
            <w:tcW w:w="1872"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p.Asp727fs*2</w:t>
            </w:r>
          </w:p>
        </w:tc>
        <w:tc>
          <w:tcPr>
            <w:tcW w:w="283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FGGS</w:t>
            </w:r>
          </w:p>
        </w:tc>
        <w:tc>
          <w:tcPr>
            <w:tcW w:w="255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p>
        </w:tc>
        <w:tc>
          <w:tcPr>
            <w:tcW w:w="198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{"citationID":"qM1Rk1mn","properties":{"formattedCitation":"(Sheffer-Babila et al. 2008)","plainCitation":"(Sheffer-Babila et al. 2008)","noteIndex":0},"citationItems":[{"id":588,"uris":["http://zotero.org/users/local/jkkvYBSC/items/DDR39TPS"],"uri":["http://zotero.org/users/local/jkkvYBSC/items/DDR39TPS"],"itemData":{"id":588,"type":"article-journal","abstract":"Dent disease, an X-linked recessive renal tubular disease, results from loss-of-function mutations in the CLCN5 chloride channel gene. The effects of Dent disease on growth have not been described. We report siblings who presented with proteinuria, calciuria, and phosphaturia and growth failure who responded to growth hormone (GH) treatment. Genotyping revealed a novel c.2179delG frameshift mutation at codon 727, exon 12 of the CLCNS gene. Two years after initial presentation, linear growth had slowed, and evaluation revealed isolated GH deficiency. GH therapy resulted in more than two-fold increases in height velocity and serum IGF-I levels. There was no net change in estimated glomerular filtration rate, proteinuria or calciuria in response to GH therapy, but there was a delayed improvement in phosphaturia. These cases provide insight into the effects of GH on growth and renal function in Dent disease. Furthermore, we have reported a novel CLCN5 mutation.","container-title":"Journal of pediatric endocrinology &amp; metabolism: JPEM","DOI":"10.1515/jpem.2008.21.3.279","ISSN":"0334-018X","issue":"3","journalAbbreviation":"J. Pediatr. Endocrinol. Metab.","language":"eng","note":"PMID: 18540256","page":"279-286","source":"PubMed","title":"Growth hormone improves growth rate and preserves renal function in Dent disease","volume":"21","author":[{"family":"Sheffer-Babila","given":"Sharone"},{"family":"Chandra","given":"Manju"},{"family":"Speiser","given":"Phyllis W."}],"issued":{"date-parts":[["2008",3]]}}}],"schema":"https://github.com/citation-style-language/schema/raw/master/csl-citation.json"}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szCs w:val="20"/>
              </w:rPr>
              <w:t>(Sheffer-Babila et al. 2008)</w:t>
            </w:r>
            <w:r w:rsidRPr="00BC0897">
              <w:rPr>
                <w:rFonts w:ascii="Times New Roman" w:hAnsi="Times New Roman" w:cs="Times New Roman"/>
                <w:sz w:val="20"/>
                <w:szCs w:val="20"/>
                <w:lang w:val="en-US"/>
              </w:rPr>
              <w:fldChar w:fldCharType="end"/>
            </w:r>
          </w:p>
        </w:tc>
      </w:tr>
      <w:tr w:rsidR="008F7E4A" w:rsidRPr="00BC0897" w:rsidTr="007B380E">
        <w:trPr>
          <w:trHeight w:val="489"/>
        </w:trPr>
        <w:tc>
          <w:tcPr>
            <w:tcW w:w="846" w:type="dxa"/>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c.2179delG</w:t>
            </w:r>
          </w:p>
        </w:tc>
        <w:tc>
          <w:tcPr>
            <w:tcW w:w="1872"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p.Asp727fs</w:t>
            </w:r>
          </w:p>
        </w:tc>
        <w:tc>
          <w:tcPr>
            <w:tcW w:w="283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FGGS, FSGS</w:t>
            </w:r>
          </w:p>
        </w:tc>
        <w:tc>
          <w:tcPr>
            <w:tcW w:w="255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Normal</w:t>
            </w:r>
          </w:p>
        </w:tc>
        <w:tc>
          <w:tcPr>
            <w:tcW w:w="198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Global sclerosis, Foot process effacement</w:t>
            </w:r>
          </w:p>
        </w:tc>
        <w:tc>
          <w:tcPr>
            <w:tcW w:w="1559"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Negative</w:t>
            </w:r>
          </w:p>
        </w:tc>
        <w:tc>
          <w:tcPr>
            <w:tcW w:w="1701"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{"citationID":"PEFpg7TF","properties":{"formattedCitation":"(Frishberg et al. 2009)","plainCitation":"(Frishberg et al. 2009)","noteIndex":0},"citationItems":[{"id":252,"uris":["http://zotero.org/users/local/jkkvYBSC/items/F9K9WMU6"],"uri":["http://zotero.org/users/local/jkkvYBSC/items/F9K9WMU6"],"itemData":{"id":252,"type":"article-journal","abstract":"Dent's disease is an X-linked proximal tubulopathy. It often manifests in childhood with symptoms of Fanconi syndrome and low-molecular-weight proteinuria. We describe four boys from three unrelated families whose only presenting symptoms of Dent's disease were nephrotic-range proteinuria and histological findings of focal segmental and/or global glomerulosclerosis. In all families, a causal mutation in the CLCN5 gene, encoding a voltage-gated chloride transporter and chloride-proton exchanger, was identified. All three mutations are pathogenic: two are novel (p.Asp727fs and p.Trp122X), and one is a recurrent mutation, p.R648X. Given the atypical phenotype of these patients with Dent's disease, it is possible that this clinical entity is markedly underdiagnosed and that our report represents only the tip of the iceberg. The diagnosis of Dent's disease should be considered in all patients with nephrotic-range proteinuria without hypoalbuminemia or edema. Establishing the diagnosis of Dent's disease will prevent the administration of unnecessary immunosuppressive medications with their undesirable side effects.","container-title":"Pediatric Nephrology (Berlin, Germany)","DOI":"10.1007/s00467-009-1299-2","ISSN":"1432-198X","issue":"12","journalAbbreviation":"Pediatr. Nephrol.","language":"eng","note":"PMID: 19806368","page":"2369-2373","source":"PubMed","title":"Dent's disease manifesting as focal glomerulosclerosis: Is it the tip of the iceberg?","title-short":"Dent's disease manifesting as focal glomerulosclerosis","volume":"24","author":[{"family":"Frishberg","given":"Yaacov"},{"family":"Dinour","given":"Dganit"},{"family":"Belostotsky","given":"Ruth"},{"family":"Becker-Cohen","given":"Rachel"},{"family":"Rinat","given":"Choni"},{"family":"Feinstein","given":"Sofia"},{"family":"Navon-Elkan","given":"Paulina"},{"family":"Ben-Shalom","given":"Efrat"}],"issued":{"date-parts":[["2009",12]]}}}],"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szCs w:val="20"/>
              </w:rPr>
              <w:t>(Frishberg et al. 2009)</w:t>
            </w:r>
            <w:r w:rsidRPr="00BC0897">
              <w:rPr>
                <w:rFonts w:ascii="Times New Roman" w:hAnsi="Times New Roman" w:cs="Times New Roman"/>
                <w:sz w:val="20"/>
                <w:szCs w:val="20"/>
                <w:lang w:val="en-US"/>
              </w:rPr>
              <w:fldChar w:fldCharType="end"/>
            </w:r>
          </w:p>
        </w:tc>
      </w:tr>
      <w:tr w:rsidR="008F7E4A" w:rsidRPr="00BC0897" w:rsidTr="007B380E">
        <w:trPr>
          <w:trHeight w:val="419"/>
        </w:trPr>
        <w:tc>
          <w:tcPr>
            <w:tcW w:w="846" w:type="dxa"/>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3715" w:type="dxa"/>
            <w:gridSpan w:val="2"/>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i/>
                <w:iCs/>
                <w:sz w:val="20"/>
                <w:szCs w:val="20"/>
                <w:lang w:val="en-US"/>
              </w:rPr>
              <w:t>CLCN5</w:t>
            </w:r>
            <w:r w:rsidRPr="00BC0897">
              <w:rPr>
                <w:rFonts w:ascii="Times New Roman" w:hAnsi="Times New Roman" w:cs="Times New Roman"/>
                <w:sz w:val="20"/>
                <w:szCs w:val="20"/>
                <w:lang w:val="en-US"/>
              </w:rPr>
              <w:t xml:space="preserve"> missense mutations</w:t>
            </w:r>
          </w:p>
        </w:tc>
        <w:tc>
          <w:tcPr>
            <w:tcW w:w="283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Mesangial proliferative glomerulonephritis</w:t>
            </w:r>
          </w:p>
        </w:tc>
        <w:tc>
          <w:tcPr>
            <w:tcW w:w="255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p>
        </w:tc>
        <w:tc>
          <w:tcPr>
            <w:tcW w:w="198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{"citationID":"hYECSgRs","properties":{"formattedCitation":"(Bao et al. 2019)","plainCitation":"(Bao et al. 2019)","noteIndex":0},"citationItems":[{"id":259,"uris":["http://zotero.org/users/local/jkkvYBSC/items/A2LVT5AF"],"uri":["http://zotero.org/users/local/jkkvYBSC/items/A2LVT5AF"],"itemData":{"id":259,"type":"article-journal","container-title":"Science China. Life Sciences","DOI":"10.1007/s11427-018-9829-0","ISSN":"1869-1889","issue":"12","journalAbbreviation":"Sci China Life Sci","language":"eng","note":"PMID: 31701402","page":"1590-1593","source":"PubMed","title":"Clinical and genetic analysis of Dent disease with nephrotic range albuminuria in Shaanxi, China","volume":"62","author":[{"family":"Bao","given":"Ying"},{"family":"Suo","given":"Lei"},{"family":"Qian","given":"Pei"},{"family":"Huang","given":"Huimei"},{"family":"Yang","given":"Ying"},{"family":"Tang","given":"Jun"},{"family":"Zhang","given":"Min"},{"family":"Li","given":"Zhijuan"},{"family":"Wang","given":"Ying"},{"family":"Liang","given":"Nan"},{"family":"Wang","given":"Yili"}],"issued":{"date-parts":[["2019",12]]}}}],"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szCs w:val="20"/>
              </w:rPr>
              <w:t>(Bao et al. 2019)</w:t>
            </w:r>
            <w:r w:rsidRPr="00BC0897">
              <w:rPr>
                <w:rFonts w:ascii="Times New Roman" w:hAnsi="Times New Roman" w:cs="Times New Roman"/>
                <w:sz w:val="20"/>
                <w:szCs w:val="20"/>
                <w:lang w:val="en-US"/>
              </w:rPr>
              <w:fldChar w:fldCharType="end"/>
            </w:r>
          </w:p>
        </w:tc>
      </w:tr>
      <w:tr w:rsidR="008F7E4A" w:rsidRPr="00BC0897" w:rsidTr="007B380E">
        <w:trPr>
          <w:trHeight w:val="1549"/>
        </w:trPr>
        <w:tc>
          <w:tcPr>
            <w:tcW w:w="846" w:type="dxa"/>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3715" w:type="dxa"/>
            <w:gridSpan w:val="2"/>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6 male patients</w:t>
            </w:r>
          </w:p>
        </w:tc>
        <w:tc>
          <w:tcPr>
            <w:tcW w:w="283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Segmental sclerosis 3/6, Segmental increase in mesangial matrix 3/6</w:t>
            </w:r>
          </w:p>
        </w:tc>
        <w:tc>
          <w:tcPr>
            <w:tcW w:w="2555" w:type="dxa"/>
            <w:vAlign w:val="center"/>
            <w:hideMark/>
          </w:tcPr>
          <w:p w:rsidR="008F7E4A" w:rsidRPr="00BC0897" w:rsidRDefault="008F7E4A" w:rsidP="005336D6">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 xml:space="preserve">Interstitial calcium phosphate deposits 2/6, </w:t>
            </w:r>
            <w:proofErr w:type="spellStart"/>
            <w:r w:rsidRPr="00BC0897">
              <w:rPr>
                <w:rFonts w:ascii="Times New Roman" w:hAnsi="Times New Roman" w:cs="Times New Roman"/>
                <w:sz w:val="20"/>
                <w:szCs w:val="20"/>
                <w:lang w:val="en-US"/>
              </w:rPr>
              <w:t>Intratubular</w:t>
            </w:r>
            <w:proofErr w:type="spellEnd"/>
            <w:r w:rsidRPr="00BC0897">
              <w:rPr>
                <w:rFonts w:ascii="Times New Roman" w:hAnsi="Times New Roman" w:cs="Times New Roman"/>
                <w:sz w:val="20"/>
                <w:szCs w:val="20"/>
                <w:lang w:val="en-US"/>
              </w:rPr>
              <w:t xml:space="preserve"> </w:t>
            </w:r>
            <w:proofErr w:type="spellStart"/>
            <w:r w:rsidRPr="00BC0897">
              <w:rPr>
                <w:rFonts w:ascii="Times New Roman" w:hAnsi="Times New Roman" w:cs="Times New Roman"/>
                <w:sz w:val="20"/>
                <w:szCs w:val="20"/>
                <w:lang w:val="en-US"/>
              </w:rPr>
              <w:t>proteinaceous</w:t>
            </w:r>
            <w:proofErr w:type="spellEnd"/>
            <w:r w:rsidRPr="00BC0897">
              <w:rPr>
                <w:rFonts w:ascii="Times New Roman" w:hAnsi="Times New Roman" w:cs="Times New Roman"/>
                <w:sz w:val="20"/>
                <w:szCs w:val="20"/>
                <w:lang w:val="en-US"/>
              </w:rPr>
              <w:t xml:space="preserve"> casts 2/6, Interlobular arteries’ medial thickening 2/6, Intimal arterioles’ proliferation 2/6, tubular hypoplasia 1/6</w:t>
            </w:r>
          </w:p>
        </w:tc>
        <w:tc>
          <w:tcPr>
            <w:tcW w:w="198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Foot process effacement in all the 5 biopsies analyzed</w:t>
            </w:r>
          </w:p>
        </w:tc>
        <w:tc>
          <w:tcPr>
            <w:tcW w:w="1559"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{"citationID":"wHixapxv","properties":{"formattedCitation":"(Cramer et al. 2014)","plainCitation":"(Cramer et al. 2014)","noteIndex":0},"citationItems":[{"id":247,"uris":["http://zotero.org/users/local/jkkvYBSC/items/3MVPSS8G"],"uri":["http://zotero.org/users/local/jkkvYBSC/items/3MVPSS8G"],"itemData":{"id":247,"type":"article-journal","abstract":"BACKGROUND: Dent disease is an X-linked recessive renal tubular disorder characterized by low molecular weight proteinuria, hypercalciuria, nephrocalcinosis, nephrolithiasis, and progressive renal failure (MIM 300009). A recent case series identified four patients with CLCN5 mutations who presented with nephrotic-range proteinuria, histologic evidence of focal segmental and/or global sclerosis, and low molecular weight proteinuria.\nCASE-DIAGNOSIS/TREATMENT: We characterize the clinical, genetic, and histopathological features of seven unrelated adolescent males with nephrotic-range proteinuria and CLCN5 mutations. Six patients underwent renal biopsy prior to assessing tubular proteinuria. All biopsied patients had either segmental sclerosis (3/6) or segmental increase in mesangial matrix (3/6). Five patients revealed some degree of foot process effacement, but only one patient biopsy revealed &gt;50 % foot process effacement. The attenuated foot process effacement suggests the glomerulosclerosis is not due to a primary podocytopathy.\nCONCLUSIONS: These data suggest that clinicians should consider a diagnostic evaluation for Dent disease in young males presenting with high-grade proteinuria.","container-title":"Pediatric Nephrology (Berlin, Germany)","DOI":"10.1007/s00467-014-2824-5","ISSN":"1432-198X","issue":"10","journalAbbreviation":"Pediatr. Nephrol.","language":"eng","note":"PMID: 24810952","page":"2051-2054","source":"PubMed","title":"Expanding the phenotype of proteinuria in Dent disease. A case series","volume":"29","author":[{"family":"Cramer","given":"Monica T."},{"family":"Charlton","given":"Jennifer R."},{"family":"Fogo","given":"Agnes B."},{"family":"Fathallah-Shaykh","given":"Sahar A."},{"family":"Askenazi","given":"David J."},{"family":"Guay-Woodford","given":"Lisa M."}],"issued":{"date-parts":[["2014",10]]}}}],"schema":"https://github.com/citation-style-language/schema/raw/master/csl-citation.json"}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szCs w:val="20"/>
              </w:rPr>
              <w:t>(Cramer et al. 2014)</w:t>
            </w:r>
            <w:r w:rsidRPr="00BC0897">
              <w:rPr>
                <w:rFonts w:ascii="Times New Roman" w:hAnsi="Times New Roman" w:cs="Times New Roman"/>
                <w:sz w:val="20"/>
                <w:szCs w:val="20"/>
                <w:lang w:val="en-US"/>
              </w:rPr>
              <w:fldChar w:fldCharType="end"/>
            </w:r>
          </w:p>
        </w:tc>
      </w:tr>
      <w:tr w:rsidR="008F7E4A" w:rsidRPr="00BC0897" w:rsidTr="007B380E">
        <w:trPr>
          <w:trHeight w:val="426"/>
        </w:trPr>
        <w:tc>
          <w:tcPr>
            <w:tcW w:w="846" w:type="dxa"/>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872"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283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Global sclerosis</w:t>
            </w:r>
          </w:p>
        </w:tc>
        <w:tc>
          <w:tcPr>
            <w:tcW w:w="255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Interstitial fibrosis</w:t>
            </w:r>
          </w:p>
        </w:tc>
        <w:tc>
          <w:tcPr>
            <w:tcW w:w="1985"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Normal</w:t>
            </w:r>
          </w:p>
        </w:tc>
        <w:tc>
          <w:tcPr>
            <w:tcW w:w="1559"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Nonspecific IgM and C3 deposition</w:t>
            </w:r>
          </w:p>
        </w:tc>
        <w:tc>
          <w:tcPr>
            <w:tcW w:w="1701" w:type="dxa"/>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{"citationID":"JdxATCav","properties":{"formattedCitation":"(Anglani et al. 2006)","plainCitation":"(Anglani et al. 2006)","noteIndex":0},"citationItems":[{"id":"p7ATYret/04doqbL6","uris":["http://zotero.org/users/local/jkkvYBSC/items/W87D96TW"],"uri":["http://zotero.org/users/local/jkkvYBSC/items/W87D96TW"],"itemData":{"id":786,"type":"article-journal","abstract":"The rare Dent's disease manifests with medullary nephrocalcinosis, nephrolithiasis, hypercalciuria, low molecular weight proteinuria and other tubular dysfunctions, rickets or osteomalacia, and renal failure, in various combinations. It is a recessive X-linked condition. Clinicians consider family history a fundamental pointer to its diagnosis, but this is not invariably the case as clearly pointed out by the two reported cases.","container-title":"Urological Research","DOI":"10.1007/s00240-005-0005-5","ISSN":"0300-5623","issue":"1","journalAbbreviation":"Urol. Res.","language":"eng","note":"PMID: 16416111","page":"61-63","source":"PubMed","title":"Family history may be misleading in the diagnosis of Dent's disease","volume":"34","author":[{"family":"Anglani","given":"F."},{"family":"Bernich","given":"P."},{"family":"Tosetto","given":"E."},{"family":"Cara","given":"M."},{"family":"Lupo","given":"A."},{"family":"Nalesso","given":"F."},{"family":"D'Angelo","given":"A."},{"family":"Gambaro","given":"G."}],"issued":{"date-parts":[["2006",2]]}}}],"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szCs w:val="20"/>
              </w:rPr>
              <w:t>(Anglani et al. 2006)</w:t>
            </w:r>
            <w:r w:rsidRPr="00BC0897">
              <w:rPr>
                <w:rFonts w:ascii="Times New Roman" w:hAnsi="Times New Roman" w:cs="Times New Roman"/>
                <w:sz w:val="20"/>
                <w:szCs w:val="20"/>
                <w:lang w:val="en-US"/>
              </w:rPr>
              <w:fldChar w:fldCharType="end"/>
            </w:r>
          </w:p>
        </w:tc>
      </w:tr>
      <w:tr w:rsidR="005336D6" w:rsidRPr="00BC0897" w:rsidTr="00BA526F">
        <w:trPr>
          <w:trHeight w:val="274"/>
        </w:trPr>
        <w:tc>
          <w:tcPr>
            <w:tcW w:w="846" w:type="dxa"/>
            <w:shd w:val="clear" w:color="auto" w:fill="auto"/>
            <w:noWrap/>
            <w:vAlign w:val="center"/>
            <w:hideMark/>
          </w:tcPr>
          <w:p w:rsidR="005336D6" w:rsidRPr="00BC0897" w:rsidRDefault="005336D6" w:rsidP="00BA526F">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shd w:val="clear" w:color="auto" w:fill="auto"/>
            <w:vAlign w:val="center"/>
            <w:hideMark/>
          </w:tcPr>
          <w:p w:rsidR="005336D6" w:rsidRPr="00BC0897" w:rsidRDefault="005336D6" w:rsidP="00BA526F">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872" w:type="dxa"/>
            <w:shd w:val="clear" w:color="auto" w:fill="auto"/>
            <w:vAlign w:val="center"/>
            <w:hideMark/>
          </w:tcPr>
          <w:p w:rsidR="005336D6" w:rsidRPr="00BC0897" w:rsidRDefault="005336D6" w:rsidP="00BA526F">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2835" w:type="dxa"/>
            <w:shd w:val="clear" w:color="auto" w:fill="auto"/>
            <w:vAlign w:val="center"/>
            <w:hideMark/>
          </w:tcPr>
          <w:p w:rsidR="005336D6" w:rsidRPr="00BC0897" w:rsidRDefault="005336D6" w:rsidP="00BA526F">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FSGS</w:t>
            </w:r>
          </w:p>
        </w:tc>
        <w:tc>
          <w:tcPr>
            <w:tcW w:w="2555" w:type="dxa"/>
            <w:shd w:val="clear" w:color="auto" w:fill="auto"/>
            <w:vAlign w:val="center"/>
            <w:hideMark/>
          </w:tcPr>
          <w:p w:rsidR="005336D6" w:rsidRPr="00BC0897" w:rsidRDefault="005336D6" w:rsidP="00BA526F">
            <w:pPr>
              <w:spacing w:after="0"/>
              <w:jc w:val="center"/>
              <w:rPr>
                <w:rFonts w:ascii="Times New Roman" w:hAnsi="Times New Roman" w:cs="Times New Roman"/>
                <w:sz w:val="20"/>
                <w:szCs w:val="20"/>
                <w:lang w:val="en-US"/>
              </w:rPr>
            </w:pPr>
          </w:p>
        </w:tc>
        <w:tc>
          <w:tcPr>
            <w:tcW w:w="1985" w:type="dxa"/>
            <w:shd w:val="clear" w:color="auto" w:fill="auto"/>
            <w:vAlign w:val="center"/>
            <w:hideMark/>
          </w:tcPr>
          <w:p w:rsidR="005336D6" w:rsidRPr="00BC0897" w:rsidRDefault="005336D6" w:rsidP="00BA526F">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shd w:val="clear" w:color="auto" w:fill="auto"/>
            <w:vAlign w:val="center"/>
            <w:hideMark/>
          </w:tcPr>
          <w:p w:rsidR="005336D6" w:rsidRPr="00BC0897" w:rsidRDefault="005336D6" w:rsidP="00BA526F">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shd w:val="clear" w:color="auto" w:fill="auto"/>
            <w:vAlign w:val="center"/>
            <w:hideMark/>
          </w:tcPr>
          <w:p w:rsidR="005336D6" w:rsidRPr="00BC0897" w:rsidRDefault="005336D6" w:rsidP="00BA526F">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{"citationID":"vQSezL1A","properties":{"formattedCitation":"(Becker-Cohen et al. 2012)","plainCitation":"(Becker-Cohen et al. 2012)","noteIndex":0},"citationItems":[{"id":583,"uris":["http://zotero.org/users/local/jkkvYBSC/items/M5ID4YM7"],"uri":["http://zotero.org/users/local/jkkvYBSC/items/M5ID4YM7"],"itemData":{"id":583,"type":"article-journal","abstract":"BACKGROUND: Three patients with Dent's disease presented with complaints of impaired night vision or xerophthalmia and were found to have severely decreased serum retinol concentrations. Retinol, bound to its carrier retinol-binding protein (RBP), is filtered at the glomerulus and reabsorbed at the proximal tubule. We hypothesized that urinary loss of retinol-RBP complex is responsible for decreased serum retinol.\nOBJECTIVE AND METHODS: The study aim was to investigate vitamin A status and RBP in serum and urine of patients with genetically confirmed Dent's disease.\nRESULTS: Eight patients were studied, three boys had clinical vitamin A deficiency, three had asymptomatic deficiency, and two young men with Dent's disease and impaired renal function had normal retinol values. Serum RBP concentrations were low in patients with vitamin A deficiency and were correlated with vitamin A levels. Urinary RBP concentrations were increased in all patients (2,000-fold), regardless of vitamin A status. This was in contrast to patients with glomerular proteinuria who had only mildly increased urinary RBP with normal serum RBP and vitamin A, and patients with cystinosis with impaired renal function who had massive urinary RBP losses but without a decrease in serum RBP or vitamin A levels. Treatment with vitamin A supplements in patients with retinol deficiency resulted in rapid resolution of ocular symptoms and an increase in serum retinol concentrations.\nCONCLUSIONS: Vitamin A deficiency is common in patients with Dent's disease and preserved renal function. We therefore recommend screening these patients for retinol deficiency and treating them before visual symptoms develop.","container-title":"Pediatric Nephrology (Berlin, Germany)","DOI":"10.1007/s00467-012-2121-0","ISSN":"1432-198X","issue":"7","journalAbbreviation":"Pediatr. Nephrol.","language":"eng","note":"PMID: 22350370","page":"1097-1102","source":"PubMed","title":"Vitamin A deficiency associated with urinary retinol binding protein wasting in Dent's disease","volume":"27","author":[{"family":"Becker-Cohen","given":"Rachel"},{"family":"Rinat","given":"Choni"},{"family":"Ben-Shalom","given":"Efrat"},{"family":"Feinstein","given":"Sofia"},{"family":"Ivgi","given":"Heftziba"},{"family":"Frishberg","given":"Yaacov"}],"issued":{"date-parts":[["2012",7]]}}}],"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szCs w:val="20"/>
              </w:rPr>
              <w:t>(Becker-Cohen et al. 2012)</w:t>
            </w:r>
            <w:r w:rsidRPr="00BC0897">
              <w:rPr>
                <w:rFonts w:ascii="Times New Roman" w:hAnsi="Times New Roman" w:cs="Times New Roman"/>
                <w:sz w:val="20"/>
                <w:szCs w:val="20"/>
                <w:lang w:val="en-US"/>
              </w:rPr>
              <w:fldChar w:fldCharType="end"/>
            </w:r>
          </w:p>
        </w:tc>
      </w:tr>
      <w:tr w:rsidR="005336D6" w:rsidRPr="00BC0897" w:rsidTr="00BA526F">
        <w:trPr>
          <w:trHeight w:val="300"/>
        </w:trPr>
        <w:tc>
          <w:tcPr>
            <w:tcW w:w="846" w:type="dxa"/>
            <w:vMerge w:val="restart"/>
            <w:vAlign w:val="center"/>
            <w:hideMark/>
          </w:tcPr>
          <w:p w:rsidR="005336D6" w:rsidRPr="00BC0897" w:rsidRDefault="005336D6"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lastRenderedPageBreak/>
              <w:t>Dent disease type</w:t>
            </w:r>
          </w:p>
        </w:tc>
        <w:tc>
          <w:tcPr>
            <w:tcW w:w="3715" w:type="dxa"/>
            <w:gridSpan w:val="2"/>
            <w:vAlign w:val="center"/>
            <w:hideMark/>
          </w:tcPr>
          <w:p w:rsidR="005336D6" w:rsidRPr="00BC0897" w:rsidRDefault="005336D6"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Mutation</w:t>
            </w:r>
          </w:p>
        </w:tc>
        <w:tc>
          <w:tcPr>
            <w:tcW w:w="5390" w:type="dxa"/>
            <w:gridSpan w:val="2"/>
            <w:vAlign w:val="center"/>
            <w:hideMark/>
          </w:tcPr>
          <w:p w:rsidR="005336D6" w:rsidRPr="00BC0897" w:rsidRDefault="005336D6"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Histology</w:t>
            </w:r>
          </w:p>
        </w:tc>
        <w:tc>
          <w:tcPr>
            <w:tcW w:w="1985" w:type="dxa"/>
            <w:vMerge w:val="restart"/>
            <w:vAlign w:val="center"/>
            <w:hideMark/>
          </w:tcPr>
          <w:p w:rsidR="005336D6" w:rsidRPr="00BC0897" w:rsidRDefault="005336D6"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TEM</w:t>
            </w:r>
          </w:p>
        </w:tc>
        <w:tc>
          <w:tcPr>
            <w:tcW w:w="1559" w:type="dxa"/>
            <w:vMerge w:val="restart"/>
            <w:vAlign w:val="center"/>
            <w:hideMark/>
          </w:tcPr>
          <w:p w:rsidR="005336D6" w:rsidRPr="00BC0897" w:rsidRDefault="005336D6"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IF</w:t>
            </w:r>
          </w:p>
        </w:tc>
        <w:tc>
          <w:tcPr>
            <w:tcW w:w="1701" w:type="dxa"/>
            <w:vMerge w:val="restart"/>
            <w:vAlign w:val="center"/>
            <w:hideMark/>
          </w:tcPr>
          <w:p w:rsidR="005336D6" w:rsidRPr="00BC0897" w:rsidRDefault="005336D6"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Ref</w:t>
            </w:r>
          </w:p>
        </w:tc>
      </w:tr>
      <w:tr w:rsidR="005336D6" w:rsidRPr="00BC0897" w:rsidTr="00BA526F">
        <w:trPr>
          <w:trHeight w:val="258"/>
        </w:trPr>
        <w:tc>
          <w:tcPr>
            <w:tcW w:w="846" w:type="dxa"/>
            <w:vMerge/>
            <w:vAlign w:val="center"/>
            <w:hideMark/>
          </w:tcPr>
          <w:p w:rsidR="005336D6" w:rsidRPr="00BC0897" w:rsidRDefault="005336D6" w:rsidP="00BA526F">
            <w:pPr>
              <w:spacing w:after="0"/>
              <w:jc w:val="center"/>
              <w:rPr>
                <w:rFonts w:ascii="Times New Roman" w:hAnsi="Times New Roman" w:cs="Times New Roman"/>
                <w:b/>
                <w:bCs/>
                <w:sz w:val="20"/>
                <w:szCs w:val="20"/>
                <w:lang w:val="en-US"/>
              </w:rPr>
            </w:pPr>
          </w:p>
        </w:tc>
        <w:tc>
          <w:tcPr>
            <w:tcW w:w="1843" w:type="dxa"/>
            <w:vAlign w:val="center"/>
            <w:hideMark/>
          </w:tcPr>
          <w:p w:rsidR="005336D6" w:rsidRPr="00BC0897" w:rsidRDefault="005336D6"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Nucleotide</w:t>
            </w:r>
          </w:p>
        </w:tc>
        <w:tc>
          <w:tcPr>
            <w:tcW w:w="1872" w:type="dxa"/>
            <w:vAlign w:val="center"/>
            <w:hideMark/>
          </w:tcPr>
          <w:p w:rsidR="005336D6" w:rsidRPr="00BC0897" w:rsidRDefault="005336D6"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Protein</w:t>
            </w:r>
          </w:p>
        </w:tc>
        <w:tc>
          <w:tcPr>
            <w:tcW w:w="2835" w:type="dxa"/>
            <w:vAlign w:val="center"/>
            <w:hideMark/>
          </w:tcPr>
          <w:p w:rsidR="005336D6" w:rsidRPr="00BC0897" w:rsidRDefault="005336D6"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Glomerular</w:t>
            </w:r>
          </w:p>
        </w:tc>
        <w:tc>
          <w:tcPr>
            <w:tcW w:w="2555" w:type="dxa"/>
            <w:vAlign w:val="center"/>
            <w:hideMark/>
          </w:tcPr>
          <w:p w:rsidR="005336D6" w:rsidRPr="00BC0897" w:rsidRDefault="005336D6"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Interstitial</w:t>
            </w:r>
          </w:p>
        </w:tc>
        <w:tc>
          <w:tcPr>
            <w:tcW w:w="1985" w:type="dxa"/>
            <w:vMerge/>
            <w:vAlign w:val="center"/>
            <w:hideMark/>
          </w:tcPr>
          <w:p w:rsidR="005336D6" w:rsidRPr="00BC0897" w:rsidRDefault="005336D6" w:rsidP="00BA526F">
            <w:pPr>
              <w:spacing w:after="0"/>
              <w:jc w:val="center"/>
              <w:rPr>
                <w:rFonts w:ascii="Times New Roman" w:hAnsi="Times New Roman" w:cs="Times New Roman"/>
                <w:b/>
                <w:bCs/>
                <w:sz w:val="20"/>
                <w:szCs w:val="20"/>
                <w:lang w:val="en-US"/>
              </w:rPr>
            </w:pPr>
          </w:p>
        </w:tc>
        <w:tc>
          <w:tcPr>
            <w:tcW w:w="1559" w:type="dxa"/>
            <w:vMerge/>
            <w:vAlign w:val="center"/>
            <w:hideMark/>
          </w:tcPr>
          <w:p w:rsidR="005336D6" w:rsidRPr="00BC0897" w:rsidRDefault="005336D6" w:rsidP="00BA526F">
            <w:pPr>
              <w:spacing w:after="0"/>
              <w:jc w:val="center"/>
              <w:rPr>
                <w:rFonts w:ascii="Times New Roman" w:hAnsi="Times New Roman" w:cs="Times New Roman"/>
                <w:b/>
                <w:bCs/>
                <w:sz w:val="20"/>
                <w:szCs w:val="20"/>
                <w:lang w:val="en-US"/>
              </w:rPr>
            </w:pPr>
          </w:p>
        </w:tc>
        <w:tc>
          <w:tcPr>
            <w:tcW w:w="1701" w:type="dxa"/>
            <w:vMerge/>
            <w:vAlign w:val="center"/>
            <w:hideMark/>
          </w:tcPr>
          <w:p w:rsidR="005336D6" w:rsidRPr="00BC0897" w:rsidRDefault="005336D6" w:rsidP="00BA526F">
            <w:pPr>
              <w:spacing w:after="0"/>
              <w:jc w:val="center"/>
              <w:rPr>
                <w:rFonts w:ascii="Times New Roman" w:hAnsi="Times New Roman" w:cs="Times New Roman"/>
                <w:b/>
                <w:bCs/>
                <w:sz w:val="20"/>
                <w:szCs w:val="20"/>
                <w:lang w:val="en-US"/>
              </w:rPr>
            </w:pPr>
          </w:p>
        </w:tc>
      </w:tr>
      <w:tr w:rsidR="008F7E4A" w:rsidRPr="00BC0897" w:rsidTr="007B380E">
        <w:trPr>
          <w:trHeight w:val="274"/>
        </w:trPr>
        <w:tc>
          <w:tcPr>
            <w:tcW w:w="846" w:type="dxa"/>
            <w:shd w:val="clear" w:color="auto" w:fill="auto"/>
            <w:noWrap/>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872"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2835"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Normal</w:t>
            </w:r>
          </w:p>
        </w:tc>
        <w:tc>
          <w:tcPr>
            <w:tcW w:w="2555"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Normal</w:t>
            </w:r>
          </w:p>
        </w:tc>
        <w:tc>
          <w:tcPr>
            <w:tcW w:w="1985"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{"citationID":"jBrGh9zX","properties":{"formattedCitation":"(Deng et al. 2020)","plainCitation":"(Deng et al. 2020)","noteIndex":0},"citationItems":[{"id":2533,"uris":["http://zotero.org/users/local/jkkvYBSC/items/5ERYPQ5M"],"uri":["http://zotero.org/users/local/jkkvYBSC/items/5ERYPQ5M"],"itemData":{"id":2533,"type":"article-journal","abstract":"BACKGROUND: To characterize the phenotypic spectrum and assess the antialbuminuric response to angiotensin converting enzyme (ACE) inhibitor and/or angiotensin receptor blocker (ARB) therapy in a cohort of children with Dent disease.\nMETHODS: The patients' clinical findings, renal biopsy results, genetic and follow-up data were analyzed retrospectively. Mutations in CLCN5 or OCRL were detected by next-generation sequencing or Sanger sequencing.\nRESULTS: Of 31 Dent disease boys, 24 carried CLCN5 and 7 carried OCRL mutations. Low molecular weight proteinuria and albuminuria were detected in all cases. Nephrotic-range proteinuria and severe albuminuria were identified in 52% and 62% of cases, respectively; by 7 years of age, 6 patients had hematuria and nephrotic-range proteinuria, and 7 patients had hematuria and moderate to severe albuminuria. In addition to disease-related renal features, patients with Dent-1 disease also presented with congenital cataract (1/9) and developmental delay (2/7). Seventeen of 31 patients underwent renal biopsy. Glomerular changes included mild glomerular lesions, mesangial proliferative glomerulonephritis and focal segmental glomerular sclerosis. Thirteen of the 31 patients had follow-up records and received ACE inhibitor and/or ARB treatment for more than 3 months. After a median 1.7 (range 0.3-8.5) years of treatment, a reduction in the urinary microalbumin-to-creatinine ratio was observed in 54% of children.\nCONCLUSIONS: Hematuria with nephrotic-range proteinuria or moderate to severe albuminuria was common in Dent disease patients. Extrarenal manifestations were observed in Dent-1 patients, which extends the phenotypic spectrum. In addition, ACE inhibitors and ARBs are well tolerated, and they are partially effective in controlling albuminuria.","container-title":"Molecular Genetics &amp; Genomic Medicine","DOI":"10.1002/mgg3.1306","ISSN":"2324-9269","journalAbbreviation":"Mol Genet Genomic Med","language":"eng","note":"PMID: 32495484","page":"e1306","source":"PubMed","title":"Phenotypic spectrum and antialbuminuric response to angiotensin converting enzyme inhibitor and angiotensin receptor blocker therapy in pediatric Dent disease","author":[{"family":"Deng","given":"Haiyue"},{"family":"Zhang","given":"Yanqin"},{"family":"Xiao","given":"Huijie"},{"family":"Yao","given":"Yong"},{"family":"Zhang","given":"Hongwen"},{"family":"Liu","given":"Xiaoyu"},{"family":"Su","given":"Baige"},{"family":"Guan","given":"Na"},{"family":"Zhong","given":"Xuhui"},{"family":"Wang","given":"Suxia"},{"family":"Ding","given":"Jie"},{"family":"Wang","given":"Fang"}],"issued":{"date-parts":[["2020",6,3]]}}}],"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rPr>
              <w:t>(Deng et al. 2020)</w:t>
            </w:r>
            <w:r w:rsidRPr="00BC0897">
              <w:rPr>
                <w:rFonts w:ascii="Times New Roman" w:hAnsi="Times New Roman" w:cs="Times New Roman"/>
                <w:sz w:val="20"/>
                <w:szCs w:val="20"/>
                <w:lang w:val="en-US"/>
              </w:rPr>
              <w:fldChar w:fldCharType="end"/>
            </w:r>
          </w:p>
        </w:tc>
      </w:tr>
      <w:tr w:rsidR="008F7E4A" w:rsidRPr="00BC0897" w:rsidTr="007B380E">
        <w:trPr>
          <w:trHeight w:val="274"/>
        </w:trPr>
        <w:tc>
          <w:tcPr>
            <w:tcW w:w="846" w:type="dxa"/>
            <w:shd w:val="clear" w:color="auto" w:fill="auto"/>
            <w:noWrap/>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872"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2835"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Mesangial proliferative glomerulonephritis</w:t>
            </w:r>
          </w:p>
        </w:tc>
        <w:tc>
          <w:tcPr>
            <w:tcW w:w="2555"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Tubulointerstitial nephritis</w:t>
            </w:r>
          </w:p>
        </w:tc>
        <w:tc>
          <w:tcPr>
            <w:tcW w:w="1985"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{"citationID":"NC7X94QV","properties":{"formattedCitation":"(Deng et al. 2020)","plainCitation":"(Deng et al. 2020)","noteIndex":0},"citationItems":[{"id":2533,"uris":["http://zotero.org/users/local/jkkvYBSC/items/5ERYPQ5M"],"uri":["http://zotero.org/users/local/jkkvYBSC/items/5ERYPQ5M"],"itemData":{"id":2533,"type":"article-journal","abstract":"BACKGROUND: To characterize the phenotypic spectrum and assess the antialbuminuric response to angiotensin converting enzyme (ACE) inhibitor and/or angiotensin receptor blocker (ARB) therapy in a cohort of children with Dent disease.\nMETHODS: The patients' clinical findings, renal biopsy results, genetic and follow-up data were analyzed retrospectively. Mutations in CLCN5 or OCRL were detected by next-generation sequencing or Sanger sequencing.\nRESULTS: Of 31 Dent disease boys, 24 carried CLCN5 and 7 carried OCRL mutations. Low molecular weight proteinuria and albuminuria were detected in all cases. Nephrotic-range proteinuria and severe albuminuria were identified in 52% and 62% of cases, respectively; by 7 years of age, 6 patients had hematuria and nephrotic-range proteinuria, and 7 patients had hematuria and moderate to severe albuminuria. In addition to disease-related renal features, patients with Dent-1 disease also presented with congenital cataract (1/9) and developmental delay (2/7). Seventeen of 31 patients underwent renal biopsy. Glomerular changes included mild glomerular lesions, mesangial proliferative glomerulonephritis and focal segmental glomerular sclerosis. Thirteen of the 31 patients had follow-up records and received ACE inhibitor and/or ARB treatment for more than 3 months. After a median 1.7 (range 0.3-8.5) years of treatment, a reduction in the urinary microalbumin-to-creatinine ratio was observed in 54% of children.\nCONCLUSIONS: Hematuria with nephrotic-range proteinuria or moderate to severe albuminuria was common in Dent disease patients. Extrarenal manifestations were observed in Dent-1 patients, which extends the phenotypic spectrum. In addition, ACE inhibitors and ARBs are well tolerated, and they are partially effective in controlling albuminuria.","container-title":"Molecular Genetics &amp; Genomic Medicine","DOI":"10.1002/mgg3.1306","ISSN":"2324-9269","journalAbbreviation":"Mol Genet Genomic Med","language":"eng","note":"PMID: 32495484","page":"e1306","source":"PubMed","title":"Phenotypic spectrum and antialbuminuric response to angiotensin converting enzyme inhibitor and angiotensin receptor blocker therapy in pediatric Dent disease","author":[{"family":"Deng","given":"Haiyue"},{"family":"Zhang","given":"Yanqin"},{"family":"Xiao","given":"Huijie"},{"family":"Yao","given":"Yong"},{"family":"Zhang","given":"Hongwen"},{"family":"Liu","given":"Xiaoyu"},{"family":"Su","given":"Baige"},{"family":"Guan","given":"Na"},{"family":"Zhong","given":"Xuhui"},{"family":"Wang","given":"Suxia"},{"family":"Ding","given":"Jie"},{"family":"Wang","given":"Fang"}],"issued":{"date-parts":[["2020",6,3]]}}}],"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rPr>
              <w:t>(Deng et al. 2020)</w:t>
            </w:r>
            <w:r w:rsidRPr="00BC0897">
              <w:rPr>
                <w:rFonts w:ascii="Times New Roman" w:hAnsi="Times New Roman" w:cs="Times New Roman"/>
                <w:sz w:val="20"/>
                <w:szCs w:val="20"/>
                <w:lang w:val="en-US"/>
              </w:rPr>
              <w:fldChar w:fldCharType="end"/>
            </w:r>
          </w:p>
        </w:tc>
      </w:tr>
      <w:tr w:rsidR="008F7E4A" w:rsidRPr="002212C2" w:rsidTr="00BB319F">
        <w:trPr>
          <w:trHeight w:val="274"/>
        </w:trPr>
        <w:tc>
          <w:tcPr>
            <w:tcW w:w="846" w:type="dxa"/>
            <w:shd w:val="clear" w:color="auto" w:fill="auto"/>
            <w:noWrap/>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872"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2835"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Normal</w:t>
            </w:r>
          </w:p>
        </w:tc>
        <w:tc>
          <w:tcPr>
            <w:tcW w:w="2555"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Normal</w:t>
            </w:r>
          </w:p>
        </w:tc>
        <w:tc>
          <w:tcPr>
            <w:tcW w:w="1985"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{"citationID":"e1rze8B6","properties":{"formattedCitation":"(Deng et al. 2020)","plainCitation":"(Deng et al. 2020)","noteIndex":0},"citationItems":[{"id":2533,"uris":["http://zotero.org/users/local/jkkvYBSC/items/5ERYPQ5M"],"uri":["http://zotero.org/users/local/jkkvYBSC/items/5ERYPQ5M"],"itemData":{"id":2533,"type":"article-journal","abstract":"BACKGROUND: To characterize the phenotypic spectrum and assess the antialbuminuric response to angiotensin converting enzyme (ACE) inhibitor and/or angiotensin receptor blocker (ARB) therapy in a cohort of children with Dent disease.\nMETHODS: The patients' clinical findings, renal biopsy results, genetic and follow-up data were analyzed retrospectively. Mutations in CLCN5 or OCRL were detected by next-generation sequencing or Sanger sequencing.\nRESULTS: Of 31 Dent disease boys, 24 carried CLCN5 and 7 carried OCRL mutations. Low molecular weight proteinuria and albuminuria were detected in all cases. Nephrotic-range proteinuria and severe albuminuria were identified in 52% and 62% of cases, respectively; by 7 years of age, 6 patients had hematuria and nephrotic-range proteinuria, and 7 patients had hematuria and moderate to severe albuminuria. In addition to disease-related renal features, patients with Dent-1 disease also presented with congenital cataract (1/9) and developmental delay (2/7). Seventeen of 31 patients underwent renal biopsy. Glomerular changes included mild glomerular lesions, mesangial proliferative glomerulonephritis and focal segmental glomerular sclerosis. Thirteen of the 31 patients had follow-up records and received ACE inhibitor and/or ARB treatment for more than 3 months. After a median 1.7 (range 0.3-8.5) years of treatment, a reduction in the urinary microalbumin-to-creatinine ratio was observed in 54% of children.\nCONCLUSIONS: Hematuria with nephrotic-range proteinuria or moderate to severe albuminuria was common in Dent disease patients. Extrarenal manifestations were observed in Dent-1 patients, which extends the phenotypic spectrum. In addition, ACE inhibitors and ARBs are well tolerated, and they are partially effective in controlling albuminuria.","container-title":"Molecular Genetics &amp; Genomic Medicine","DOI":"10.1002/mgg3.1306","ISSN":"2324-9269","journalAbbreviation":"Mol Genet Genomic Med","language":"eng","note":"PMID: 32495484","page":"e1306","source":"PubMed","title":"Phenotypic spectrum and antialbuminuric response to angiotensin converting enzyme inhibitor and angiotensin receptor blocker therapy in pediatric Dent disease","author":[{"family":"Deng","given":"Haiyue"},{"family":"Zhang","given":"Yanqin"},{"family":"Xiao","given":"Huijie"},{"family":"Yao","given":"Yong"},{"family":"Zhang","given":"Hongwen"},{"family":"Liu","given":"Xiaoyu"},{"family":"Su","given":"Baige"},{"family":"Guan","given":"Na"},{"family":"Zhong","given":"Xuhui"},{"family":"Wang","given":"Suxia"},{"family":"Ding","given":"Jie"},{"family":"Wang","given":"Fang"}],"issued":{"date-parts":[["2020",6,3]]}}}],"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lang w:val="en-US"/>
              </w:rPr>
              <w:t>(Deng et al. 2020)</w:t>
            </w:r>
            <w:r w:rsidRPr="00BC0897">
              <w:rPr>
                <w:rFonts w:ascii="Times New Roman" w:hAnsi="Times New Roman" w:cs="Times New Roman"/>
                <w:sz w:val="20"/>
                <w:szCs w:val="20"/>
                <w:lang w:val="en-US"/>
              </w:rPr>
              <w:fldChar w:fldCharType="end"/>
            </w:r>
          </w:p>
        </w:tc>
      </w:tr>
      <w:tr w:rsidR="008F7E4A" w:rsidRPr="002212C2" w:rsidTr="007B380E">
        <w:trPr>
          <w:trHeight w:val="274"/>
        </w:trPr>
        <w:tc>
          <w:tcPr>
            <w:tcW w:w="846" w:type="dxa"/>
            <w:shd w:val="clear" w:color="auto" w:fill="auto"/>
            <w:noWrap/>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872"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2835"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Mild glomerular lesions</w:t>
            </w:r>
          </w:p>
        </w:tc>
        <w:tc>
          <w:tcPr>
            <w:tcW w:w="2555"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Chronic tubulointerstitial nephropathy with ischemic renal damage</w:t>
            </w:r>
          </w:p>
        </w:tc>
        <w:tc>
          <w:tcPr>
            <w:tcW w:w="1985"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{"citationID":"u74qItjk","properties":{"formattedCitation":"(Deng et al. 2020)","plainCitation":"(Deng et al. 2020)","noteIndex":0},"citationItems":[{"id":2533,"uris":["http://zotero.org/users/local/jkkvYBSC/items/5ERYPQ5M"],"uri":["http://zotero.org/users/local/jkkvYBSC/items/5ERYPQ5M"],"itemData":{"id":2533,"type":"article-journal","abstract":"BACKGROUND: To characterize the phenotypic spectrum and assess the antialbuminuric response to angiotensin converting enzyme (ACE) inhibitor and/or angiotensin receptor blocker (ARB) therapy in a cohort of children with Dent disease.\nMETHODS: The patients' clinical findings, renal biopsy results, genetic and follow-up data were analyzed retrospectively. Mutations in CLCN5 or OCRL were detected by next-generation sequencing or Sanger sequencing.\nRESULTS: Of 31 Dent disease boys, 24 carried CLCN5 and 7 carried OCRL mutations. Low molecular weight proteinuria and albuminuria were detected in all cases. Nephrotic-range proteinuria and severe albuminuria were identified in 52% and 62% of cases, respectively; by 7 years of age, 6 patients had hematuria and nephrotic-range proteinuria, and 7 patients had hematuria and moderate to severe albuminuria. In addition to disease-related renal features, patients with Dent-1 disease also presented with congenital cataract (1/9) and developmental delay (2/7). Seventeen of 31 patients underwent renal biopsy. Glomerular changes included mild glomerular lesions, mesangial proliferative glomerulonephritis and focal segmental glomerular sclerosis. Thirteen of the 31 patients had follow-up records and received ACE inhibitor and/or ARB treatment for more than 3 months. After a median 1.7 (range 0.3-8.5) years of treatment, a reduction in the urinary microalbumin-to-creatinine ratio was observed in 54% of children.\nCONCLUSIONS: Hematuria with nephrotic-range proteinuria or moderate to severe albuminuria was common in Dent disease patients. Extrarenal manifestations were observed in Dent-1 patients, which extends the phenotypic spectrum. In addition, ACE inhibitors and ARBs are well tolerated, and they are partially effective in controlling albuminuria.","container-title":"Molecular Genetics &amp; Genomic Medicine","DOI":"10.1002/mgg3.1306","ISSN":"2324-9269","journalAbbreviation":"Mol Genet Genomic Med","language":"eng","note":"PMID: 32495484","page":"e1306","source":"PubMed","title":"Phenotypic spectrum and antialbuminuric response to angiotensin converting enzyme inhibitor and angiotensin receptor blocker therapy in pediatric Dent disease","author":[{"family":"Deng","given":"Haiyue"},{"family":"Zhang","given":"Yanqin"},{"family":"Xiao","given":"Huijie"},{"family":"Yao","given":"Yong"},{"family":"Zhang","given":"Hongwen"},{"family":"Liu","given":"Xiaoyu"},{"family":"Su","given":"Baige"},{"family":"Guan","given":"Na"},{"family":"Zhong","given":"Xuhui"},{"family":"Wang","given":"Suxia"},{"family":"Ding","given":"Jie"},{"family":"Wang","given":"Fang"}],"issued":{"date-parts":[["2020",6,3]]}}}],"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lang w:val="en-US"/>
              </w:rPr>
              <w:t>(Deng et al. 2020)</w:t>
            </w:r>
            <w:r w:rsidRPr="00BC0897">
              <w:rPr>
                <w:rFonts w:ascii="Times New Roman" w:hAnsi="Times New Roman" w:cs="Times New Roman"/>
                <w:sz w:val="20"/>
                <w:szCs w:val="20"/>
                <w:lang w:val="en-US"/>
              </w:rPr>
              <w:fldChar w:fldCharType="end"/>
            </w:r>
          </w:p>
        </w:tc>
      </w:tr>
      <w:tr w:rsidR="008F7E4A" w:rsidRPr="002212C2" w:rsidTr="00BB319F">
        <w:trPr>
          <w:trHeight w:val="274"/>
        </w:trPr>
        <w:tc>
          <w:tcPr>
            <w:tcW w:w="846" w:type="dxa"/>
            <w:shd w:val="clear" w:color="auto" w:fill="auto"/>
            <w:noWrap/>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w:t>
            </w:r>
          </w:p>
        </w:tc>
        <w:tc>
          <w:tcPr>
            <w:tcW w:w="1843"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872"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2835"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Mild glomerular lesions</w:t>
            </w:r>
          </w:p>
        </w:tc>
        <w:tc>
          <w:tcPr>
            <w:tcW w:w="2555"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p>
        </w:tc>
        <w:tc>
          <w:tcPr>
            <w:tcW w:w="1985"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{"citationID":"0D8Dytl2","properties":{"formattedCitation":"(Deng et al. 2020)","plainCitation":"(Deng et al. 2020)","noteIndex":0},"citationItems":[{"id":2533,"uris":["http://zotero.org/users/local/jkkvYBSC/items/5ERYPQ5M"],"uri":["http://zotero.org/users/local/jkkvYBSC/items/5ERYPQ5M"],"itemData":{"id":2533,"type":"article-journal","abstract":"BACKGROUND: To characterize the phenotypic spectrum and assess the antialbuminuric response to angiotensin converting enzyme (ACE) inhibitor and/or angiotensin receptor blocker (ARB) therapy in a cohort of children with Dent disease.\nMETHODS: The patients' clinical findings, renal biopsy results, genetic and follow-up data were analyzed retrospectively. Mutations in CLCN5 or OCRL were detected by next-generation sequencing or Sanger sequencing.\nRESULTS: Of 31 Dent disease boys, 24 carried CLCN5 and 7 carried OCRL mutations. Low molecular weight proteinuria and albuminuria were detected in all cases. Nephrotic-range proteinuria and severe albuminuria were identified in 52% and 62% of cases, respectively; by 7 years of age, 6 patients had hematuria and nephrotic-range proteinuria, and 7 patients had hematuria and moderate to severe albuminuria. In addition to disease-related renal features, patients with Dent-1 disease also presented with congenital cataract (1/9) and developmental delay (2/7). Seventeen of 31 patients underwent renal biopsy. Glomerular changes included mild glomerular lesions, mesangial proliferative glomerulonephritis and focal segmental glomerular sclerosis. Thirteen of the 31 patients had follow-up records and received ACE inhibitor and/or ARB treatment for more than 3 months. After a median 1.7 (range 0.3-8.5) years of treatment, a reduction in the urinary microalbumin-to-creatinine ratio was observed in 54% of children.\nCONCLUSIONS: Hematuria with nephrotic-range proteinuria or moderate to severe albuminuria was common in Dent disease patients. Extrarenal manifestations were observed in Dent-1 patients, which extends the phenotypic spectrum. In addition, ACE inhibitors and ARBs are well tolerated, and they are partially effective in controlling albuminuria.","container-title":"Molecular Genetics &amp; Genomic Medicine","DOI":"10.1002/mgg3.1306","ISSN":"2324-9269","journalAbbreviation":"Mol Genet Genomic Med","language":"eng","note":"PMID: 32495484","page":"e1306","source":"PubMed","title":"Phenotypic spectrum and antialbuminuric response to angiotensin converting enzyme inhibitor and angiotensin receptor blocker therapy in pediatric Dent disease","author":[{"family":"Deng","given":"Haiyue"},{"family":"Zhang","given":"Yanqin"},{"family":"Xiao","given":"Huijie"},{"family":"Yao","given":"Yong"},{"family":"Zhang","given":"Hongwen"},{"family":"Liu","given":"Xiaoyu"},{"family":"Su","given":"Baige"},{"family":"Guan","given":"Na"},{"family":"Zhong","given":"Xuhui"},{"family":"Wang","given":"Suxia"},{"family":"Ding","given":"Jie"},{"family":"Wang","given":"Fang"}],"issued":{"date-parts":[["2020",6,3]]}}}],"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lang w:val="en-US"/>
              </w:rPr>
              <w:t>(Deng et al. 2020)</w:t>
            </w:r>
            <w:r w:rsidRPr="00BC0897">
              <w:rPr>
                <w:rFonts w:ascii="Times New Roman" w:hAnsi="Times New Roman" w:cs="Times New Roman"/>
                <w:sz w:val="20"/>
                <w:szCs w:val="20"/>
                <w:lang w:val="en-US"/>
              </w:rPr>
              <w:fldChar w:fldCharType="end"/>
            </w:r>
          </w:p>
        </w:tc>
      </w:tr>
      <w:tr w:rsidR="008F7E4A" w:rsidRPr="00BC0897" w:rsidTr="00BB319F">
        <w:trPr>
          <w:trHeight w:val="413"/>
        </w:trPr>
        <w:tc>
          <w:tcPr>
            <w:tcW w:w="846" w:type="dxa"/>
            <w:shd w:val="clear" w:color="auto" w:fill="auto"/>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w:t>
            </w:r>
          </w:p>
        </w:tc>
        <w:tc>
          <w:tcPr>
            <w:tcW w:w="1843"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p>
        </w:tc>
        <w:tc>
          <w:tcPr>
            <w:tcW w:w="1872"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p.Gln87fs*18</w:t>
            </w:r>
          </w:p>
        </w:tc>
        <w:tc>
          <w:tcPr>
            <w:tcW w:w="283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FGGS</w:t>
            </w:r>
          </w:p>
        </w:tc>
        <w:tc>
          <w:tcPr>
            <w:tcW w:w="255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Normal</w:t>
            </w:r>
          </w:p>
        </w:tc>
        <w:tc>
          <w:tcPr>
            <w:tcW w:w="198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Foot process effacement</w:t>
            </w:r>
          </w:p>
        </w:tc>
        <w:tc>
          <w:tcPr>
            <w:tcW w:w="1559"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{"citationID":"b94g54ld","properties":{"formattedCitation":"(Zhang et al. 2017)","plainCitation":"(Zhang et al. 2017)","noteIndex":0},"citationItems":[{"id":27,"uris":["http://zotero.org/users/local/jkkvYBSC/items/WAC5SMPK"],"uri":["http://zotero.org/users/local/jkkvYBSC/items/WAC5SMPK"],"itemData":{"id":27,"type":"article-journal","abstract":"Dent's disease is an X-linked inherited renal disease. Patients with Dent's disease often carry mutations in genes encoding the Cl-/H+ exchanger ClC-5 and/or inositol polyphosphate 5-phosphatase (OCRL1). However, the mutations involved and the biochemical effects of these mutations are not fully understood. To characterize genetic changes in Dent's disease patients, in this study, samples from nine Chinese patients were subjected to genetic analysis. Among the nine patients, six were classified as having Dent-1 disease, one had Dent-2 disease, and two could not be classified. Expression of ClC-5 carrying Dent's disease-associated mutations in HEK293 cells had varying effects: (1) no detectable expression of mutant protein; (2) retention of a truncated protein in the endoplasmic reticulum; or (3) diminished protein expression with normal distribution in early endosomes. Dent's disease patients showed genetic heterogeneity and over 20% of patients did not have CLCN5 or OCRL1 mutations, suggesting the existence of other genetic factors. Using next-generation sequencing, we identified possible modifier genes that have not been previously reported in Dent's disease patients. Heterozygous variants in CFTR, SCNN1A, and SCNN1B genes associated with cystic fibrosis (CF) or CF-like disease were detected in four of our nine patients. These results may form the basis for future characterization of Dent's disease and genetic counseling approaches.","container-title":"DNA and cell biology","DOI":"10.1089/dna.2017.3731","ISSN":"1557-7430","issue":"12","journalAbbreviation":"DNA Cell Biol.","language":"eng","note":"PMID: 29058463","page":"1151-1158","source":"PubMed","title":"Genetic Analysis of Dent's Disease and Functional Research of CLCN5 Mutations","volume":"36","author":[{"family":"Zhang","given":"Ya"},{"family":"Fang","given":"Xiaoyan"},{"family":"Xu","given":"Hong"},{"family":"Shen","given":"Qian"}],"issued":{"date-parts":[["2017",12]]}}}],"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szCs w:val="20"/>
              </w:rPr>
              <w:t>(Zhang et al. 2017)</w:t>
            </w:r>
            <w:r w:rsidRPr="00BC0897">
              <w:rPr>
                <w:rFonts w:ascii="Times New Roman" w:hAnsi="Times New Roman" w:cs="Times New Roman"/>
                <w:sz w:val="20"/>
                <w:szCs w:val="20"/>
                <w:lang w:val="en-US"/>
              </w:rPr>
              <w:fldChar w:fldCharType="end"/>
            </w:r>
          </w:p>
        </w:tc>
      </w:tr>
      <w:tr w:rsidR="008F7E4A" w:rsidRPr="002212C2" w:rsidTr="00BB319F">
        <w:trPr>
          <w:trHeight w:val="274"/>
        </w:trPr>
        <w:tc>
          <w:tcPr>
            <w:tcW w:w="846" w:type="dxa"/>
            <w:shd w:val="clear" w:color="auto" w:fill="auto"/>
            <w:noWrap/>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w:t>
            </w:r>
          </w:p>
        </w:tc>
        <w:tc>
          <w:tcPr>
            <w:tcW w:w="1843"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c.269G&gt;A</w:t>
            </w:r>
          </w:p>
        </w:tc>
        <w:tc>
          <w:tcPr>
            <w:tcW w:w="1872"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p.Trp90*</w:t>
            </w:r>
          </w:p>
        </w:tc>
        <w:tc>
          <w:tcPr>
            <w:tcW w:w="2835"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Mild glomerular lesions</w:t>
            </w:r>
          </w:p>
        </w:tc>
        <w:tc>
          <w:tcPr>
            <w:tcW w:w="2555"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p>
        </w:tc>
        <w:tc>
          <w:tcPr>
            <w:tcW w:w="1985"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p>
        </w:tc>
        <w:tc>
          <w:tcPr>
            <w:tcW w:w="1559"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p>
        </w:tc>
        <w:tc>
          <w:tcPr>
            <w:tcW w:w="1701"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{"citationID":"b45KpEwl","properties":{"formattedCitation":"(Deng et al. 2020)","plainCitation":"(Deng et al. 2020)","noteIndex":0},"citationItems":[{"id":2533,"uris":["http://zotero.org/users/local/jkkvYBSC/items/5ERYPQ5M"],"uri":["http://zotero.org/users/local/jkkvYBSC/items/5ERYPQ5M"],"itemData":{"id":2533,"type":"article-journal","abstract":"BACKGROUND: To characterize the phenotypic spectrum and assess the antialbuminuric response to angiotensin converting enzyme (ACE) inhibitor and/or angiotensin receptor blocker (ARB) therapy in a cohort of children with Dent disease.\nMETHODS: The patients' clinical findings, renal biopsy results, genetic and follow-up data were analyzed retrospectively. Mutations in CLCN5 or OCRL were detected by next-generation sequencing or Sanger sequencing.\nRESULTS: Of 31 Dent disease boys, 24 carried CLCN5 and 7 carried OCRL mutations. Low molecular weight proteinuria and albuminuria were detected in all cases. Nephrotic-range proteinuria and severe albuminuria were identified in 52% and 62% of cases, respectively; by 7 years of age, 6 patients had hematuria and nephrotic-range proteinuria, and 7 patients had hematuria and moderate to severe albuminuria. In addition to disease-related renal features, patients with Dent-1 disease also presented with congenital cataract (1/9) and developmental delay (2/7). Seventeen of 31 patients underwent renal biopsy. Glomerular changes included mild glomerular lesions, mesangial proliferative glomerulonephritis and focal segmental glomerular sclerosis. Thirteen of the 31 patients had follow-up records and received ACE inhibitor and/or ARB treatment for more than 3 months. After a median 1.7 (range 0.3-8.5) years of treatment, a reduction in the urinary microalbumin-to-creatinine ratio was observed in 54% of children.\nCONCLUSIONS: Hematuria with nephrotic-range proteinuria or moderate to severe albuminuria was common in Dent disease patients. Extrarenal manifestations were observed in Dent-1 patients, which extends the phenotypic spectrum. In addition, ACE inhibitors and ARBs are well tolerated, and they are partially effective in controlling albuminuria.","container-title":"Molecular Genetics &amp; Genomic Medicine","DOI":"10.1002/mgg3.1306","ISSN":"2324-9269","journalAbbreviation":"Mol Genet Genomic Med","language":"eng","note":"PMID: 32495484","page":"e1306","source":"PubMed","title":"Phenotypic spectrum and antialbuminuric response to angiotensin converting enzyme inhibitor and angiotensin receptor blocker therapy in pediatric Dent disease","author":[{"family":"Deng","given":"Haiyue"},{"family":"Zhang","given":"Yanqin"},{"family":"Xiao","given":"Huijie"},{"family":"Yao","given":"Yong"},{"family":"Zhang","given":"Hongwen"},{"family":"Liu","given":"Xiaoyu"},{"family":"Su","given":"Baige"},{"family":"Guan","given":"Na"},{"family":"Zhong","given":"Xuhui"},{"family":"Wang","given":"Suxia"},{"family":"Ding","given":"Jie"},{"family":"Wang","given":"Fang"}],"issued":{"date-parts":[["2020",6,3]]}}}],"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lang w:val="en-US"/>
              </w:rPr>
              <w:t>(Deng et al. 2020)</w:t>
            </w:r>
            <w:r w:rsidRPr="00BC0897">
              <w:rPr>
                <w:rFonts w:ascii="Times New Roman" w:hAnsi="Times New Roman" w:cs="Times New Roman"/>
                <w:sz w:val="20"/>
                <w:szCs w:val="20"/>
                <w:lang w:val="en-US"/>
              </w:rPr>
              <w:fldChar w:fldCharType="end"/>
            </w:r>
          </w:p>
        </w:tc>
      </w:tr>
      <w:tr w:rsidR="008F7E4A" w:rsidRPr="002212C2" w:rsidTr="007B380E">
        <w:trPr>
          <w:trHeight w:val="413"/>
        </w:trPr>
        <w:tc>
          <w:tcPr>
            <w:tcW w:w="846" w:type="dxa"/>
            <w:shd w:val="clear" w:color="auto" w:fill="auto"/>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w:t>
            </w:r>
          </w:p>
        </w:tc>
        <w:tc>
          <w:tcPr>
            <w:tcW w:w="1843"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c.310_313delTGTT</w:t>
            </w:r>
          </w:p>
        </w:tc>
        <w:tc>
          <w:tcPr>
            <w:tcW w:w="1872"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p.Cys104*</w:t>
            </w:r>
          </w:p>
        </w:tc>
        <w:tc>
          <w:tcPr>
            <w:tcW w:w="283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Mesangial proliferative glomerulonephritis</w:t>
            </w:r>
          </w:p>
        </w:tc>
        <w:tc>
          <w:tcPr>
            <w:tcW w:w="255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p>
        </w:tc>
        <w:tc>
          <w:tcPr>
            <w:tcW w:w="198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{"citationID":"bLKpeHNG","properties":{"formattedCitation":"(Bao et al. 2019)","plainCitation":"(Bao et al. 2019)","noteIndex":0},"citationItems":[{"id":259,"uris":["http://zotero.org/users/local/jkkvYBSC/items/A2LVT5AF"],"uri":["http://zotero.org/users/local/jkkvYBSC/items/A2LVT5AF"],"itemData":{"id":259,"type":"article-journal","container-title":"Science China. Life Sciences","DOI":"10.1007/s11427-018-9829-0","ISSN":"1869-1889","issue":"12","journalAbbreviation":"Sci China Life Sci","language":"eng","note":"PMID: 31701402","page":"1590-1593","source":"PubMed","title":"Clinical and genetic analysis of Dent disease with nephrotic range albuminuria in Shaanxi, China","volume":"62","author":[{"family":"Bao","given":"Ying"},{"family":"Suo","given":"Lei"},{"family":"Qian","given":"Pei"},{"family":"Huang","given":"Huimei"},{"family":"Yang","given":"Ying"},{"family":"Tang","given":"Jun"},{"family":"Zhang","given":"Min"},{"family":"Li","given":"Zhijuan"},{"family":"Wang","given":"Ying"},{"family":"Liang","given":"Nan"},{"family":"Wang","given":"Yili"}],"issued":{"date-parts":[["2019",12]]}}}],"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szCs w:val="20"/>
                <w:lang w:val="en-US"/>
              </w:rPr>
              <w:t>(Bao et al. 2019)</w:t>
            </w:r>
            <w:r w:rsidRPr="00BC0897">
              <w:rPr>
                <w:rFonts w:ascii="Times New Roman" w:hAnsi="Times New Roman" w:cs="Times New Roman"/>
                <w:sz w:val="20"/>
                <w:szCs w:val="20"/>
                <w:lang w:val="en-US"/>
              </w:rPr>
              <w:fldChar w:fldCharType="end"/>
            </w:r>
          </w:p>
        </w:tc>
      </w:tr>
      <w:tr w:rsidR="008F7E4A" w:rsidRPr="00BC0897" w:rsidTr="007B380E">
        <w:trPr>
          <w:trHeight w:val="491"/>
        </w:trPr>
        <w:tc>
          <w:tcPr>
            <w:tcW w:w="846" w:type="dxa"/>
            <w:shd w:val="clear" w:color="auto" w:fill="auto"/>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w:t>
            </w:r>
          </w:p>
        </w:tc>
        <w:tc>
          <w:tcPr>
            <w:tcW w:w="1843"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c.547delT</w:t>
            </w:r>
          </w:p>
        </w:tc>
        <w:tc>
          <w:tcPr>
            <w:tcW w:w="1872"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p.Ser183fs*2</w:t>
            </w:r>
          </w:p>
        </w:tc>
        <w:tc>
          <w:tcPr>
            <w:tcW w:w="283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Mesangial proliferative glomerulonephritis</w:t>
            </w:r>
          </w:p>
        </w:tc>
        <w:tc>
          <w:tcPr>
            <w:tcW w:w="255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p>
        </w:tc>
        <w:tc>
          <w:tcPr>
            <w:tcW w:w="198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{"citationID":"z08XpGnf","properties":{"formattedCitation":"(Bao et al. 2019)","plainCitation":"(Bao et al. 2019)","noteIndex":0},"citationItems":[{"id":259,"uris":["http://zotero.org/users/local/jkkvYBSC/items/A2LVT5AF"],"uri":["http://zotero.org/users/local/jkkvYBSC/items/A2LVT5AF"],"itemData":{"id":259,"type":"article-journal","container-title":"Science China. Life Sciences","DOI":"10.1007/s11427-018-9829-0","ISSN":"1869-1889","issue":"12","journalAbbreviation":"Sci China Life Sci","language":"eng","note":"PMID: 31701402","page":"1590-1593","source":"PubMed","title":"Clinical and genetic analysis of Dent disease with nephrotic range albuminuria in Shaanxi, China","volume":"62","author":[{"family":"Bao","given":"Ying"},{"family":"Suo","given":"Lei"},{"family":"Qian","given":"Pei"},{"family":"Huang","given":"Huimei"},{"family":"Yang","given":"Ying"},{"family":"Tang","given":"Jun"},{"family":"Zhang","given":"Min"},{"family":"Li","given":"Zhijuan"},{"family":"Wang","given":"Ying"},{"family":"Liang","given":"Nan"},{"family":"Wang","given":"Yili"}],"issued":{"date-parts":[["2019",12]]}}}],"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szCs w:val="20"/>
              </w:rPr>
              <w:t>(Bao et al. 2019)</w:t>
            </w:r>
            <w:r w:rsidRPr="00BC0897">
              <w:rPr>
                <w:rFonts w:ascii="Times New Roman" w:hAnsi="Times New Roman" w:cs="Times New Roman"/>
                <w:sz w:val="20"/>
                <w:szCs w:val="20"/>
                <w:lang w:val="en-US"/>
              </w:rPr>
              <w:fldChar w:fldCharType="end"/>
            </w:r>
          </w:p>
        </w:tc>
      </w:tr>
      <w:tr w:rsidR="008F7E4A" w:rsidRPr="00BC0897" w:rsidTr="007B380E">
        <w:trPr>
          <w:trHeight w:val="268"/>
        </w:trPr>
        <w:tc>
          <w:tcPr>
            <w:tcW w:w="846" w:type="dxa"/>
            <w:shd w:val="clear" w:color="auto" w:fill="auto"/>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w:t>
            </w:r>
          </w:p>
        </w:tc>
        <w:tc>
          <w:tcPr>
            <w:tcW w:w="1843"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p>
        </w:tc>
        <w:tc>
          <w:tcPr>
            <w:tcW w:w="1872"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p.Arg301Cys</w:t>
            </w:r>
          </w:p>
        </w:tc>
        <w:tc>
          <w:tcPr>
            <w:tcW w:w="283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Minor glomerular abnormalities</w:t>
            </w:r>
          </w:p>
        </w:tc>
        <w:tc>
          <w:tcPr>
            <w:tcW w:w="255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p>
        </w:tc>
        <w:tc>
          <w:tcPr>
            <w:tcW w:w="198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00040F98" w:rsidRPr="00BC0897">
              <w:rPr>
                <w:rFonts w:ascii="Times New Roman" w:hAnsi="Times New Roman" w:cs="Times New Roman"/>
                <w:sz w:val="20"/>
                <w:szCs w:val="20"/>
                <w:lang w:val="en-US"/>
              </w:rPr>
              <w:instrText xml:space="preserve"> ADDIN ZOTERO_ITEM CSL_CITATION {"citationID":"TT1Iaeyu","properties":{"formattedCitation":"(Sekine et al. 2007)","plainCitation":"(Sekine et al. 2007)","noteIndex":0},"citationItems":[{"id":"p7ATYret/PCD0guYr","uris":["http://zotero.org/users/local/jkkvYBSC/items/YMWL63LB"],"uri":["http://zotero.org/users/local/jkkvYBSC/items/YMWL63LB"],"itemData":{"id":804,"type":"article-journal","abstract":"Three distinct OCRL1 mutations in three patients with the Dent disease phenotype are described. All the patients manifested an extremely high degree of low-molecular-weight proteinuria and showed no ocular abnormalities or apparent mental retardation. Urinalysis and blood chemistry showed no findings suggestive of Fanconi syndrome with renal tubular acidosis. Mutations in CLCN5 were ruled out. The mutations identified in OCRL1 are one frame-shift mutation (I127stop) and two missense mutations (R301C and R476W). R301C and R476W mutations might be hot spots in OCRL1, which develop very similar phenotypes as Dent-2.","container-title":"Pediatric Nephrology (Berlin, Germany)","DOI":"10.1007/s00467-007-0454-x","ISSN":"0931-041X","issue":"7","journalAbbreviation":"Pediatr. Nephrol.","language":"eng","note":"PMID: 17384968","page":"975-980","source":"PubMed","title":"OCRL1 mutations in patients with Dent disease phenotype in Japan","volume":"22","author":[{"family":"Sekine","given":"Takashi"},{"family":"Nozu","given":"Kandai"},{"family":"Iyengar","given":"Rashmi"},{"family":"Fu","given":"Xue Jun"},{"family":"Matsuo","given":"Masafumi"},{"family":"Tanaka","given":"Ryojiro"},{"family":"Iijima","given":"Kazumoto"},{"family":"Matsui","given":"Emiko"},{"family":"Harita","given":"Yutaka"},{"family":"Inatomi","given":"Jun"},{"family":"Igarashi","given":"Takashi"}],"issued":{"date-parts":[["2007",7]]}}}],"schema":"https://github.com/citation-style-language/schema/raw/master/csl-citation.json"} </w:instrText>
            </w:r>
            <w:r w:rsidRPr="00BC0897">
              <w:rPr>
                <w:rFonts w:ascii="Times New Roman" w:hAnsi="Times New Roman" w:cs="Times New Roman"/>
                <w:sz w:val="20"/>
                <w:szCs w:val="20"/>
                <w:lang w:val="en-US"/>
              </w:rPr>
              <w:fldChar w:fldCharType="separate"/>
            </w:r>
            <w:r w:rsidR="00040F98" w:rsidRPr="00BC0897">
              <w:rPr>
                <w:rFonts w:ascii="Times New Roman" w:hAnsi="Times New Roman" w:cs="Times New Roman"/>
                <w:sz w:val="20"/>
              </w:rPr>
              <w:t>(Sekine et al. 2007)</w:t>
            </w:r>
            <w:r w:rsidRPr="00BC0897">
              <w:rPr>
                <w:rFonts w:ascii="Times New Roman" w:hAnsi="Times New Roman" w:cs="Times New Roman"/>
                <w:sz w:val="20"/>
                <w:szCs w:val="20"/>
                <w:lang w:val="en-US"/>
              </w:rPr>
              <w:fldChar w:fldCharType="end"/>
            </w:r>
          </w:p>
        </w:tc>
      </w:tr>
      <w:tr w:rsidR="008F7E4A" w:rsidRPr="00BC0897" w:rsidTr="007B380E">
        <w:trPr>
          <w:trHeight w:val="276"/>
        </w:trPr>
        <w:tc>
          <w:tcPr>
            <w:tcW w:w="846" w:type="dxa"/>
            <w:shd w:val="clear" w:color="auto" w:fill="auto"/>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w:t>
            </w:r>
          </w:p>
        </w:tc>
        <w:tc>
          <w:tcPr>
            <w:tcW w:w="1843"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c.952C&gt;T</w:t>
            </w:r>
          </w:p>
        </w:tc>
        <w:tc>
          <w:tcPr>
            <w:tcW w:w="1872"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p.Arg318Cys</w:t>
            </w:r>
          </w:p>
        </w:tc>
        <w:tc>
          <w:tcPr>
            <w:tcW w:w="283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Minor glomerular abnormalities</w:t>
            </w:r>
          </w:p>
        </w:tc>
        <w:tc>
          <w:tcPr>
            <w:tcW w:w="255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p>
        </w:tc>
        <w:tc>
          <w:tcPr>
            <w:tcW w:w="198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p>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{"citationID":"3l1p87gd","properties":{"formattedCitation":"(De Mutiis et al. 2015)","plainCitation":"(De Mutiis et al. 2015)","noteIndex":0},"citationItems":[{"id":249,"uris":["http://zotero.org/users/local/jkkvYBSC/items/S6H7JAKI"],"uri":["http://zotero.org/users/local/jkkvYBSC/items/S6H7JAKI"],"itemData":{"id":249,"type":"article-journal","abstract":"Dent disease is a rare X-linked tubulopathy with low molecular weight proteinuria, hypercalciuria, nephrolithiasis, nephrocalcinosis and progressive renal failure. We describe the case of a 9-year-old boy who presented with nephrotic-range albuminuria at the age of 3 years. In the absence of a clear diagnosis, a renal biopsy was performed at 4 years, which revealed minimal change disease. Due to the presence of low molecular weight proteinuria, even in the absence of hypercalciuria, a diagnosis of Dent disease was considered. While there were no mutations in the CLCN5 gene, the diagnosis was confirmed by the presence of a missense mutation (p.Arg318Cys) in the OCRL gene.\nCONCLUSION: Given the large phenotypic variability of the disease and based on our experience, we believe that children with low molecular weight proteinuria, even without hypercalciuria, should be investigated for Dent disease.","container-title":"Italian Journal of Pediatrics","DOI":"10.1186/s13052-015-0152-4","ISSN":"1824-7288","journalAbbreviation":"Ital J Pediatr","language":"eng","note":"PMID: 26108450\nPMCID: PMC4479313","page":"46","source":"PubMed","title":"Nephrotic-range Albuminuria as the presenting symptom of Dent-2 disease","volume":"41","author":[{"family":"De Mutiis","given":"Chiara"},{"family":"Pasini","given":"Andrea"},{"family":"La Scola","given":"Claudio"},{"family":"Pugliese","given":"Fabrizio"},{"family":"Montini","given":"Giovanni"}],"issued":{"date-parts":[["2015",6,25]]}}}],"schema":"https://github.com/citation-style-language/schema/raw/master/csl-citation.json"}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szCs w:val="20"/>
              </w:rPr>
              <w:t>(De Mutiis et al. 2015)</w:t>
            </w:r>
            <w:r w:rsidRPr="00BC0897">
              <w:rPr>
                <w:rFonts w:ascii="Times New Roman" w:hAnsi="Times New Roman" w:cs="Times New Roman"/>
                <w:sz w:val="20"/>
                <w:szCs w:val="20"/>
                <w:lang w:val="en-US"/>
              </w:rPr>
              <w:fldChar w:fldCharType="end"/>
            </w:r>
          </w:p>
          <w:p w:rsidR="008F7E4A" w:rsidRPr="00BC0897" w:rsidRDefault="008F7E4A" w:rsidP="008F7E4A">
            <w:pPr>
              <w:spacing w:after="0"/>
              <w:jc w:val="center"/>
              <w:rPr>
                <w:rFonts w:ascii="Times New Roman" w:hAnsi="Times New Roman" w:cs="Times New Roman"/>
                <w:sz w:val="20"/>
                <w:szCs w:val="20"/>
                <w:lang w:val="en-US"/>
              </w:rPr>
            </w:pPr>
          </w:p>
        </w:tc>
      </w:tr>
      <w:tr w:rsidR="008F7E4A" w:rsidRPr="002212C2" w:rsidTr="007B380E">
        <w:trPr>
          <w:trHeight w:val="276"/>
        </w:trPr>
        <w:tc>
          <w:tcPr>
            <w:tcW w:w="846" w:type="dxa"/>
            <w:shd w:val="clear" w:color="auto" w:fill="auto"/>
            <w:noWrap/>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w:t>
            </w:r>
          </w:p>
        </w:tc>
        <w:tc>
          <w:tcPr>
            <w:tcW w:w="1843"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c.1110C&gt;G</w:t>
            </w:r>
          </w:p>
        </w:tc>
        <w:tc>
          <w:tcPr>
            <w:tcW w:w="1872"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p.Cys370Trp</w:t>
            </w:r>
          </w:p>
        </w:tc>
        <w:tc>
          <w:tcPr>
            <w:tcW w:w="2835"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Mesangial proliferative glomerulonephritis</w:t>
            </w:r>
          </w:p>
        </w:tc>
        <w:tc>
          <w:tcPr>
            <w:tcW w:w="2555"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Tubular injury</w:t>
            </w:r>
          </w:p>
        </w:tc>
        <w:tc>
          <w:tcPr>
            <w:tcW w:w="1985"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{"citationID":"XPYBDtKd","properties":{"formattedCitation":"(Deng et al. 2020)","plainCitation":"(Deng et al. 2020)","noteIndex":0},"citationItems":[{"id":2533,"uris":["http://zotero.org/users/local/jkkvYBSC/items/5ERYPQ5M"],"uri":["http://zotero.org/users/local/jkkvYBSC/items/5ERYPQ5M"],"itemData":{"id":2533,"type":"article-journal","abstract":"BACKGROUND: To characterize the phenotypic spectrum and assess the antialbuminuric response to angiotensin converting enzyme (ACE) inhibitor and/or angiotensin receptor blocker (ARB) therapy in a cohort of children with Dent disease.\nMETHODS: The patients' clinical findings, renal biopsy results, genetic and follow-up data were analyzed retrospectively. Mutations in CLCN5 or OCRL were detected by next-generation sequencing or Sanger sequencing.\nRESULTS: Of 31 Dent disease boys, 24 carried CLCN5 and 7 carried OCRL mutations. Low molecular weight proteinuria and albuminuria were detected in all cases. Nephrotic-range proteinuria and severe albuminuria were identified in 52% and 62% of cases, respectively; by 7 years of age, 6 patients had hematuria and nephrotic-range proteinuria, and 7 patients had hematuria and moderate to severe albuminuria. In addition to disease-related renal features, patients with Dent-1 disease also presented with congenital cataract (1/9) and developmental delay (2/7). Seventeen of 31 patients underwent renal biopsy. Glomerular changes included mild glomerular lesions, mesangial proliferative glomerulonephritis and focal segmental glomerular sclerosis. Thirteen of the 31 patients had follow-up records and received ACE inhibitor and/or ARB treatment for more than 3 months. After a median 1.7 (range 0.3-8.5) years of treatment, a reduction in the urinary microalbumin-to-creatinine ratio was observed in 54% of children.\nCONCLUSIONS: Hematuria with nephrotic-range proteinuria or moderate to severe albuminuria was common in Dent disease patients. Extrarenal manifestations were observed in Dent-1 patients, which extends the phenotypic spectrum. In addition, ACE inhibitors and ARBs are well tolerated, and they are partially effective in controlling albuminuria.","container-title":"Molecular Genetics &amp; Genomic Medicine","DOI":"10.1002/mgg3.1306","ISSN":"2324-9269","journalAbbreviation":"Mol Genet Genomic Med","language":"eng","note":"PMID: 32495484","page":"e1306","source":"PubMed","title":"Phenotypic spectrum and antialbuminuric response to angiotensin converting enzyme inhibitor and angiotensin receptor blocker therapy in pediatric Dent disease","author":[{"family":"Deng","given":"Haiyue"},{"family":"Zhang","given":"Yanqin"},{"family":"Xiao","given":"Huijie"},{"family":"Yao","given":"Yong"},{"family":"Zhang","given":"Hongwen"},{"family":"Liu","given":"Xiaoyu"},{"family":"Su","given":"Baige"},{"family":"Guan","given":"Na"},{"family":"Zhong","given":"Xuhui"},{"family":"Wang","given":"Suxia"},{"family":"Ding","given":"Jie"},{"family":"Wang","given":"Fang"}],"issued":{"date-parts":[["2020",6,3]]}}}],"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lang w:val="en-US"/>
              </w:rPr>
              <w:t>(Deng et al. 2020)</w:t>
            </w:r>
            <w:r w:rsidRPr="00BC0897">
              <w:rPr>
                <w:rFonts w:ascii="Times New Roman" w:hAnsi="Times New Roman" w:cs="Times New Roman"/>
                <w:sz w:val="20"/>
                <w:szCs w:val="20"/>
                <w:lang w:val="en-US"/>
              </w:rPr>
              <w:fldChar w:fldCharType="end"/>
            </w:r>
          </w:p>
        </w:tc>
      </w:tr>
      <w:tr w:rsidR="008F7E4A" w:rsidRPr="00BC0897" w:rsidTr="007B380E">
        <w:trPr>
          <w:trHeight w:val="276"/>
        </w:trPr>
        <w:tc>
          <w:tcPr>
            <w:tcW w:w="846" w:type="dxa"/>
            <w:shd w:val="clear" w:color="auto" w:fill="auto"/>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 §</w:t>
            </w:r>
          </w:p>
        </w:tc>
        <w:tc>
          <w:tcPr>
            <w:tcW w:w="1843"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c1467-2A&gt;G</w:t>
            </w:r>
          </w:p>
        </w:tc>
        <w:tc>
          <w:tcPr>
            <w:tcW w:w="1872"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p>
        </w:tc>
        <w:tc>
          <w:tcPr>
            <w:tcW w:w="283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 xml:space="preserve">FSGS, Adherence of the glomerular tuft to the Bowman’s capsule, Mesangial </w:t>
            </w:r>
            <w:proofErr w:type="spellStart"/>
            <w:r w:rsidRPr="00BC0897">
              <w:rPr>
                <w:rFonts w:ascii="Times New Roman" w:hAnsi="Times New Roman" w:cs="Times New Roman"/>
                <w:sz w:val="20"/>
                <w:szCs w:val="20"/>
                <w:lang w:val="en-US"/>
              </w:rPr>
              <w:t>hypercellularity</w:t>
            </w:r>
            <w:proofErr w:type="spellEnd"/>
            <w:r w:rsidRPr="00BC0897">
              <w:rPr>
                <w:rFonts w:ascii="Times New Roman" w:hAnsi="Times New Roman" w:cs="Times New Roman"/>
                <w:sz w:val="20"/>
                <w:szCs w:val="20"/>
                <w:lang w:val="en-US"/>
              </w:rPr>
              <w:t>, Increased mesangial matrix deposition</w:t>
            </w:r>
          </w:p>
        </w:tc>
        <w:tc>
          <w:tcPr>
            <w:tcW w:w="255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 xml:space="preserve">Normal tubular morphology, </w:t>
            </w:r>
            <w:proofErr w:type="spellStart"/>
            <w:r w:rsidRPr="00BC0897">
              <w:rPr>
                <w:rFonts w:ascii="Times New Roman" w:hAnsi="Times New Roman" w:cs="Times New Roman"/>
                <w:sz w:val="20"/>
                <w:szCs w:val="20"/>
                <w:lang w:val="en-US"/>
              </w:rPr>
              <w:t>Proteinaceous</w:t>
            </w:r>
            <w:proofErr w:type="spellEnd"/>
            <w:r w:rsidRPr="00BC0897">
              <w:rPr>
                <w:rFonts w:ascii="Times New Roman" w:hAnsi="Times New Roman" w:cs="Times New Roman"/>
                <w:sz w:val="20"/>
                <w:szCs w:val="20"/>
                <w:lang w:val="en-US"/>
              </w:rPr>
              <w:t xml:space="preserve"> material in the tubules, Interstitial expansion without fibrosis</w:t>
            </w:r>
          </w:p>
        </w:tc>
        <w:tc>
          <w:tcPr>
            <w:tcW w:w="198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Foot process effacement, Irregular in-folding of the GBM</w:t>
            </w:r>
          </w:p>
        </w:tc>
        <w:tc>
          <w:tcPr>
            <w:tcW w:w="1559"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Negative</w:t>
            </w:r>
          </w:p>
        </w:tc>
        <w:tc>
          <w:tcPr>
            <w:tcW w:w="1701"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{"citationID":"vXRVxH2r","properties":{"formattedCitation":"(Preston et al. 2020)","plainCitation":"(Preston et al. 2020)","noteIndex":0},"citationItems":[{"id":"p7ATYret/YONwZ2ub","uris":["http://zotero.org/users/local/jkkvYBSC/items/IKAZ56YZ"],"uri":["http://zotero.org/users/local/jkkvYBSC/items/IKAZ56YZ"],"itemData":{"id":943,"type":"article-journal","abstract":"BACKGROUND: Lowe syndrome and Dent-2 disease are caused by mutations in the OCRL gene, which encodes for an inositol 5-phosphatase. The renal phenotype associated with OCRL mutations typically comprises a selective proximal tubulopathy, which can manifest as Fanconi syndrome in the most extreme cases.\nMETHODS: Here, we report a 12-year-old male with nephrotic-range proteinuria and focal segmental glomerulosclerosis on renal biopsy. As a glomerular pathology was suspected, extensive investigation of tubular function was not performed.\nRESULTS: Surprisingly, whole exome sequencing identified a genetic variant in OCRL (c1467-2A&gt;G) that introduced a novel splice mutation leading to skipping of exon 15. In situ hybridisation of adult human kidney tissue and zebrafish larvae showed OCRL expression in the glomerulus, supporting a role for OCRL in glomerular function. In cultured podocytes, we found that OCRL associated with the linker protein IPIP27A and CD2AP, a protein that is important for maintenance of the podocyte slit diaphragm.\nCONCLUSION: Taken together, this work suggests a previously under-appreciated role for OCRL in glomerular function and highlights the importance of investigating tubular function in patients with persistent proteinuria.","container-title":"Pediatric Nephrology (Berlin, Germany)","DOI":"10.1007/s00467-019-04317-4","ISSN":"1432-198X","issue":"4","journalAbbreviation":"Pediatr. Nephrol.","language":"eng","note":"PMID: 31811534\nPMCID: PMC7056711","page":"641-648","source":"PubMed","title":"A role for OCRL in glomerular function and disease","volume":"35","author":[{"family":"Preston","given":"Rebecca"},{"family":"Naylor","given":"Richard W."},{"family":"Stewart","given":"Graham"},{"family":"Bierzynska","given":"Agnieszka"},{"family":"Saleem","given":"Moin A."},{"family":"Lowe","given":"Martin"},{"family":"Lennon","given":"Rachel"}],"issued":{"date-parts":[["2020",4]]}}}],"schema":"https://github.com/citation-style-language/schema/raw/master/csl-citation.json"}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szCs w:val="20"/>
              </w:rPr>
              <w:t>(Preston et al. 2020)</w:t>
            </w:r>
            <w:r w:rsidRPr="00BC0897">
              <w:rPr>
                <w:rFonts w:ascii="Times New Roman" w:hAnsi="Times New Roman" w:cs="Times New Roman"/>
                <w:sz w:val="20"/>
                <w:szCs w:val="20"/>
                <w:lang w:val="en-US"/>
              </w:rPr>
              <w:fldChar w:fldCharType="end"/>
            </w:r>
          </w:p>
        </w:tc>
      </w:tr>
      <w:tr w:rsidR="008F7E4A" w:rsidRPr="00BC0897" w:rsidTr="007B380E">
        <w:trPr>
          <w:trHeight w:val="276"/>
        </w:trPr>
        <w:tc>
          <w:tcPr>
            <w:tcW w:w="846" w:type="dxa"/>
            <w:shd w:val="clear" w:color="auto" w:fill="auto"/>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 §</w:t>
            </w:r>
          </w:p>
        </w:tc>
        <w:tc>
          <w:tcPr>
            <w:tcW w:w="1843"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rPr>
            </w:pPr>
            <w:r w:rsidRPr="00BC0897">
              <w:rPr>
                <w:rFonts w:ascii="Times New Roman" w:hAnsi="Times New Roman" w:cs="Times New Roman"/>
                <w:sz w:val="20"/>
                <w:szCs w:val="20"/>
              </w:rPr>
              <w:t>c1467-2A&gt;G</w:t>
            </w:r>
          </w:p>
        </w:tc>
        <w:tc>
          <w:tcPr>
            <w:tcW w:w="1872"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p>
        </w:tc>
        <w:tc>
          <w:tcPr>
            <w:tcW w:w="283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Normal</w:t>
            </w:r>
          </w:p>
        </w:tc>
        <w:tc>
          <w:tcPr>
            <w:tcW w:w="255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Acute tubular necrosis</w:t>
            </w:r>
          </w:p>
        </w:tc>
        <w:tc>
          <w:tcPr>
            <w:tcW w:w="198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{"citationID":"6UhcQ4B0","properties":{"formattedCitation":"(Preston et al. 2020)","plainCitation":"(Preston et al. 2020)","noteIndex":0},"citationItems":[{"id":"p7ATYret/YONwZ2ub","uris":["http://zotero.org/users/local/jkkvYBSC/items/IKAZ56YZ"],"uri":["http://zotero.org/users/local/jkkvYBSC/items/IKAZ56YZ"],"itemData":{"id":943,"type":"article-journal","abstract":"BACKGROUND: Lowe syndrome and Dent-2 disease are caused by mutations in the OCRL gene, which encodes for an inositol 5-phosphatase. The renal phenotype associated with OCRL mutations typically comprises a selective proximal tubulopathy, which can manifest as Fanconi syndrome in the most extreme cases.\nMETHODS: Here, we report a 12-year-old male with nephrotic-range proteinuria and focal segmental glomerulosclerosis on renal biopsy. As a glomerular pathology was suspected, extensive investigation of tubular function was not performed.\nRESULTS: Surprisingly, whole exome sequencing identified a genetic variant in OCRL (c1467-2A&gt;G) that introduced a novel splice mutation leading to skipping of exon 15. In situ hybridisation of adult human kidney tissue and zebrafish larvae showed OCRL expression in the glomerulus, supporting a role for OCRL in glomerular function. In cultured podocytes, we found that OCRL associated with the linker protein IPIP27A and CD2AP, a protein that is important for maintenance of the podocyte slit diaphragm.\nCONCLUSION: Taken together, this work suggests a previously under-appreciated role for OCRL in glomerular function and highlights the importance of investigating tubular function in patients with persistent proteinuria.","container-title":"Pediatric Nephrology (Berlin, Germany)","DOI":"10.1007/s00467-019-04317-4","ISSN":"1432-198X","issue":"4","journalAbbreviation":"Pediatr. Nephrol.","language":"eng","note":"PMID: 31811534\nPMCID: PMC7056711","page":"641-648","source":"PubMed","title":"A role for OCRL in glomerular function and disease","volume":"35","author":[{"family":"Preston","given":"Rebecca"},{"family":"Naylor","given":"Richard W."},{"family":"Stewart","given":"Graham"},{"family":"Bierzynska","given":"Agnieszka"},{"family":"Saleem","given":"Moin A."},{"family":"Lowe","given":"Martin"},{"family":"Lennon","given":"Rachel"}],"issued":{"date-parts":[["2020",4]]}}}],"schema":"https://github.com/citation-style-language/schema/raw/master/csl-citation.json"}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szCs w:val="20"/>
              </w:rPr>
              <w:t>(Preston et al. 2020)</w:t>
            </w:r>
            <w:r w:rsidRPr="00BC0897">
              <w:rPr>
                <w:rFonts w:ascii="Times New Roman" w:hAnsi="Times New Roman" w:cs="Times New Roman"/>
                <w:sz w:val="20"/>
                <w:szCs w:val="20"/>
                <w:lang w:val="en-US"/>
              </w:rPr>
              <w:fldChar w:fldCharType="end"/>
            </w:r>
          </w:p>
        </w:tc>
      </w:tr>
      <w:tr w:rsidR="008F7E4A" w:rsidRPr="00BC0897" w:rsidTr="007B380E">
        <w:trPr>
          <w:trHeight w:val="415"/>
        </w:trPr>
        <w:tc>
          <w:tcPr>
            <w:tcW w:w="846" w:type="dxa"/>
            <w:shd w:val="clear" w:color="auto" w:fill="auto"/>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w:t>
            </w:r>
          </w:p>
        </w:tc>
        <w:tc>
          <w:tcPr>
            <w:tcW w:w="1843"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c.1525C&gt;T</w:t>
            </w:r>
          </w:p>
        </w:tc>
        <w:tc>
          <w:tcPr>
            <w:tcW w:w="1872"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p.Pro509Ser</w:t>
            </w:r>
          </w:p>
        </w:tc>
        <w:tc>
          <w:tcPr>
            <w:tcW w:w="283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FSGS, Mesangial proliferation</w:t>
            </w:r>
          </w:p>
        </w:tc>
        <w:tc>
          <w:tcPr>
            <w:tcW w:w="2555" w:type="dxa"/>
            <w:shd w:val="clear" w:color="auto" w:fill="auto"/>
            <w:vAlign w:val="center"/>
            <w:hideMark/>
          </w:tcPr>
          <w:p w:rsidR="005336D6" w:rsidRPr="00BC0897" w:rsidRDefault="005336D6" w:rsidP="008F7E4A">
            <w:pPr>
              <w:spacing w:after="0"/>
              <w:jc w:val="center"/>
              <w:rPr>
                <w:rFonts w:ascii="Times New Roman" w:hAnsi="Times New Roman" w:cs="Times New Roman"/>
                <w:sz w:val="20"/>
                <w:szCs w:val="20"/>
                <w:lang w:val="en-US"/>
              </w:rPr>
            </w:pPr>
          </w:p>
          <w:p w:rsidR="005336D6" w:rsidRPr="00BC0897" w:rsidRDefault="008F7E4A" w:rsidP="005336D6">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Focal tubular atrophy, Focal fibrosis, Lymphocytes infiltration</w:t>
            </w:r>
          </w:p>
        </w:tc>
        <w:tc>
          <w:tcPr>
            <w:tcW w:w="198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{"citationID":"283cNL66","properties":{"formattedCitation":"(Kaneko et al. 2010)","plainCitation":"(Kaneko et al. 2010)","noteIndex":0},"citationItems":[{"id":254,"uris":["http://zotero.org/users/local/jkkvYBSC/items/FUJB53NA"],"uri":["http://zotero.org/users/local/jkkvYBSC/items/FUJB53NA"],"itemData":{"id":254,"type":"article-journal","container-title":"Pediatric Nephrology (Berlin, Germany)","DOI":"10.1007/s00467-009-1362-z","ISSN":"1432-198X","issue":"4","journalAbbreviation":"Pediatr. Nephrol.","language":"eng","note":"PMID: 19902262","page":"781-782","source":"PubMed","title":"Focal segmental glomerulosclerosis in a boy with Dent-2 disease","volume":"25","author":[{"family":"Kaneko","given":"Kazunari"},{"family":"Hasui","given":"Masafumi"},{"family":"Hata","given":"Atsuko"},{"family":"Hata","given":"Daisuke"},{"family":"Nozu","given":"Kandai"}],"issued":{"date-parts":[["2010",4]]}}}],"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szCs w:val="20"/>
              </w:rPr>
              <w:t>(Kaneko et al. 2010)</w:t>
            </w:r>
            <w:r w:rsidRPr="00BC0897">
              <w:rPr>
                <w:rFonts w:ascii="Times New Roman" w:hAnsi="Times New Roman" w:cs="Times New Roman"/>
                <w:sz w:val="20"/>
                <w:szCs w:val="20"/>
                <w:lang w:val="en-US"/>
              </w:rPr>
              <w:fldChar w:fldCharType="end"/>
            </w:r>
          </w:p>
        </w:tc>
      </w:tr>
      <w:tr w:rsidR="005336D6" w:rsidRPr="00BC0897" w:rsidTr="00BA526F">
        <w:trPr>
          <w:trHeight w:val="300"/>
        </w:trPr>
        <w:tc>
          <w:tcPr>
            <w:tcW w:w="846" w:type="dxa"/>
            <w:vMerge w:val="restart"/>
            <w:vAlign w:val="center"/>
            <w:hideMark/>
          </w:tcPr>
          <w:p w:rsidR="005336D6" w:rsidRPr="00BC0897" w:rsidRDefault="005336D6"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lastRenderedPageBreak/>
              <w:t>Dent disease type</w:t>
            </w:r>
          </w:p>
        </w:tc>
        <w:tc>
          <w:tcPr>
            <w:tcW w:w="3715" w:type="dxa"/>
            <w:gridSpan w:val="2"/>
            <w:vAlign w:val="center"/>
            <w:hideMark/>
          </w:tcPr>
          <w:p w:rsidR="005336D6" w:rsidRPr="00BC0897" w:rsidRDefault="005336D6"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Mutation</w:t>
            </w:r>
          </w:p>
        </w:tc>
        <w:tc>
          <w:tcPr>
            <w:tcW w:w="5390" w:type="dxa"/>
            <w:gridSpan w:val="2"/>
            <w:vAlign w:val="center"/>
            <w:hideMark/>
          </w:tcPr>
          <w:p w:rsidR="005336D6" w:rsidRPr="00BC0897" w:rsidRDefault="005336D6"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Histology</w:t>
            </w:r>
          </w:p>
        </w:tc>
        <w:tc>
          <w:tcPr>
            <w:tcW w:w="1985" w:type="dxa"/>
            <w:vMerge w:val="restart"/>
            <w:vAlign w:val="center"/>
            <w:hideMark/>
          </w:tcPr>
          <w:p w:rsidR="005336D6" w:rsidRPr="00BC0897" w:rsidRDefault="005336D6"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TEM</w:t>
            </w:r>
          </w:p>
        </w:tc>
        <w:tc>
          <w:tcPr>
            <w:tcW w:w="1559" w:type="dxa"/>
            <w:vMerge w:val="restart"/>
            <w:vAlign w:val="center"/>
            <w:hideMark/>
          </w:tcPr>
          <w:p w:rsidR="005336D6" w:rsidRPr="00BC0897" w:rsidRDefault="005336D6"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IF</w:t>
            </w:r>
          </w:p>
        </w:tc>
        <w:tc>
          <w:tcPr>
            <w:tcW w:w="1701" w:type="dxa"/>
            <w:vMerge w:val="restart"/>
            <w:vAlign w:val="center"/>
            <w:hideMark/>
          </w:tcPr>
          <w:p w:rsidR="005336D6" w:rsidRPr="00BC0897" w:rsidRDefault="005336D6"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Ref</w:t>
            </w:r>
          </w:p>
        </w:tc>
      </w:tr>
      <w:tr w:rsidR="005336D6" w:rsidRPr="00BC0897" w:rsidTr="00BA526F">
        <w:trPr>
          <w:trHeight w:val="258"/>
        </w:trPr>
        <w:tc>
          <w:tcPr>
            <w:tcW w:w="846" w:type="dxa"/>
            <w:vMerge/>
            <w:vAlign w:val="center"/>
            <w:hideMark/>
          </w:tcPr>
          <w:p w:rsidR="005336D6" w:rsidRPr="00BC0897" w:rsidRDefault="005336D6" w:rsidP="00BA526F">
            <w:pPr>
              <w:spacing w:after="0"/>
              <w:jc w:val="center"/>
              <w:rPr>
                <w:rFonts w:ascii="Times New Roman" w:hAnsi="Times New Roman" w:cs="Times New Roman"/>
                <w:b/>
                <w:bCs/>
                <w:sz w:val="20"/>
                <w:szCs w:val="20"/>
                <w:lang w:val="en-US"/>
              </w:rPr>
            </w:pPr>
          </w:p>
        </w:tc>
        <w:tc>
          <w:tcPr>
            <w:tcW w:w="1843" w:type="dxa"/>
            <w:vAlign w:val="center"/>
            <w:hideMark/>
          </w:tcPr>
          <w:p w:rsidR="005336D6" w:rsidRPr="00BC0897" w:rsidRDefault="005336D6"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Nucleotide</w:t>
            </w:r>
          </w:p>
        </w:tc>
        <w:tc>
          <w:tcPr>
            <w:tcW w:w="1872" w:type="dxa"/>
            <w:vAlign w:val="center"/>
            <w:hideMark/>
          </w:tcPr>
          <w:p w:rsidR="005336D6" w:rsidRPr="00BC0897" w:rsidRDefault="005336D6"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Protein</w:t>
            </w:r>
          </w:p>
        </w:tc>
        <w:tc>
          <w:tcPr>
            <w:tcW w:w="2835" w:type="dxa"/>
            <w:vAlign w:val="center"/>
            <w:hideMark/>
          </w:tcPr>
          <w:p w:rsidR="005336D6" w:rsidRPr="00BC0897" w:rsidRDefault="005336D6"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Glomerular</w:t>
            </w:r>
          </w:p>
        </w:tc>
        <w:tc>
          <w:tcPr>
            <w:tcW w:w="2555" w:type="dxa"/>
            <w:vAlign w:val="center"/>
            <w:hideMark/>
          </w:tcPr>
          <w:p w:rsidR="005336D6" w:rsidRPr="00BC0897" w:rsidRDefault="005336D6"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Interstitial</w:t>
            </w:r>
          </w:p>
        </w:tc>
        <w:tc>
          <w:tcPr>
            <w:tcW w:w="1985" w:type="dxa"/>
            <w:vMerge/>
            <w:vAlign w:val="center"/>
            <w:hideMark/>
          </w:tcPr>
          <w:p w:rsidR="005336D6" w:rsidRPr="00BC0897" w:rsidRDefault="005336D6" w:rsidP="00BA526F">
            <w:pPr>
              <w:spacing w:after="0"/>
              <w:jc w:val="center"/>
              <w:rPr>
                <w:rFonts w:ascii="Times New Roman" w:hAnsi="Times New Roman" w:cs="Times New Roman"/>
                <w:b/>
                <w:bCs/>
                <w:sz w:val="20"/>
                <w:szCs w:val="20"/>
                <w:lang w:val="en-US"/>
              </w:rPr>
            </w:pPr>
          </w:p>
        </w:tc>
        <w:tc>
          <w:tcPr>
            <w:tcW w:w="1559" w:type="dxa"/>
            <w:vMerge/>
            <w:vAlign w:val="center"/>
            <w:hideMark/>
          </w:tcPr>
          <w:p w:rsidR="005336D6" w:rsidRPr="00BC0897" w:rsidRDefault="005336D6" w:rsidP="00BA526F">
            <w:pPr>
              <w:spacing w:after="0"/>
              <w:jc w:val="center"/>
              <w:rPr>
                <w:rFonts w:ascii="Times New Roman" w:hAnsi="Times New Roman" w:cs="Times New Roman"/>
                <w:b/>
                <w:bCs/>
                <w:sz w:val="20"/>
                <w:szCs w:val="20"/>
                <w:lang w:val="en-US"/>
              </w:rPr>
            </w:pPr>
          </w:p>
        </w:tc>
        <w:tc>
          <w:tcPr>
            <w:tcW w:w="1701" w:type="dxa"/>
            <w:vMerge/>
            <w:vAlign w:val="center"/>
            <w:hideMark/>
          </w:tcPr>
          <w:p w:rsidR="005336D6" w:rsidRPr="00BC0897" w:rsidRDefault="005336D6" w:rsidP="00BA526F">
            <w:pPr>
              <w:spacing w:after="0"/>
              <w:jc w:val="center"/>
              <w:rPr>
                <w:rFonts w:ascii="Times New Roman" w:hAnsi="Times New Roman" w:cs="Times New Roman"/>
                <w:b/>
                <w:bCs/>
                <w:sz w:val="20"/>
                <w:szCs w:val="20"/>
                <w:lang w:val="en-US"/>
              </w:rPr>
            </w:pPr>
          </w:p>
        </w:tc>
      </w:tr>
      <w:tr w:rsidR="008F7E4A" w:rsidRPr="00BC0897" w:rsidTr="007B380E">
        <w:trPr>
          <w:trHeight w:val="409"/>
        </w:trPr>
        <w:tc>
          <w:tcPr>
            <w:tcW w:w="846" w:type="dxa"/>
            <w:shd w:val="clear" w:color="auto" w:fill="auto"/>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w:t>
            </w:r>
          </w:p>
        </w:tc>
        <w:tc>
          <w:tcPr>
            <w:tcW w:w="1843"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c.1567G&gt;A</w:t>
            </w:r>
          </w:p>
        </w:tc>
        <w:tc>
          <w:tcPr>
            <w:tcW w:w="1872"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p.Asp523Asn</w:t>
            </w:r>
          </w:p>
        </w:tc>
        <w:tc>
          <w:tcPr>
            <w:tcW w:w="283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Mesangial proliferative glomerulonephritis</w:t>
            </w:r>
          </w:p>
        </w:tc>
        <w:tc>
          <w:tcPr>
            <w:tcW w:w="255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p>
        </w:tc>
        <w:tc>
          <w:tcPr>
            <w:tcW w:w="198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{"citationID":"T7mnO4Me","properties":{"formattedCitation":"(Bao et al. 2019)","plainCitation":"(Bao et al. 2019)","noteIndex":0},"citationItems":[{"id":259,"uris":["http://zotero.org/users/local/jkkvYBSC/items/A2LVT5AF"],"uri":["http://zotero.org/users/local/jkkvYBSC/items/A2LVT5AF"],"itemData":{"id":259,"type":"article-journal","container-title":"Science China. Life Sciences","DOI":"10.1007/s11427-018-9829-0","ISSN":"1869-1889","issue":"12","journalAbbreviation":"Sci China Life Sci","language":"eng","note":"PMID: 31701402","page":"1590-1593","source":"PubMed","title":"Clinical and genetic analysis of Dent disease with nephrotic range albuminuria in Shaanxi, China","volume":"62","author":[{"family":"Bao","given":"Ying"},{"family":"Suo","given":"Lei"},{"family":"Qian","given":"Pei"},{"family":"Huang","given":"Huimei"},{"family":"Yang","given":"Ying"},{"family":"Tang","given":"Jun"},{"family":"Zhang","given":"Min"},{"family":"Li","given":"Zhijuan"},{"family":"Wang","given":"Ying"},{"family":"Liang","given":"Nan"},{"family":"Wang","given":"Yili"}],"issued":{"date-parts":[["2019",12]]}}}],"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szCs w:val="20"/>
              </w:rPr>
              <w:t>(Bao et al. 2019)</w:t>
            </w:r>
            <w:r w:rsidRPr="00BC0897">
              <w:rPr>
                <w:rFonts w:ascii="Times New Roman" w:hAnsi="Times New Roman" w:cs="Times New Roman"/>
                <w:sz w:val="20"/>
                <w:szCs w:val="20"/>
                <w:lang w:val="en-US"/>
              </w:rPr>
              <w:fldChar w:fldCharType="end"/>
            </w:r>
          </w:p>
        </w:tc>
      </w:tr>
      <w:tr w:rsidR="008F7E4A" w:rsidRPr="00BC0897" w:rsidTr="007B380E">
        <w:trPr>
          <w:trHeight w:val="409"/>
        </w:trPr>
        <w:tc>
          <w:tcPr>
            <w:tcW w:w="846" w:type="dxa"/>
            <w:shd w:val="clear" w:color="auto" w:fill="auto"/>
            <w:noWrap/>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w:t>
            </w:r>
          </w:p>
        </w:tc>
        <w:tc>
          <w:tcPr>
            <w:tcW w:w="1843"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c.2435T&gt;C</w:t>
            </w:r>
          </w:p>
        </w:tc>
        <w:tc>
          <w:tcPr>
            <w:tcW w:w="1872"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p.Leu81Pro</w:t>
            </w:r>
          </w:p>
        </w:tc>
        <w:tc>
          <w:tcPr>
            <w:tcW w:w="2835"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Mild glomerular lesions</w:t>
            </w:r>
          </w:p>
        </w:tc>
        <w:tc>
          <w:tcPr>
            <w:tcW w:w="2555"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p>
        </w:tc>
        <w:tc>
          <w:tcPr>
            <w:tcW w:w="1985"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{"citationID":"7OItOzEl","properties":{"formattedCitation":"(Deng et al. 2020)","plainCitation":"(Deng et al. 2020)","noteIndex":0},"citationItems":[{"id":2533,"uris":["http://zotero.org/users/local/jkkvYBSC/items/5ERYPQ5M"],"uri":["http://zotero.org/users/local/jkkvYBSC/items/5ERYPQ5M"],"itemData":{"id":2533,"type":"article-journal","abstract":"BACKGROUND: To characterize the phenotypic spectrum and assess the antialbuminuric response to angiotensin converting enzyme (ACE) inhibitor and/or angiotensin receptor blocker (ARB) therapy in a cohort of children with Dent disease.\nMETHODS: The patients' clinical findings, renal biopsy results, genetic and follow-up data were analyzed retrospectively. Mutations in CLCN5 or OCRL were detected by next-generation sequencing or Sanger sequencing.\nRESULTS: Of 31 Dent disease boys, 24 carried CLCN5 and 7 carried OCRL mutations. Low molecular weight proteinuria and albuminuria were detected in all cases. Nephrotic-range proteinuria and severe albuminuria were identified in 52% and 62% of cases, respectively; by 7 years of age, 6 patients had hematuria and nephrotic-range proteinuria, and 7 patients had hematuria and moderate to severe albuminuria. In addition to disease-related renal features, patients with Dent-1 disease also presented with congenital cataract (1/9) and developmental delay (2/7). Seventeen of 31 patients underwent renal biopsy. Glomerular changes included mild glomerular lesions, mesangial proliferative glomerulonephritis and focal segmental glomerular sclerosis. Thirteen of the 31 patients had follow-up records and received ACE inhibitor and/or ARB treatment for more than 3 months. After a median 1.7 (range 0.3-8.5) years of treatment, a reduction in the urinary microalbumin-to-creatinine ratio was observed in 54% of children.\nCONCLUSIONS: Hematuria with nephrotic-range proteinuria or moderate to severe albuminuria was common in Dent disease patients. Extrarenal manifestations were observed in Dent-1 patients, which extends the phenotypic spectrum. In addition, ACE inhibitors and ARBs are well tolerated, and they are partially effective in controlling albuminuria.","container-title":"Molecular Genetics &amp; Genomic Medicine","DOI":"10.1002/mgg3.1306","ISSN":"2324-9269","journalAbbreviation":"Mol Genet Genomic Med","language":"eng","note":"PMID: 32495484","page":"e1306","source":"PubMed","title":"Phenotypic spectrum and antialbuminuric response to angiotensin converting enzyme inhibitor and angiotensin receptor blocker therapy in pediatric Dent disease","author":[{"family":"Deng","given":"Haiyue"},{"family":"Zhang","given":"Yanqin"},{"family":"Xiao","given":"Huijie"},{"family":"Yao","given":"Yong"},{"family":"Zhang","given":"Hongwen"},{"family":"Liu","given":"Xiaoyu"},{"family":"Su","given":"Baige"},{"family":"Guan","given":"Na"},{"family":"Zhong","given":"Xuhui"},{"family":"Wang","given":"Suxia"},{"family":"Ding","given":"Jie"},{"family":"Wang","given":"Fang"}],"issued":{"date-parts":[["2020",6,3]]}}}],"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lang w:val="en-US"/>
              </w:rPr>
              <w:t>(Deng et al. 2020)</w:t>
            </w:r>
            <w:r w:rsidRPr="00BC0897">
              <w:rPr>
                <w:rFonts w:ascii="Times New Roman" w:hAnsi="Times New Roman" w:cs="Times New Roman"/>
                <w:sz w:val="20"/>
                <w:szCs w:val="20"/>
                <w:lang w:val="en-US"/>
              </w:rPr>
              <w:fldChar w:fldCharType="end"/>
            </w:r>
          </w:p>
        </w:tc>
      </w:tr>
      <w:tr w:rsidR="008F7E4A" w:rsidRPr="00BC0897" w:rsidTr="007B380E">
        <w:trPr>
          <w:trHeight w:val="273"/>
        </w:trPr>
        <w:tc>
          <w:tcPr>
            <w:tcW w:w="846" w:type="dxa"/>
            <w:shd w:val="clear" w:color="auto" w:fill="auto"/>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w:t>
            </w:r>
          </w:p>
        </w:tc>
        <w:tc>
          <w:tcPr>
            <w:tcW w:w="1843"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872"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283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Normal</w:t>
            </w:r>
          </w:p>
        </w:tc>
        <w:tc>
          <w:tcPr>
            <w:tcW w:w="255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Normal</w:t>
            </w:r>
          </w:p>
        </w:tc>
        <w:tc>
          <w:tcPr>
            <w:tcW w:w="198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Negative</w:t>
            </w:r>
          </w:p>
        </w:tc>
        <w:tc>
          <w:tcPr>
            <w:tcW w:w="1701"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00040F98" w:rsidRPr="00BC0897">
              <w:rPr>
                <w:rFonts w:ascii="Times New Roman" w:hAnsi="Times New Roman" w:cs="Times New Roman"/>
                <w:sz w:val="20"/>
                <w:szCs w:val="20"/>
                <w:lang w:val="en-US"/>
              </w:rPr>
              <w:instrText xml:space="preserve"> ADDIN ZOTERO_ITEM CSL_CITATION {"citationID":"yJTSdIyr","properties":{"formattedCitation":"(Tasic et al. 2011)","plainCitation":"(Tasic et al. 2011)","noteIndex":0},"citationItems":[{"id":"p7ATYret/govDcVX1","uris":["http://zotero.org/users/local/jkkvYBSC/items/58AU5L2P"],"uri":["http://zotero.org/users/local/jkkvYBSC/items/58AU5L2P"],"itemData":{"id":810,"type":"article-journal","abstract":"OCRL mutations, which are a hallmark of Lowe syndrome, have recently been found in patients with isolated renal phenotype (Dent-2 disease). In this report, we describe clinical and laboratory features in five Macedonian children with mutations in the OCRL gene. Children with a clinical diagnosis of Lowe syndrome or Dent disease underwent complete neurological and ophthalmological examination, imaging of the kidney and urinary tract, assessment of renal tubular function, and mutation analysis of the OCRL gene. Two children (18 months and 11 years, respectively) were diagnosed with Lowe syndrome on the basis of congenital cataracts, severe psychomotor retardation, and renal dysfunction. Both children had low molecular weight proteinuria (LMWP) and hypercalciuria, but not Fanconi syndrome. The older one had bilateral nephrolithiasis due to associated hypocitraturia and mild hyperoxaluria. Three children with asymptomatic proteinuria were diagnosed with Dent-2 disease; none had cataracts or neurological deficit. One child showed mild mental retardation. All had LMWP, hypercalciuria, and elevated enzymes (creatine phosphokinase, lactic dehydrogenase). All three children had an abnormal Tc-99m DMSA scan revealing poor visualization of the kidneys with a high radionuclide content in the bladder; none had nephrolithiasis or nephrocalcinosis. In conclusion, children with OCRL mutations may present with very mild phenotype (asymptomatic proteinuria with/without mild mental retardation) or severe classic oculocerebrorenal syndrome of Lowe. Elevated enzymes and abnormal results on the Tc-99m DMSA scan may be useful indicators for Dent-2 disease.","container-title":"Pediatric Nephrology (Berlin, Germany)","DOI":"10.1007/s00467-010-1758-9","ISSN":"1432-198X","issue":"4","journalAbbreviation":"Pediatr. Nephrol.","language":"eng","note":"PMID: 21249396","page":"557-562","source":"PubMed","title":"Clinical and laboratory features of Macedonian children with OCRL mutations","volume":"26","author":[{"family":"Tasic","given":"Velibor"},{"family":"Lozanovski","given":"Vladimir J."},{"family":"Korneti","given":"Petar"},{"family":"Ristoska-Bojkovska","given":"Nadica"},{"family":"Sabolic-Avramovska","given":"Vesna"},{"family":"Gucev","given":"Zoran"},{"family":"Ludwig","given":"Michael"}],"issued":{"date-parts":[["2011",4]]}}}],"schema":"https://github.com/citation-style-language/schema/raw/master/csl-citation.json"} </w:instrText>
            </w:r>
            <w:r w:rsidRPr="00BC0897">
              <w:rPr>
                <w:rFonts w:ascii="Times New Roman" w:hAnsi="Times New Roman" w:cs="Times New Roman"/>
                <w:sz w:val="20"/>
                <w:szCs w:val="20"/>
                <w:lang w:val="en-US"/>
              </w:rPr>
              <w:fldChar w:fldCharType="separate"/>
            </w:r>
            <w:r w:rsidR="00040F98" w:rsidRPr="00BC0897">
              <w:rPr>
                <w:rFonts w:ascii="Times New Roman" w:hAnsi="Times New Roman" w:cs="Times New Roman"/>
                <w:sz w:val="20"/>
              </w:rPr>
              <w:t>(Tasic et al. 2011)</w:t>
            </w:r>
            <w:r w:rsidRPr="00BC0897">
              <w:rPr>
                <w:rFonts w:ascii="Times New Roman" w:hAnsi="Times New Roman" w:cs="Times New Roman"/>
                <w:sz w:val="20"/>
                <w:szCs w:val="20"/>
                <w:lang w:val="en-US"/>
              </w:rPr>
              <w:fldChar w:fldCharType="end"/>
            </w:r>
          </w:p>
        </w:tc>
      </w:tr>
      <w:tr w:rsidR="008F7E4A" w:rsidRPr="00BC0897" w:rsidTr="007B380E">
        <w:trPr>
          <w:trHeight w:val="273"/>
        </w:trPr>
        <w:tc>
          <w:tcPr>
            <w:tcW w:w="846" w:type="dxa"/>
            <w:shd w:val="clear" w:color="auto" w:fill="auto"/>
            <w:noWrap/>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w:t>
            </w:r>
          </w:p>
        </w:tc>
        <w:tc>
          <w:tcPr>
            <w:tcW w:w="1843"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872"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2835"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Mesangial proliferative glomerulonephritis</w:t>
            </w:r>
          </w:p>
        </w:tc>
        <w:tc>
          <w:tcPr>
            <w:tcW w:w="2555"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p>
        </w:tc>
        <w:tc>
          <w:tcPr>
            <w:tcW w:w="1985"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{"citationID":"TbqyrErA","properties":{"formattedCitation":"(Deng et al. 2020)","plainCitation":"(Deng et al. 2020)","noteIndex":0},"citationItems":[{"id":2533,"uris":["http://zotero.org/users/local/jkkvYBSC/items/5ERYPQ5M"],"uri":["http://zotero.org/users/local/jkkvYBSC/items/5ERYPQ5M"],"itemData":{"id":2533,"type":"article-journal","abstract":"BACKGROUND: To characterize the phenotypic spectrum and assess the antialbuminuric response to angiotensin converting enzyme (ACE) inhibitor and/or angiotensin receptor blocker (ARB) therapy in a cohort of children with Dent disease.\nMETHODS: The patients' clinical findings, renal biopsy results, genetic and follow-up data were analyzed retrospectively. Mutations in CLCN5 or OCRL were detected by next-generation sequencing or Sanger sequencing.\nRESULTS: Of 31 Dent disease boys, 24 carried CLCN5 and 7 carried OCRL mutations. Low molecular weight proteinuria and albuminuria were detected in all cases. Nephrotic-range proteinuria and severe albuminuria were identified in 52% and 62% of cases, respectively; by 7 years of age, 6 patients had hematuria and nephrotic-range proteinuria, and 7 patients had hematuria and moderate to severe albuminuria. In addition to disease-related renal features, patients with Dent-1 disease also presented with congenital cataract (1/9) and developmental delay (2/7). Seventeen of 31 patients underwent renal biopsy. Glomerular changes included mild glomerular lesions, mesangial proliferative glomerulonephritis and focal segmental glomerular sclerosis. Thirteen of the 31 patients had follow-up records and received ACE inhibitor and/or ARB treatment for more than 3 months. After a median 1.7 (range 0.3-8.5) years of treatment, a reduction in the urinary microalbumin-to-creatinine ratio was observed in 54% of children.\nCONCLUSIONS: Hematuria with nephrotic-range proteinuria or moderate to severe albuminuria was common in Dent disease patients. Extrarenal manifestations were observed in Dent-1 patients, which extends the phenotypic spectrum. In addition, ACE inhibitors and ARBs are well tolerated, and they are partially effective in controlling albuminuria.","container-title":"Molecular Genetics &amp; Genomic Medicine","DOI":"10.1002/mgg3.1306","ISSN":"2324-9269","journalAbbreviation":"Mol Genet Genomic Med","language":"eng","note":"PMID: 32495484","page":"e1306","source":"PubMed","title":"Phenotypic spectrum and antialbuminuric response to angiotensin converting enzyme inhibitor and angiotensin receptor blocker therapy in pediatric Dent disease","author":[{"family":"Deng","given":"Haiyue"},{"family":"Zhang","given":"Yanqin"},{"family":"Xiao","given":"Huijie"},{"family":"Yao","given":"Yong"},{"family":"Zhang","given":"Hongwen"},{"family":"Liu","given":"Xiaoyu"},{"family":"Su","given":"Baige"},{"family":"Guan","given":"Na"},{"family":"Zhong","given":"Xuhui"},{"family":"Wang","given":"Suxia"},{"family":"Ding","given":"Jie"},{"family":"Wang","given":"Fang"}],"issued":{"date-parts":[["2020",6,3]]}}}],"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lang w:val="en-US"/>
              </w:rPr>
              <w:t>(Deng et al. 2020)</w:t>
            </w:r>
            <w:r w:rsidRPr="00BC0897">
              <w:rPr>
                <w:rFonts w:ascii="Times New Roman" w:hAnsi="Times New Roman" w:cs="Times New Roman"/>
                <w:sz w:val="20"/>
                <w:szCs w:val="20"/>
                <w:lang w:val="en-US"/>
              </w:rPr>
              <w:fldChar w:fldCharType="end"/>
            </w:r>
          </w:p>
        </w:tc>
      </w:tr>
      <w:tr w:rsidR="008F7E4A" w:rsidRPr="00BC0897" w:rsidTr="00BB319F">
        <w:trPr>
          <w:trHeight w:val="273"/>
        </w:trPr>
        <w:tc>
          <w:tcPr>
            <w:tcW w:w="846" w:type="dxa"/>
            <w:shd w:val="clear" w:color="auto" w:fill="auto"/>
            <w:noWrap/>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w:t>
            </w:r>
          </w:p>
        </w:tc>
        <w:tc>
          <w:tcPr>
            <w:tcW w:w="1843"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872"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2835"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Normal</w:t>
            </w:r>
          </w:p>
        </w:tc>
        <w:tc>
          <w:tcPr>
            <w:tcW w:w="2555"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Normal</w:t>
            </w:r>
          </w:p>
        </w:tc>
        <w:tc>
          <w:tcPr>
            <w:tcW w:w="1985"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{"citationID":"1Vzh8P3F","properties":{"formattedCitation":"(Deng et al. 2020)","plainCitation":"(Deng et al. 2020)","noteIndex":0},"citationItems":[{"id":2533,"uris":["http://zotero.org/users/local/jkkvYBSC/items/5ERYPQ5M"],"uri":["http://zotero.org/users/local/jkkvYBSC/items/5ERYPQ5M"],"itemData":{"id":2533,"type":"article-journal","abstract":"BACKGROUND: To characterize the phenotypic spectrum and assess the antialbuminuric response to angiotensin converting enzyme (ACE) inhibitor and/or angiotensin receptor blocker (ARB) therapy in a cohort of children with Dent disease.\nMETHODS: The patients' clinical findings, renal biopsy results, genetic and follow-up data were analyzed retrospectively. Mutations in CLCN5 or OCRL were detected by next-generation sequencing or Sanger sequencing.\nRESULTS: Of 31 Dent disease boys, 24 carried CLCN5 and 7 carried OCRL mutations. Low molecular weight proteinuria and albuminuria were detected in all cases. Nephrotic-range proteinuria and severe albuminuria were identified in 52% and 62% of cases, respectively; by 7 years of age, 6 patients had hematuria and nephrotic-range proteinuria, and 7 patients had hematuria and moderate to severe albuminuria. In addition to disease-related renal features, patients with Dent-1 disease also presented with congenital cataract (1/9) and developmental delay (2/7). Seventeen of 31 patients underwent renal biopsy. Glomerular changes included mild glomerular lesions, mesangial proliferative glomerulonephritis and focal segmental glomerular sclerosis. Thirteen of the 31 patients had follow-up records and received ACE inhibitor and/or ARB treatment for more than 3 months. After a median 1.7 (range 0.3-8.5) years of treatment, a reduction in the urinary microalbumin-to-creatinine ratio was observed in 54% of children.\nCONCLUSIONS: Hematuria with nephrotic-range proteinuria or moderate to severe albuminuria was common in Dent disease patients. Extrarenal manifestations were observed in Dent-1 patients, which extends the phenotypic spectrum. In addition, ACE inhibitors and ARBs are well tolerated, and they are partially effective in controlling albuminuria.","container-title":"Molecular Genetics &amp; Genomic Medicine","DOI":"10.1002/mgg3.1306","ISSN":"2324-9269","journalAbbreviation":"Mol Genet Genomic Med","language":"eng","note":"PMID: 32495484","page":"e1306","source":"PubMed","title":"Phenotypic spectrum and antialbuminuric response to angiotensin converting enzyme inhibitor and angiotensin receptor blocker therapy in pediatric Dent disease","author":[{"family":"Deng","given":"Haiyue"},{"family":"Zhang","given":"Yanqin"},{"family":"Xiao","given":"Huijie"},{"family":"Yao","given":"Yong"},{"family":"Zhang","given":"Hongwen"},{"family":"Liu","given":"Xiaoyu"},{"family":"Su","given":"Baige"},{"family":"Guan","given":"Na"},{"family":"Zhong","given":"Xuhui"},{"family":"Wang","given":"Suxia"},{"family":"Ding","given":"Jie"},{"family":"Wang","given":"Fang"}],"issued":{"date-parts":[["2020",6,3]]}}}],"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lang w:val="en-US"/>
              </w:rPr>
              <w:t>(Deng et al. 2020)</w:t>
            </w:r>
            <w:r w:rsidRPr="00BC0897">
              <w:rPr>
                <w:rFonts w:ascii="Times New Roman" w:hAnsi="Times New Roman" w:cs="Times New Roman"/>
                <w:sz w:val="20"/>
                <w:szCs w:val="20"/>
                <w:lang w:val="en-US"/>
              </w:rPr>
              <w:fldChar w:fldCharType="end"/>
            </w:r>
          </w:p>
        </w:tc>
      </w:tr>
      <w:tr w:rsidR="008F7E4A" w:rsidRPr="00BC0897" w:rsidTr="007B380E">
        <w:trPr>
          <w:trHeight w:val="273"/>
        </w:trPr>
        <w:tc>
          <w:tcPr>
            <w:tcW w:w="846" w:type="dxa"/>
            <w:shd w:val="clear" w:color="auto" w:fill="auto"/>
            <w:noWrap/>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w:t>
            </w:r>
          </w:p>
        </w:tc>
        <w:tc>
          <w:tcPr>
            <w:tcW w:w="1843"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872"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2835"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Normal</w:t>
            </w:r>
          </w:p>
        </w:tc>
        <w:tc>
          <w:tcPr>
            <w:tcW w:w="2555"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Normal</w:t>
            </w:r>
          </w:p>
        </w:tc>
        <w:tc>
          <w:tcPr>
            <w:tcW w:w="1985"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{"citationID":"38oJmqxR","properties":{"formattedCitation":"(Deng et al. 2020)","plainCitation":"(Deng et al. 2020)","noteIndex":0},"citationItems":[{"id":2533,"uris":["http://zotero.org/users/local/jkkvYBSC/items/5ERYPQ5M"],"uri":["http://zotero.org/users/local/jkkvYBSC/items/5ERYPQ5M"],"itemData":{"id":2533,"type":"article-journal","abstract":"BACKGROUND: To characterize the phenotypic spectrum and assess the antialbuminuric response to angiotensin converting enzyme (ACE) inhibitor and/or angiotensin receptor blocker (ARB) therapy in a cohort of children with Dent disease.\nMETHODS: The patients' clinical findings, renal biopsy results, genetic and follow-up data were analyzed retrospectively. Mutations in CLCN5 or OCRL were detected by next-generation sequencing or Sanger sequencing.\nRESULTS: Of 31 Dent disease boys, 24 carried CLCN5 and 7 carried OCRL mutations. Low molecular weight proteinuria and albuminuria were detected in all cases. Nephrotic-range proteinuria and severe albuminuria were identified in 52% and 62% of cases, respectively; by 7 years of age, 6 patients had hematuria and nephrotic-range proteinuria, and 7 patients had hematuria and moderate to severe albuminuria. In addition to disease-related renal features, patients with Dent-1 disease also presented with congenital cataract (1/9) and developmental delay (2/7). Seventeen of 31 patients underwent renal biopsy. Glomerular changes included mild glomerular lesions, mesangial proliferative glomerulonephritis and focal segmental glomerular sclerosis. Thirteen of the 31 patients had follow-up records and received ACE inhibitor and/or ARB treatment for more than 3 months. After a median 1.7 (range 0.3-8.5) years of treatment, a reduction in the urinary microalbumin-to-creatinine ratio was observed in 54% of children.\nCONCLUSIONS: Hematuria with nephrotic-range proteinuria or moderate to severe albuminuria was common in Dent disease patients. Extrarenal manifestations were observed in Dent-1 patients, which extends the phenotypic spectrum. In addition, ACE inhibitors and ARBs are well tolerated, and they are partially effective in controlling albuminuria.","container-title":"Molecular Genetics &amp; Genomic Medicine","DOI":"10.1002/mgg3.1306","ISSN":"2324-9269","journalAbbreviation":"Mol Genet Genomic Med","language":"eng","note":"PMID: 32495484","page":"e1306","source":"PubMed","title":"Phenotypic spectrum and antialbuminuric response to angiotensin converting enzyme inhibitor and angiotensin receptor blocker therapy in pediatric Dent disease","author":[{"family":"Deng","given":"Haiyue"},{"family":"Zhang","given":"Yanqin"},{"family":"Xiao","given":"Huijie"},{"family":"Yao","given":"Yong"},{"family":"Zhang","given":"Hongwen"},{"family":"Liu","given":"Xiaoyu"},{"family":"Su","given":"Baige"},{"family":"Guan","given":"Na"},{"family":"Zhong","given":"Xuhui"},{"family":"Wang","given":"Suxia"},{"family":"Ding","given":"Jie"},{"family":"Wang","given":"Fang"}],"issued":{"date-parts":[["2020",6,3]]}}}],"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lang w:val="en-US"/>
              </w:rPr>
              <w:t>(Deng et al. 2020)</w:t>
            </w:r>
            <w:r w:rsidRPr="00BC0897">
              <w:rPr>
                <w:rFonts w:ascii="Times New Roman" w:hAnsi="Times New Roman" w:cs="Times New Roman"/>
                <w:sz w:val="20"/>
                <w:szCs w:val="20"/>
                <w:lang w:val="en-US"/>
              </w:rPr>
              <w:fldChar w:fldCharType="end"/>
            </w:r>
          </w:p>
        </w:tc>
      </w:tr>
      <w:tr w:rsidR="008F7E4A" w:rsidRPr="002212C2" w:rsidTr="007B380E">
        <w:trPr>
          <w:trHeight w:val="273"/>
        </w:trPr>
        <w:tc>
          <w:tcPr>
            <w:tcW w:w="846" w:type="dxa"/>
            <w:shd w:val="clear" w:color="auto" w:fill="auto"/>
            <w:noWrap/>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2</w:t>
            </w:r>
          </w:p>
        </w:tc>
        <w:tc>
          <w:tcPr>
            <w:tcW w:w="1843"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872"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2835"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FSGS</w:t>
            </w:r>
          </w:p>
        </w:tc>
        <w:tc>
          <w:tcPr>
            <w:tcW w:w="2555"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p>
        </w:tc>
        <w:tc>
          <w:tcPr>
            <w:tcW w:w="1985"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shd w:val="clear" w:color="auto" w:fill="auto"/>
            <w:vAlign w:val="center"/>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{"citationID":"OMm73tvU","properties":{"formattedCitation":"(Deng et al. 2020)","plainCitation":"(Deng et al. 2020)","noteIndex":0},"citationItems":[{"id":2533,"uris":["http://zotero.org/users/local/jkkvYBSC/items/5ERYPQ5M"],"uri":["http://zotero.org/users/local/jkkvYBSC/items/5ERYPQ5M"],"itemData":{"id":2533,"type":"article-journal","abstract":"BACKGROUND: To characterize the phenotypic spectrum and assess the antialbuminuric response to angiotensin converting enzyme (ACE) inhibitor and/or angiotensin receptor blocker (ARB) therapy in a cohort of children with Dent disease.\nMETHODS: The patients' clinical findings, renal biopsy results, genetic and follow-up data were analyzed retrospectively. Mutations in CLCN5 or OCRL were detected by next-generation sequencing or Sanger sequencing.\nRESULTS: Of 31 Dent disease boys, 24 carried CLCN5 and 7 carried OCRL mutations. Low molecular weight proteinuria and albuminuria were detected in all cases. Nephrotic-range proteinuria and severe albuminuria were identified in 52% and 62% of cases, respectively; by 7 years of age, 6 patients had hematuria and nephrotic-range proteinuria, and 7 patients had hematuria and moderate to severe albuminuria. In addition to disease-related renal features, patients with Dent-1 disease also presented with congenital cataract (1/9) and developmental delay (2/7). Seventeen of 31 patients underwent renal biopsy. Glomerular changes included mild glomerular lesions, mesangial proliferative glomerulonephritis and focal segmental glomerular sclerosis. Thirteen of the 31 patients had follow-up records and received ACE inhibitor and/or ARB treatment for more than 3 months. After a median 1.7 (range 0.3-8.5) years of treatment, a reduction in the urinary microalbumin-to-creatinine ratio was observed in 54% of children.\nCONCLUSIONS: Hematuria with nephrotic-range proteinuria or moderate to severe albuminuria was common in Dent disease patients. Extrarenal manifestations were observed in Dent-1 patients, which extends the phenotypic spectrum. In addition, ACE inhibitors and ARBs are well tolerated, and they are partially effective in controlling albuminuria.","container-title":"Molecular Genetics &amp; Genomic Medicine","DOI":"10.1002/mgg3.1306","ISSN":"2324-9269","journalAbbreviation":"Mol Genet Genomic Med","language":"eng","note":"PMID: 32495484","page":"e1306","source":"PubMed","title":"Phenotypic spectrum and antialbuminuric response to angiotensin converting enzyme inhibitor and angiotensin receptor blocker therapy in pediatric Dent disease","author":[{"family":"Deng","given":"Haiyue"},{"family":"Zhang","given":"Yanqin"},{"family":"Xiao","given":"Huijie"},{"family":"Yao","given":"Yong"},{"family":"Zhang","given":"Hongwen"},{"family":"Liu","given":"Xiaoyu"},{"family":"Su","given":"Baige"},{"family":"Guan","given":"Na"},{"family":"Zhong","given":"Xuhui"},{"family":"Wang","given":"Suxia"},{"family":"Ding","given":"Jie"},{"family":"Wang","given":"Fang"}],"issued":{"date-parts":[["2020",6,3]]}}}],"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lang w:val="en-US"/>
              </w:rPr>
              <w:t>(Deng et al. 2020)</w:t>
            </w:r>
            <w:r w:rsidRPr="00BC0897">
              <w:rPr>
                <w:rFonts w:ascii="Times New Roman" w:hAnsi="Times New Roman" w:cs="Times New Roman"/>
                <w:sz w:val="20"/>
                <w:szCs w:val="20"/>
                <w:lang w:val="en-US"/>
              </w:rPr>
              <w:fldChar w:fldCharType="end"/>
            </w:r>
          </w:p>
        </w:tc>
      </w:tr>
      <w:tr w:rsidR="008F7E4A" w:rsidRPr="002212C2" w:rsidTr="007B380E">
        <w:trPr>
          <w:trHeight w:val="1121"/>
        </w:trPr>
        <w:tc>
          <w:tcPr>
            <w:tcW w:w="846" w:type="dxa"/>
            <w:shd w:val="clear" w:color="auto" w:fill="auto"/>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1/2/3</w:t>
            </w:r>
          </w:p>
        </w:tc>
        <w:tc>
          <w:tcPr>
            <w:tcW w:w="3715" w:type="dxa"/>
            <w:gridSpan w:val="2"/>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30 different subjects</w:t>
            </w:r>
          </w:p>
        </w:tc>
        <w:tc>
          <w:tcPr>
            <w:tcW w:w="283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 xml:space="preserve">FGGS 25/30, Mesangial </w:t>
            </w:r>
            <w:proofErr w:type="spellStart"/>
            <w:r w:rsidRPr="00BC0897">
              <w:rPr>
                <w:rFonts w:ascii="Times New Roman" w:hAnsi="Times New Roman" w:cs="Times New Roman"/>
                <w:sz w:val="20"/>
                <w:szCs w:val="20"/>
                <w:lang w:val="en-US"/>
              </w:rPr>
              <w:t>hypercellularity</w:t>
            </w:r>
            <w:proofErr w:type="spellEnd"/>
            <w:r w:rsidRPr="00BC0897">
              <w:rPr>
                <w:rFonts w:ascii="Times New Roman" w:hAnsi="Times New Roman" w:cs="Times New Roman"/>
                <w:sz w:val="20"/>
                <w:szCs w:val="20"/>
                <w:lang w:val="en-US"/>
              </w:rPr>
              <w:t xml:space="preserve"> 4/30, FSGS 2/30, Focal segmental glomerular capillary collapse 2/30, Cellular crescent 1/30</w:t>
            </w:r>
          </w:p>
        </w:tc>
        <w:tc>
          <w:tcPr>
            <w:tcW w:w="255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Tubular damage 21/30, Focal interstitial fibrosis 18/30, Focal interstitial inflammation 16/30, Nephrocalcinosis 6/30</w:t>
            </w:r>
          </w:p>
        </w:tc>
        <w:tc>
          <w:tcPr>
            <w:tcW w:w="198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Foot process effacement 13/23</w:t>
            </w:r>
          </w:p>
        </w:tc>
        <w:tc>
          <w:tcPr>
            <w:tcW w:w="1559"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Negative 30/30</w:t>
            </w:r>
          </w:p>
        </w:tc>
        <w:tc>
          <w:tcPr>
            <w:tcW w:w="1701"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{"citationID":"bP8MI3Jn","properties":{"formattedCitation":"(Wang et al. 2016)","plainCitation":"(Wang et al. 2016)","noteIndex":0},"citationItems":[{"id":256,"uris":["http://zotero.org/users/local/jkkvYBSC/items/68BYVDJ6"],"uri":["http://zotero.org/users/local/jkkvYBSC/items/68BYVDJ6"],"itemData":{"id":256,"type":"article-journal","abstract":"BACKGROUND AND OBJECTIVES: Dent disease is a rare X-linked disorder characterized by low molecular weight proteinuria and often considered a renal tubular disease. However, glomerulosclerosis was recently reported in several patients. Thus, Dent disease renal histopathologic features were characterized and assessed, and their association with kidney function was assessed.\nDESIGN, SETTING, PARTICIPANTS, &amp; MEASUREMENTS: Clinical renal pathology reports and slides (where available) were collected from 30 boys and men in eight countries who had undergone clinical renal biopsy between 1995 and 2014.\nRESULTS: Median (25th, 75th percentiles) age at biopsy was 7.5 (5, 19) years with an eGFR of 69 (44, 94) ml/min per 1.73 m2 and a 24-hour urine protein of 2000 (1325, 2936) mg. A repeat biopsy for steroid-resistant proteinuria was performed in 13% (four of 30) of the patients. Prominent histologic findings included focal global glomerulosclerosis in 83% (25 of 30; affecting 16%±19% glomeruli), mild segmental foot process effacement in 57% (13 of 23), focal interstitial fibrosis in 60% (18 of 30), interstitial lymphocytic infiltration in 53% (16 of 30), and tubular damage in 70% (21 of 30). Higher percentages of globally sclerotic glomeruli, foot process effacement, and interstitial inflammation were associated with lower eGFR at biopsy, whereas foot process effacement was associated with steeper annual eGFR decline.\nCONCLUSIONS: These associations suggest a potential role for glomerular pathology, specifically involving the podocyte, in disease progression, which deserves further study. Furthermore, Dent disease should be suspected in boys and men who have unexplained proteinuria with focal global glomerulosclerosis and segmental foot process effacement on renal biopsy.","container-title":"Clinical journal of the American Society of Nephrology: CJASN","DOI":"10.2215/CJN.03710416","ISSN":"1555-905X","issue":"12","journalAbbreviation":"Clin J Am Soc Nephrol","language":"eng","note":"PMID: 27697782\nPMCID: PMC5142066","page":"2168-2176","source":"PubMed","title":"Glomerular Pathology in Dent Disease and Its Association with Kidney Function","volume":"11","author":[{"family":"Wang","given":"Xiangling"},{"family":"Anglani","given":"Franca"},{"family":"Beara-Lasic","given":"Lada"},{"family":"Mehta","given":"Anila J."},{"family":"Vaughan","given":"Lisa E."},{"family":"Herrera Hernandez","given":"Loren"},{"family":"Cogal","given":"Andrea"},{"family":"Scheinman","given":"Steven J."},{"family":"Ariceta","given":"Gema"},{"family":"Isom","given":"Robert"},{"family":"Copelovitch","given":"Lawrence"},{"family":"Enders","given":"Felicity T."},{"family":"Del Prete","given":"Dorella"},{"family":"Vezzoli","given":"Giuseppe"},{"family":"Paglialonga","given":"Fabio"},{"family":"Harris","given":"Peter C."},{"family":"Lieske","given":"John C."},{"literal":"Investigators of the Rare Kidney Stone Consortium"}],"issued":{"date-parts":[["2016"]],"season":"07"}}}],"schema":"https://github.com/citation-style-language/schema/raw/master/csl-citation.json"}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szCs w:val="20"/>
                <w:lang w:val="en-US"/>
              </w:rPr>
              <w:t>(Wang et al. 2016)</w:t>
            </w:r>
            <w:r w:rsidRPr="00BC0897">
              <w:rPr>
                <w:rFonts w:ascii="Times New Roman" w:hAnsi="Times New Roman" w:cs="Times New Roman"/>
                <w:sz w:val="20"/>
                <w:szCs w:val="20"/>
                <w:lang w:val="en-US"/>
              </w:rPr>
              <w:fldChar w:fldCharType="end"/>
            </w:r>
          </w:p>
        </w:tc>
      </w:tr>
      <w:tr w:rsidR="008F7E4A" w:rsidRPr="00BC0897" w:rsidTr="007B380E">
        <w:trPr>
          <w:trHeight w:val="710"/>
        </w:trPr>
        <w:tc>
          <w:tcPr>
            <w:tcW w:w="846"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843"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p>
        </w:tc>
        <w:tc>
          <w:tcPr>
            <w:tcW w:w="1872"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p>
        </w:tc>
        <w:tc>
          <w:tcPr>
            <w:tcW w:w="283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Glomerulosclerosis</w:t>
            </w:r>
          </w:p>
        </w:tc>
        <w:tc>
          <w:tcPr>
            <w:tcW w:w="255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Tubular and interstitial calcium deposits, Interstitial fibrosis, Focal tubular atrophy</w:t>
            </w:r>
          </w:p>
        </w:tc>
        <w:tc>
          <w:tcPr>
            <w:tcW w:w="198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Normal GBM</w:t>
            </w:r>
          </w:p>
        </w:tc>
        <w:tc>
          <w:tcPr>
            <w:tcW w:w="1559"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Negative</w:t>
            </w:r>
          </w:p>
        </w:tc>
        <w:tc>
          <w:tcPr>
            <w:tcW w:w="1701"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00040F98" w:rsidRPr="00BC0897">
              <w:rPr>
                <w:rFonts w:ascii="Times New Roman" w:hAnsi="Times New Roman" w:cs="Times New Roman"/>
                <w:sz w:val="20"/>
                <w:szCs w:val="20"/>
                <w:lang w:val="en-US"/>
              </w:rPr>
              <w:instrText xml:space="preserve"> ADDIN ZOTERO_ITEM CSL_CITATION {"citationID":"PM5FzcFC","properties":{"formattedCitation":"(Langlois et al. 1998)","plainCitation":"(Langlois et al. 1998)","noteIndex":0},"citationItems":[{"id":"p7ATYret/tnFQdrXH","uris":["http://zotero.org/users/local/jkkvYBSC/items/THQB786W"],"uri":["http://zotero.org/users/local/jkkvYBSC/items/THQB786W"],"itemData":{"id":795,"type":"article-journal","abstract":"X-linked recessive nephrolithiasis (XRN) is a rare hereditary form of progressive renal failure characterized by (1) proximal tubular dysfunction and low molecular weight proteinuria; (2) hypercalciuria with nephrocalcinosis and nephrolithiasis. Because the clinical features are non-specific and variable, affected families in different parts of the world were initially thought to have several distinct syndromes. However, positional cloning of the relevant gene (CLCN5) demonstrated that these families have, in common, mutations affecting a chloride channel expressed throughout the renal tubule. To expand the description of early clinical and pathological manifestations of XRN, we describe three patients diagnosed in the 1st decade of life. Renal tubular dysfunction may be evident even in the neonatal period, hypophosphatemic rickets may develop in the first years of life, and nephrocalcinosis (but not nephrolithiasis) with glomerulosclerosis are consistent features in childhood. One of our patients is indistinguishable from the others on clinical grounds, yet no mutations of the coding regions of the CLCN5 gene were found, raising the possibility of genetic heterogeneity in the XRN syndrome.","container-title":"Pediatric Nephrology (Berlin, Germany)","DOI":"10.1007/s004670050516","ISSN":"0931-041X","issue":"8","journalAbbreviation":"Pediatr. Nephrol.","language":"eng","note":"PMID: 9811383","page":"625-629","source":"PubMed","title":"Clinical features of X-linked nephrolithiasis in childhood","volume":"12","author":[{"family":"Langlois","given":"V."},{"family":"Bernard","given":"C."},{"family":"Scheinman","given":"S. J."},{"family":"Thakker","given":"R. V."},{"family":"Cox","given":"J. P."},{"family":"Goodyer","given":"P. R."}],"issued":{"date-parts":[["1998",10]]}}}],"schema":"https://github.com/citation-style-language/schema/raw/master/csl-citation.json"} </w:instrText>
            </w:r>
            <w:r w:rsidRPr="00BC0897">
              <w:rPr>
                <w:rFonts w:ascii="Times New Roman" w:hAnsi="Times New Roman" w:cs="Times New Roman"/>
                <w:sz w:val="20"/>
                <w:szCs w:val="20"/>
                <w:lang w:val="en-US"/>
              </w:rPr>
              <w:fldChar w:fldCharType="separate"/>
            </w:r>
            <w:r w:rsidR="00040F98" w:rsidRPr="00BC0897">
              <w:rPr>
                <w:rFonts w:ascii="Times New Roman" w:hAnsi="Times New Roman" w:cs="Times New Roman"/>
                <w:sz w:val="20"/>
              </w:rPr>
              <w:t>(Langlois et al. 1998)</w:t>
            </w:r>
            <w:r w:rsidRPr="00BC0897">
              <w:rPr>
                <w:rFonts w:ascii="Times New Roman" w:hAnsi="Times New Roman" w:cs="Times New Roman"/>
                <w:sz w:val="20"/>
                <w:szCs w:val="20"/>
                <w:lang w:val="en-US"/>
              </w:rPr>
              <w:fldChar w:fldCharType="end"/>
            </w:r>
          </w:p>
        </w:tc>
      </w:tr>
      <w:tr w:rsidR="008F7E4A" w:rsidRPr="00BC0897" w:rsidTr="007B380E">
        <w:trPr>
          <w:trHeight w:val="851"/>
        </w:trPr>
        <w:tc>
          <w:tcPr>
            <w:tcW w:w="846" w:type="dxa"/>
            <w:shd w:val="clear" w:color="auto" w:fill="auto"/>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 §</w:t>
            </w:r>
          </w:p>
        </w:tc>
        <w:tc>
          <w:tcPr>
            <w:tcW w:w="1843"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p>
        </w:tc>
        <w:tc>
          <w:tcPr>
            <w:tcW w:w="1872"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p>
        </w:tc>
        <w:tc>
          <w:tcPr>
            <w:tcW w:w="283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Glomerulosclerosis</w:t>
            </w:r>
          </w:p>
        </w:tc>
        <w:tc>
          <w:tcPr>
            <w:tcW w:w="255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Interstitial fibrosis, Tubular atrophy, Nonspecific interstitial lymphocytic infiltration, Calcium deposition</w:t>
            </w:r>
          </w:p>
          <w:p w:rsidR="008F7E4A" w:rsidRPr="00BC0897" w:rsidRDefault="008F7E4A" w:rsidP="008F7E4A">
            <w:pPr>
              <w:spacing w:after="0"/>
              <w:jc w:val="center"/>
              <w:rPr>
                <w:rFonts w:ascii="Times New Roman" w:hAnsi="Times New Roman" w:cs="Times New Roman"/>
                <w:sz w:val="20"/>
                <w:szCs w:val="20"/>
                <w:lang w:val="en-US"/>
              </w:rPr>
            </w:pPr>
          </w:p>
        </w:tc>
        <w:tc>
          <w:tcPr>
            <w:tcW w:w="198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701"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{"citationID":"na601ACS","properties":{"formattedCitation":"(Frymoyer et al. 1991)","plainCitation":"(Frymoyer et al. 1991)","noteIndex":0},"citationItems":[{"id":709,"uris":["http://zotero.org/users/local/jkkvYBSC/items/SS42C25L"],"uri":["http://zotero.org/users/local/jkkvYBSC/items/SS42C25L"],"itemData":{"id":709,"type":"article-journal","abstract":"BACKGROUND AND METHODS: Nephrolithiasis may occur as a consequence of a number of hereditary disorders. We describe a large kindred from northern New York with hereditary nephrolithiasis accompanied by urinary concentrating defects, nephrocalcinosis, renal insufficiency, and renal wasting of potassium, phosphate, calcium, and uric acid. The pattern of inheritance was established by examining the patients and their records and interviewing family members. Selected members of the family were evaluated in detail, with measurements of erythrocyte cation fluxes and carbonic anhydrase (carbonate dehydratase) activity.\nRESULTS: The kindred consisted of 162 family members from six generations. All nine affected persons were male and appeared to have inherited the disease from their mothers. No affected man transmitted the gene to a son, but the daughters of affected men were carriers. The patients presented in childhood with calcium nephrolithiasis and proteinuria, with progression to nephrocalcinosis, urinary concentrating defects, and renal insufficiency. Renal biopsies revealed tubular atrophy, interstitial fibrosis, and glomerulosclerosis; the characteristic features of other forms of hereditary nephritis were absent. Abnormalities in the renal excretion of calcium, phosphate, potassium, and uric acid were found only in the adult members of the kindred, although renal biopsies were abnormal even in younger members. In one patient who has had a renal transplant for seven years, the disease has not recurred.\nCONCLUSIONS: This kindred manifested an X-linked recessive nephrolithiasis with renal failure, a new form of hereditary renal disease. Most of the identifiable physiologic abnormalities occurred after the development of nephrolithiasis and renal insufficiency and may not be of pathogenetic importance.","container-title":"The New England Journal of Medicine","DOI":"10.1056/NEJM199109053251003","ISSN":"0028-4793","issue":"10","journalAbbreviation":"N. Engl. J. Med.","language":"eng","note":"PMID: 1908057","page":"681-686","source":"PubMed","title":"X-linked recessive nephrolithiasis with renal failure","volume":"325","author":[{"family":"Frymoyer","given":"P. A."},{"family":"Scheinman","given":"S. J."},{"family":"Dunham","given":"P. B."},{"family":"Jones","given":"D. B."},{"family":"Hueber","given":"P."},{"family":"Schroeder","given":"E. T."}],"issued":{"date-parts":[["1991",9,5]]}}}],"schema":"https://github.com/citation-style-language/schema/raw/master/csl-citation.json"}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szCs w:val="20"/>
              </w:rPr>
              <w:t>(Frymoyer et al. 1991)</w:t>
            </w:r>
            <w:r w:rsidRPr="00BC0897">
              <w:rPr>
                <w:rFonts w:ascii="Times New Roman" w:hAnsi="Times New Roman" w:cs="Times New Roman"/>
                <w:sz w:val="20"/>
                <w:szCs w:val="20"/>
                <w:lang w:val="en-US"/>
              </w:rPr>
              <w:fldChar w:fldCharType="end"/>
            </w:r>
          </w:p>
        </w:tc>
      </w:tr>
      <w:tr w:rsidR="008F7E4A" w:rsidRPr="00BC0897" w:rsidTr="007B380E">
        <w:trPr>
          <w:trHeight w:val="835"/>
        </w:trPr>
        <w:tc>
          <w:tcPr>
            <w:tcW w:w="846" w:type="dxa"/>
            <w:shd w:val="clear" w:color="auto" w:fill="auto"/>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 §</w:t>
            </w:r>
          </w:p>
        </w:tc>
        <w:tc>
          <w:tcPr>
            <w:tcW w:w="1843"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p>
        </w:tc>
        <w:tc>
          <w:tcPr>
            <w:tcW w:w="1872"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p>
        </w:tc>
        <w:tc>
          <w:tcPr>
            <w:tcW w:w="283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FSGS, FGGS, Immature glomeruli</w:t>
            </w:r>
          </w:p>
        </w:tc>
        <w:tc>
          <w:tcPr>
            <w:tcW w:w="255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Normal</w:t>
            </w:r>
          </w:p>
        </w:tc>
        <w:tc>
          <w:tcPr>
            <w:tcW w:w="198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Foot process effacement in sclerotic glomeruli, Capillary basement membranes thickness</w:t>
            </w:r>
          </w:p>
        </w:tc>
        <w:tc>
          <w:tcPr>
            <w:tcW w:w="1559"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Negative</w:t>
            </w:r>
          </w:p>
        </w:tc>
        <w:tc>
          <w:tcPr>
            <w:tcW w:w="1701"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{"citationID":"QnL0du9w","properties":{"formattedCitation":"(Frymoyer et al. 1991)","plainCitation":"(Frymoyer et al. 1991)","noteIndex":0},"citationItems":[{"id":709,"uris":["http://zotero.org/users/local/jkkvYBSC/items/SS42C25L"],"uri":["http://zotero.org/users/local/jkkvYBSC/items/SS42C25L"],"itemData":{"id":709,"type":"article-journal","abstract":"BACKGROUND AND METHODS: Nephrolithiasis may occur as a consequence of a number of hereditary disorders. We describe a large kindred from northern New York with hereditary nephrolithiasis accompanied by urinary concentrating defects, nephrocalcinosis, renal insufficiency, and renal wasting of potassium, phosphate, calcium, and uric acid. The pattern of inheritance was established by examining the patients and their records and interviewing family members. Selected members of the family were evaluated in detail, with measurements of erythrocyte cation fluxes and carbonic anhydrase (carbonate dehydratase) activity.\nRESULTS: The kindred consisted of 162 family members from six generations. All nine affected persons were male and appeared to have inherited the disease from their mothers. No affected man transmitted the gene to a son, but the daughters of affected men were carriers. The patients presented in childhood with calcium nephrolithiasis and proteinuria, with progression to nephrocalcinosis, urinary concentrating defects, and renal insufficiency. Renal biopsies revealed tubular atrophy, interstitial fibrosis, and glomerulosclerosis; the characteristic features of other forms of hereditary nephritis were absent. Abnormalities in the renal excretion of calcium, phosphate, potassium, and uric acid were found only in the adult members of the kindred, although renal biopsies were abnormal even in younger members. In one patient who has had a renal transplant for seven years, the disease has not recurred.\nCONCLUSIONS: This kindred manifested an X-linked recessive nephrolithiasis with renal failure, a new form of hereditary renal disease. Most of the identifiable physiologic abnormalities occurred after the development of nephrolithiasis and renal insufficiency and may not be of pathogenetic importance.","container-title":"The New England Journal of Medicine","DOI":"10.1056/NEJM199109053251003","ISSN":"0028-4793","issue":"10","journalAbbreviation":"N. Engl. J. Med.","language":"eng","note":"PMID: 1908057","page":"681-686","source":"PubMed","title":"X-linked recessive nephrolithiasis with renal failure","volume":"325","author":[{"family":"Frymoyer","given":"P. A."},{"family":"Scheinman","given":"S. J."},{"family":"Dunham","given":"P. B."},{"family":"Jones","given":"D. B."},{"family":"Hueber","given":"P."},{"family":"Schroeder","given":"E. T."}],"issued":{"date-parts":[["1991",9,5]]}}}],"schema":"https://github.com/citation-style-language/schema/raw/master/csl-citation.json"}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szCs w:val="20"/>
              </w:rPr>
              <w:t>(Frymoyer et al. 1991)</w:t>
            </w:r>
            <w:r w:rsidRPr="00BC0897">
              <w:rPr>
                <w:rFonts w:ascii="Times New Roman" w:hAnsi="Times New Roman" w:cs="Times New Roman"/>
                <w:sz w:val="20"/>
                <w:szCs w:val="20"/>
                <w:lang w:val="en-US"/>
              </w:rPr>
              <w:fldChar w:fldCharType="end"/>
            </w:r>
          </w:p>
        </w:tc>
      </w:tr>
      <w:tr w:rsidR="008F7E4A" w:rsidRPr="00BC0897" w:rsidTr="007B380E">
        <w:trPr>
          <w:trHeight w:val="832"/>
        </w:trPr>
        <w:tc>
          <w:tcPr>
            <w:tcW w:w="846" w:type="dxa"/>
            <w:shd w:val="clear" w:color="auto" w:fill="auto"/>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3715" w:type="dxa"/>
            <w:gridSpan w:val="2"/>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3 unrelated male patients</w:t>
            </w:r>
          </w:p>
        </w:tc>
        <w:tc>
          <w:tcPr>
            <w:tcW w:w="283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proofErr w:type="spellStart"/>
            <w:r w:rsidRPr="00BC0897">
              <w:rPr>
                <w:rFonts w:ascii="Times New Roman" w:hAnsi="Times New Roman" w:cs="Times New Roman"/>
                <w:sz w:val="20"/>
                <w:szCs w:val="20"/>
                <w:lang w:val="en-US"/>
              </w:rPr>
              <w:t>Periglomerular</w:t>
            </w:r>
            <w:proofErr w:type="spellEnd"/>
            <w:r w:rsidRPr="00BC0897">
              <w:rPr>
                <w:rFonts w:ascii="Times New Roman" w:hAnsi="Times New Roman" w:cs="Times New Roman"/>
                <w:sz w:val="20"/>
                <w:szCs w:val="20"/>
                <w:lang w:val="en-US"/>
              </w:rPr>
              <w:t xml:space="preserve"> fibrosis, Partial or complete hyalinization of some glomeruli</w:t>
            </w:r>
          </w:p>
        </w:tc>
        <w:tc>
          <w:tcPr>
            <w:tcW w:w="255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Chronic interstitial nephritis, Interstitial fibrosis, Tubular atrophy, Dilatation and cast formation, Calcification</w:t>
            </w:r>
          </w:p>
        </w:tc>
        <w:tc>
          <w:tcPr>
            <w:tcW w:w="198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Negative</w:t>
            </w:r>
          </w:p>
        </w:tc>
        <w:tc>
          <w:tcPr>
            <w:tcW w:w="1701"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{"citationID":"mvVu1G3h","properties":{"formattedCitation":"(Wrong et al. 1994)","plainCitation":"(Wrong et al. 1994)","noteIndex":0},"citationItems":[{"id":176,"uris":["http://zotero.org/users/local/jkkvYBSC/items/LB39SWS6"],"uri":["http://zotero.org/users/local/jkkvYBSC/items/LB39SWS6"],"itemData":{"id":176,"type":"article-journal","abstract":"We describe a familial form of renal Fanconi syndrome characterized by hypercalciuria, low-molecular-weight proteinuria, nephrocalcinosis and slowly progressive renal failure. Males are much more severely affected than females. The patients studied included 15 males and 10 females, and five families with up to three generations involved. Studies of the two largest families described here have already shown that their disease is inherited on the X-chromosome. The series contains the two unrelated patients originally described by Dent and Friedman in 1964 as 'hypercalcuric rickets'.","container-title":"QJM","ISSN":"1460-2725","issue":"8","journalAbbreviation":"QJM","language":"eng","note":"PMID: 7922301","page":"473-493","source":"PubMed","title":"Dent's disease; a familial proximal renal tubular syndrome with low-molecular-weight proteinuria, hypercalciuria, nephrocalcinosis, metabolic bone disease, progressive renal failure and a marked male predominance","volume":"87","author":[{"family":"Wrong","given":"O. M."},{"family":"Norden","given":"A. G."},{"family":"Feest","given":"T. G."}],"issued":{"date-parts":[["1994",8]]}}}],"schema":"https://github.com/citation-style-language/schema/raw/master/csl-citation.json"}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szCs w:val="20"/>
              </w:rPr>
              <w:t>(Wrong et al. 1994)</w:t>
            </w:r>
            <w:r w:rsidRPr="00BC0897">
              <w:rPr>
                <w:rFonts w:ascii="Times New Roman" w:hAnsi="Times New Roman" w:cs="Times New Roman"/>
                <w:sz w:val="20"/>
                <w:szCs w:val="20"/>
                <w:lang w:val="en-US"/>
              </w:rPr>
              <w:fldChar w:fldCharType="end"/>
            </w:r>
          </w:p>
        </w:tc>
      </w:tr>
      <w:tr w:rsidR="005336D6" w:rsidRPr="00BC0897" w:rsidTr="00BA526F">
        <w:trPr>
          <w:trHeight w:val="300"/>
        </w:trPr>
        <w:tc>
          <w:tcPr>
            <w:tcW w:w="846" w:type="dxa"/>
            <w:vMerge w:val="restart"/>
            <w:vAlign w:val="center"/>
            <w:hideMark/>
          </w:tcPr>
          <w:p w:rsidR="005336D6" w:rsidRPr="00BC0897" w:rsidRDefault="005336D6"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lastRenderedPageBreak/>
              <w:t>Dent disease type</w:t>
            </w:r>
          </w:p>
        </w:tc>
        <w:tc>
          <w:tcPr>
            <w:tcW w:w="3715" w:type="dxa"/>
            <w:gridSpan w:val="2"/>
            <w:vAlign w:val="center"/>
            <w:hideMark/>
          </w:tcPr>
          <w:p w:rsidR="005336D6" w:rsidRPr="00BC0897" w:rsidRDefault="005336D6"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Mutation</w:t>
            </w:r>
          </w:p>
        </w:tc>
        <w:tc>
          <w:tcPr>
            <w:tcW w:w="5390" w:type="dxa"/>
            <w:gridSpan w:val="2"/>
            <w:vAlign w:val="center"/>
            <w:hideMark/>
          </w:tcPr>
          <w:p w:rsidR="005336D6" w:rsidRPr="00BC0897" w:rsidRDefault="005336D6"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Histology</w:t>
            </w:r>
          </w:p>
        </w:tc>
        <w:tc>
          <w:tcPr>
            <w:tcW w:w="1985" w:type="dxa"/>
            <w:vMerge w:val="restart"/>
            <w:vAlign w:val="center"/>
            <w:hideMark/>
          </w:tcPr>
          <w:p w:rsidR="005336D6" w:rsidRPr="00BC0897" w:rsidRDefault="005336D6"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TEM</w:t>
            </w:r>
          </w:p>
        </w:tc>
        <w:tc>
          <w:tcPr>
            <w:tcW w:w="1559" w:type="dxa"/>
            <w:vMerge w:val="restart"/>
            <w:vAlign w:val="center"/>
            <w:hideMark/>
          </w:tcPr>
          <w:p w:rsidR="005336D6" w:rsidRPr="00BC0897" w:rsidRDefault="005336D6"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IF</w:t>
            </w:r>
          </w:p>
        </w:tc>
        <w:tc>
          <w:tcPr>
            <w:tcW w:w="1701" w:type="dxa"/>
            <w:vMerge w:val="restart"/>
            <w:vAlign w:val="center"/>
            <w:hideMark/>
          </w:tcPr>
          <w:p w:rsidR="005336D6" w:rsidRPr="00BC0897" w:rsidRDefault="005336D6"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Ref</w:t>
            </w:r>
          </w:p>
        </w:tc>
      </w:tr>
      <w:tr w:rsidR="005336D6" w:rsidRPr="00BC0897" w:rsidTr="00BA526F">
        <w:trPr>
          <w:trHeight w:val="258"/>
        </w:trPr>
        <w:tc>
          <w:tcPr>
            <w:tcW w:w="846" w:type="dxa"/>
            <w:vMerge/>
            <w:vAlign w:val="center"/>
            <w:hideMark/>
          </w:tcPr>
          <w:p w:rsidR="005336D6" w:rsidRPr="00BC0897" w:rsidRDefault="005336D6" w:rsidP="00BA526F">
            <w:pPr>
              <w:spacing w:after="0"/>
              <w:jc w:val="center"/>
              <w:rPr>
                <w:rFonts w:ascii="Times New Roman" w:hAnsi="Times New Roman" w:cs="Times New Roman"/>
                <w:b/>
                <w:bCs/>
                <w:sz w:val="20"/>
                <w:szCs w:val="20"/>
                <w:lang w:val="en-US"/>
              </w:rPr>
            </w:pPr>
          </w:p>
        </w:tc>
        <w:tc>
          <w:tcPr>
            <w:tcW w:w="1843" w:type="dxa"/>
            <w:vAlign w:val="center"/>
            <w:hideMark/>
          </w:tcPr>
          <w:p w:rsidR="005336D6" w:rsidRPr="00BC0897" w:rsidRDefault="005336D6"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Nucleotide</w:t>
            </w:r>
          </w:p>
        </w:tc>
        <w:tc>
          <w:tcPr>
            <w:tcW w:w="1872" w:type="dxa"/>
            <w:vAlign w:val="center"/>
            <w:hideMark/>
          </w:tcPr>
          <w:p w:rsidR="005336D6" w:rsidRPr="00BC0897" w:rsidRDefault="005336D6"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Protein</w:t>
            </w:r>
          </w:p>
        </w:tc>
        <w:tc>
          <w:tcPr>
            <w:tcW w:w="2835" w:type="dxa"/>
            <w:vAlign w:val="center"/>
            <w:hideMark/>
          </w:tcPr>
          <w:p w:rsidR="005336D6" w:rsidRPr="00BC0897" w:rsidRDefault="005336D6"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Glomerular</w:t>
            </w:r>
          </w:p>
        </w:tc>
        <w:tc>
          <w:tcPr>
            <w:tcW w:w="2555" w:type="dxa"/>
            <w:vAlign w:val="center"/>
            <w:hideMark/>
          </w:tcPr>
          <w:p w:rsidR="005336D6" w:rsidRPr="00BC0897" w:rsidRDefault="005336D6" w:rsidP="00BA526F">
            <w:pPr>
              <w:spacing w:after="0"/>
              <w:jc w:val="center"/>
              <w:rPr>
                <w:rFonts w:ascii="Times New Roman" w:hAnsi="Times New Roman" w:cs="Times New Roman"/>
                <w:b/>
                <w:bCs/>
                <w:sz w:val="20"/>
                <w:szCs w:val="20"/>
                <w:lang w:val="en-US"/>
              </w:rPr>
            </w:pPr>
            <w:r w:rsidRPr="00BC0897">
              <w:rPr>
                <w:rFonts w:ascii="Times New Roman" w:hAnsi="Times New Roman" w:cs="Times New Roman"/>
                <w:b/>
                <w:bCs/>
                <w:sz w:val="20"/>
                <w:szCs w:val="20"/>
                <w:lang w:val="en-US"/>
              </w:rPr>
              <w:t>Interstitial</w:t>
            </w:r>
          </w:p>
        </w:tc>
        <w:tc>
          <w:tcPr>
            <w:tcW w:w="1985" w:type="dxa"/>
            <w:vMerge/>
            <w:vAlign w:val="center"/>
            <w:hideMark/>
          </w:tcPr>
          <w:p w:rsidR="005336D6" w:rsidRPr="00BC0897" w:rsidRDefault="005336D6" w:rsidP="00BA526F">
            <w:pPr>
              <w:spacing w:after="0"/>
              <w:jc w:val="center"/>
              <w:rPr>
                <w:rFonts w:ascii="Times New Roman" w:hAnsi="Times New Roman" w:cs="Times New Roman"/>
                <w:b/>
                <w:bCs/>
                <w:sz w:val="20"/>
                <w:szCs w:val="20"/>
                <w:lang w:val="en-US"/>
              </w:rPr>
            </w:pPr>
          </w:p>
        </w:tc>
        <w:tc>
          <w:tcPr>
            <w:tcW w:w="1559" w:type="dxa"/>
            <w:vMerge/>
            <w:vAlign w:val="center"/>
            <w:hideMark/>
          </w:tcPr>
          <w:p w:rsidR="005336D6" w:rsidRPr="00BC0897" w:rsidRDefault="005336D6" w:rsidP="00BA526F">
            <w:pPr>
              <w:spacing w:after="0"/>
              <w:jc w:val="center"/>
              <w:rPr>
                <w:rFonts w:ascii="Times New Roman" w:hAnsi="Times New Roman" w:cs="Times New Roman"/>
                <w:b/>
                <w:bCs/>
                <w:sz w:val="20"/>
                <w:szCs w:val="20"/>
                <w:lang w:val="en-US"/>
              </w:rPr>
            </w:pPr>
          </w:p>
        </w:tc>
        <w:tc>
          <w:tcPr>
            <w:tcW w:w="1701" w:type="dxa"/>
            <w:vMerge/>
            <w:vAlign w:val="center"/>
            <w:hideMark/>
          </w:tcPr>
          <w:p w:rsidR="005336D6" w:rsidRPr="00BC0897" w:rsidRDefault="005336D6" w:rsidP="00BA526F">
            <w:pPr>
              <w:spacing w:after="0"/>
              <w:jc w:val="center"/>
              <w:rPr>
                <w:rFonts w:ascii="Times New Roman" w:hAnsi="Times New Roman" w:cs="Times New Roman"/>
                <w:b/>
                <w:bCs/>
                <w:sz w:val="20"/>
                <w:szCs w:val="20"/>
                <w:lang w:val="en-US"/>
              </w:rPr>
            </w:pPr>
          </w:p>
        </w:tc>
      </w:tr>
      <w:tr w:rsidR="008F7E4A" w:rsidRPr="00BC0897" w:rsidTr="007B380E">
        <w:trPr>
          <w:trHeight w:val="423"/>
        </w:trPr>
        <w:tc>
          <w:tcPr>
            <w:tcW w:w="846" w:type="dxa"/>
            <w:shd w:val="clear" w:color="auto" w:fill="auto"/>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843"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p>
        </w:tc>
        <w:tc>
          <w:tcPr>
            <w:tcW w:w="1872"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p>
        </w:tc>
        <w:tc>
          <w:tcPr>
            <w:tcW w:w="283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Minor glomerular abnormalities</w:t>
            </w:r>
          </w:p>
        </w:tc>
        <w:tc>
          <w:tcPr>
            <w:tcW w:w="255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Focal area of peritubular calcification</w:t>
            </w:r>
          </w:p>
        </w:tc>
        <w:tc>
          <w:tcPr>
            <w:tcW w:w="198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Negative</w:t>
            </w:r>
          </w:p>
        </w:tc>
        <w:tc>
          <w:tcPr>
            <w:tcW w:w="1701"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{"citationID":"xXJOsmAL","properties":{"formattedCitation":"(Igarashi et al. 1995)","plainCitation":"(Igarashi et al. 1995)","noteIndex":0},"citationItems":[{"id":741,"uris":["http://zotero.org/users/local/jkkvYBSC/items/UQJJ3GHI"],"uri":["http://zotero.org/users/local/jkkvYBSC/items/UQJJ3GHI"],"itemData":{"id":741,"type":"article-journal","abstract":"Idiopathic low-molecular-weight (LMW) proteinuria is a newly described renal disease in Japan and Italy. We report on 7 patients who manifested bilateral or unilateral nephrocalcinosis, as demonstrated by abdominal computed tomography scans. Renal histology revealed calcinosis of renal tubules in 2 patients. Computed tomography is a reliable method for the detection of nephrocalcinosis in this disorder. Hypercalciuria was also seen in 6 patients. A calcium-loading test performed in 2 patients suggested that hypercalciuria was of renal origin. Although the true pathogenesis is still not known, hypercalciuria and nephrocalcinosis appear to be a common complication in patients with idiopathic LMW proteinuria. These complications and clinical features suggest that idiopathic LMW proteinuria in Japan is likely to be identical to Dent's disease in the United Kingdom.","container-title":"Nephron","DOI":"10.1159/000188464","ISSN":"1660-8151","issue":"3","journalAbbreviation":"Nephron","language":"eng","note":"PMID: 7753256","page":"242-247","source":"PubMed","title":"Hypercalciuria and nephrocalcinosis in patients with idiopathic low-molecular-weight proteinuria in Japan: is the disease identical to Dent's disease in United Kingdom?","title-short":"Hypercalciuria and nephrocalcinosis in patients with idiopathic low-molecular-weight proteinuria in Japan","volume":"69","author":[{"family":"Igarashi","given":"T."},{"family":"Hayakawa","given":"H."},{"family":"Shiraga","given":"H."},{"family":"Kawato","given":"H."},{"family":"Yan","given":"K."},{"family":"Kawaguchi","given":"H."},{"family":"Yamanaka","given":"T."},{"family":"Tsuchida","given":"S."},{"family":"Akagi","given":"K."}],"issued":{"date-parts":[["1995"]]}}}],"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szCs w:val="20"/>
              </w:rPr>
              <w:t>(Igarashi et al. 1995)</w:t>
            </w:r>
            <w:r w:rsidRPr="00BC0897">
              <w:rPr>
                <w:rFonts w:ascii="Times New Roman" w:hAnsi="Times New Roman" w:cs="Times New Roman"/>
                <w:sz w:val="20"/>
                <w:szCs w:val="20"/>
                <w:lang w:val="en-US"/>
              </w:rPr>
              <w:fldChar w:fldCharType="end"/>
            </w:r>
          </w:p>
        </w:tc>
      </w:tr>
      <w:tr w:rsidR="008F7E4A" w:rsidRPr="00BC0897" w:rsidTr="007B380E">
        <w:trPr>
          <w:trHeight w:val="415"/>
        </w:trPr>
        <w:tc>
          <w:tcPr>
            <w:tcW w:w="846" w:type="dxa"/>
            <w:shd w:val="clear" w:color="auto" w:fill="auto"/>
            <w:noWrap/>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w:t>
            </w:r>
          </w:p>
        </w:tc>
        <w:tc>
          <w:tcPr>
            <w:tcW w:w="1843"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p>
        </w:tc>
        <w:tc>
          <w:tcPr>
            <w:tcW w:w="1872"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p>
        </w:tc>
        <w:tc>
          <w:tcPr>
            <w:tcW w:w="283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Global glomerulosclerosis</w:t>
            </w:r>
          </w:p>
        </w:tc>
        <w:tc>
          <w:tcPr>
            <w:tcW w:w="255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Tubular atrophy, focal area of peritubular calcification</w:t>
            </w:r>
          </w:p>
        </w:tc>
        <w:tc>
          <w:tcPr>
            <w:tcW w:w="1985"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N/A</w:t>
            </w:r>
          </w:p>
        </w:tc>
        <w:tc>
          <w:tcPr>
            <w:tcW w:w="1559"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t>Negative</w:t>
            </w:r>
          </w:p>
        </w:tc>
        <w:tc>
          <w:tcPr>
            <w:tcW w:w="1701" w:type="dxa"/>
            <w:shd w:val="clear" w:color="auto" w:fill="auto"/>
            <w:vAlign w:val="center"/>
            <w:hideMark/>
          </w:tcPr>
          <w:p w:rsidR="008F7E4A" w:rsidRPr="00BC0897" w:rsidRDefault="008F7E4A" w:rsidP="008F7E4A">
            <w:pPr>
              <w:spacing w:after="0"/>
              <w:jc w:val="center"/>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begin"/>
            </w:r>
            <w:r w:rsidRPr="00BC0897">
              <w:rPr>
                <w:rFonts w:ascii="Times New Roman" w:hAnsi="Times New Roman" w:cs="Times New Roman"/>
                <w:sz w:val="20"/>
                <w:szCs w:val="20"/>
                <w:lang w:val="en-US"/>
              </w:rPr>
              <w:instrText xml:space="preserve"> ADDIN ZOTERO_ITEM CSL_CITATION {"citationID":"utJLJFdR","properties":{"formattedCitation":"(Igarashi et al. 1995)","plainCitation":"(Igarashi et al. 1995)","noteIndex":0},"citationItems":[{"id":741,"uris":["http://zotero.org/users/local/jkkvYBSC/items/UQJJ3GHI"],"uri":["http://zotero.org/users/local/jkkvYBSC/items/UQJJ3GHI"],"itemData":{"id":741,"type":"article-journal","abstract":"Idiopathic low-molecular-weight (LMW) proteinuria is a newly described renal disease in Japan and Italy. We report on 7 patients who manifested bilateral or unilateral nephrocalcinosis, as demonstrated by abdominal computed tomography scans. Renal histology revealed calcinosis of renal tubules in 2 patients. Computed tomography is a reliable method for the detection of nephrocalcinosis in this disorder. Hypercalciuria was also seen in 6 patients. A calcium-loading test performed in 2 patients suggested that hypercalciuria was of renal origin. Although the true pathogenesis is still not known, hypercalciuria and nephrocalcinosis appear to be a common complication in patients with idiopathic LMW proteinuria. These complications and clinical features suggest that idiopathic LMW proteinuria in Japan is likely to be identical to Dent's disease in the United Kingdom.","container-title":"Nephron","DOI":"10.1159/000188464","ISSN":"1660-8151","issue":"3","journalAbbreviation":"Nephron","language":"eng","note":"PMID: 7753256","page":"242-247","source":"PubMed","title":"Hypercalciuria and nephrocalcinosis in patients with idiopathic low-molecular-weight proteinuria in Japan: is the disease identical to Dent's disease in United Kingdom?","title-short":"Hypercalciuria and nephrocalcinosis in patients with idiopathic low-molecular-weight proteinuria in Japan","volume":"69","author":[{"family":"Igarashi","given":"T."},{"family":"Hayakawa","given":"H."},{"family":"Shiraga","given":"H."},{"family":"Kawato","given":"H."},{"family":"Yan","given":"K."},{"family":"Kawaguchi","given":"H."},{"family":"Yamanaka","given":"T."},{"family":"Tsuchida","given":"S."},{"family":"Akagi","given":"K."}],"issued":{"date-parts":[["1995"]]}}}],"schema":"https://github.com/citation-style-language/schema/raw/master/csl-citation.json"} </w:instrText>
            </w:r>
            <w:r w:rsidRPr="00BC0897">
              <w:rPr>
                <w:rFonts w:ascii="Times New Roman" w:hAnsi="Times New Roman" w:cs="Times New Roman"/>
                <w:sz w:val="20"/>
                <w:szCs w:val="20"/>
                <w:lang w:val="en-US"/>
              </w:rPr>
              <w:fldChar w:fldCharType="separate"/>
            </w:r>
            <w:r w:rsidRPr="00BC0897">
              <w:rPr>
                <w:rFonts w:ascii="Times New Roman" w:hAnsi="Times New Roman" w:cs="Times New Roman"/>
                <w:sz w:val="20"/>
                <w:szCs w:val="20"/>
              </w:rPr>
              <w:t>(Igarashi et al. 1995)</w:t>
            </w:r>
            <w:r w:rsidRPr="00BC0897">
              <w:rPr>
                <w:rFonts w:ascii="Times New Roman" w:hAnsi="Times New Roman" w:cs="Times New Roman"/>
                <w:sz w:val="20"/>
                <w:szCs w:val="20"/>
                <w:lang w:val="en-US"/>
              </w:rPr>
              <w:fldChar w:fldCharType="end"/>
            </w:r>
          </w:p>
        </w:tc>
      </w:tr>
    </w:tbl>
    <w:p w:rsidR="00646A25" w:rsidRPr="00BC0897" w:rsidRDefault="00646A25" w:rsidP="00C228AD">
      <w:pPr>
        <w:spacing w:after="0" w:line="240" w:lineRule="auto"/>
        <w:jc w:val="both"/>
        <w:rPr>
          <w:rFonts w:ascii="Times New Roman" w:hAnsi="Times New Roman" w:cs="Times New Roman"/>
          <w:sz w:val="20"/>
          <w:szCs w:val="20"/>
          <w:lang w:val="en-US"/>
        </w:rPr>
      </w:pPr>
      <w:r w:rsidRPr="00BC0897">
        <w:rPr>
          <w:rFonts w:ascii="Times New Roman" w:hAnsi="Times New Roman" w:cs="Times New Roman"/>
          <w:sz w:val="20"/>
          <w:szCs w:val="20"/>
          <w:lang w:val="en-US"/>
        </w:rPr>
        <w:t>TEM: transmission electron microscopy, IF: immunofluorescence, FSGS: focal segmental glomerulosclerosis, FGGS: focal global glomerulosclerosis, MCD: minimal change disease, GBM: glomerular basement membrane, N/A: not available data, §: related subjects</w:t>
      </w:r>
      <w:proofErr w:type="gramStart"/>
      <w:r w:rsidRPr="00BC0897">
        <w:rPr>
          <w:rFonts w:ascii="Times New Roman" w:hAnsi="Times New Roman" w:cs="Times New Roman"/>
          <w:sz w:val="20"/>
          <w:szCs w:val="20"/>
          <w:lang w:val="en-US"/>
        </w:rPr>
        <w:t>, ?</w:t>
      </w:r>
      <w:proofErr w:type="gramEnd"/>
      <w:r w:rsidRPr="00BC0897">
        <w:rPr>
          <w:rFonts w:ascii="Times New Roman" w:hAnsi="Times New Roman" w:cs="Times New Roman"/>
          <w:sz w:val="20"/>
          <w:szCs w:val="20"/>
          <w:lang w:val="en-US"/>
        </w:rPr>
        <w:t xml:space="preserve">: genetic analysis not performed, **: DD1 excluded but only </w:t>
      </w:r>
      <w:r w:rsidRPr="00BC0897">
        <w:rPr>
          <w:rFonts w:ascii="Times New Roman" w:hAnsi="Times New Roman" w:cs="Times New Roman"/>
          <w:i/>
          <w:sz w:val="20"/>
          <w:szCs w:val="20"/>
          <w:lang w:val="en-US"/>
        </w:rPr>
        <w:t>CLCN5</w:t>
      </w:r>
      <w:r w:rsidRPr="00BC0897">
        <w:rPr>
          <w:rFonts w:ascii="Times New Roman" w:hAnsi="Times New Roman" w:cs="Times New Roman"/>
          <w:sz w:val="20"/>
          <w:szCs w:val="20"/>
          <w:lang w:val="en-US"/>
        </w:rPr>
        <w:t xml:space="preserve"> gene analysis was performed. </w:t>
      </w:r>
    </w:p>
    <w:p w:rsidR="00646A25" w:rsidRPr="00BC0897" w:rsidRDefault="00646A25" w:rsidP="00E26333">
      <w:pPr>
        <w:spacing w:after="0" w:line="240" w:lineRule="auto"/>
        <w:ind w:firstLine="426"/>
        <w:jc w:val="both"/>
        <w:rPr>
          <w:rFonts w:ascii="Times New Roman" w:hAnsi="Times New Roman" w:cs="Times New Roman"/>
          <w:b/>
          <w:sz w:val="20"/>
          <w:szCs w:val="20"/>
          <w:lang w:val="en-US"/>
        </w:rPr>
      </w:pPr>
    </w:p>
    <w:p w:rsidR="00646A25" w:rsidRPr="00BC0897" w:rsidRDefault="00646A25">
      <w:pPr>
        <w:spacing w:after="200" w:line="276" w:lineRule="auto"/>
        <w:rPr>
          <w:rFonts w:ascii="Times New Roman" w:hAnsi="Times New Roman" w:cs="Times New Roman"/>
          <w:b/>
          <w:sz w:val="20"/>
          <w:szCs w:val="20"/>
          <w:lang w:val="en-US"/>
        </w:rPr>
      </w:pPr>
      <w:r w:rsidRPr="00BC0897">
        <w:rPr>
          <w:rFonts w:ascii="Times New Roman" w:hAnsi="Times New Roman" w:cs="Times New Roman"/>
          <w:b/>
          <w:sz w:val="20"/>
          <w:szCs w:val="20"/>
          <w:lang w:val="en-US"/>
        </w:rPr>
        <w:br w:type="page"/>
      </w:r>
    </w:p>
    <w:p w:rsidR="00901FAA" w:rsidRPr="00BC0897" w:rsidRDefault="00901FAA" w:rsidP="00243668">
      <w:pPr>
        <w:spacing w:after="0" w:line="240" w:lineRule="auto"/>
        <w:jc w:val="both"/>
        <w:rPr>
          <w:rFonts w:ascii="Times New Roman" w:hAnsi="Times New Roman" w:cs="Times New Roman"/>
          <w:b/>
          <w:sz w:val="20"/>
          <w:szCs w:val="20"/>
          <w:lang w:val="en-US"/>
        </w:rPr>
      </w:pPr>
      <w:r w:rsidRPr="00BC0897">
        <w:rPr>
          <w:rFonts w:ascii="Times New Roman" w:hAnsi="Times New Roman" w:cs="Times New Roman"/>
          <w:b/>
          <w:sz w:val="20"/>
          <w:szCs w:val="20"/>
          <w:lang w:val="en-US"/>
        </w:rPr>
        <w:lastRenderedPageBreak/>
        <w:t>References</w:t>
      </w:r>
    </w:p>
    <w:p w:rsidR="00901FAA" w:rsidRPr="00BC0897" w:rsidRDefault="00901FAA" w:rsidP="00243668">
      <w:pPr>
        <w:spacing w:after="0" w:line="240" w:lineRule="auto"/>
        <w:ind w:firstLine="426"/>
        <w:jc w:val="both"/>
        <w:rPr>
          <w:rFonts w:ascii="Times New Roman" w:hAnsi="Times New Roman" w:cs="Times New Roman"/>
          <w:sz w:val="20"/>
          <w:szCs w:val="20"/>
          <w:lang w:val="en-US"/>
        </w:rPr>
      </w:pPr>
    </w:p>
    <w:p w:rsidR="00040F98" w:rsidRPr="00BC0897" w:rsidRDefault="00527EAD" w:rsidP="00040F98">
      <w:pPr>
        <w:pStyle w:val="Bibliografia"/>
        <w:rPr>
          <w:lang w:val="en-US"/>
        </w:rPr>
      </w:pPr>
      <w:r w:rsidRPr="00BC0897">
        <w:rPr>
          <w:sz w:val="20"/>
          <w:szCs w:val="20"/>
          <w:lang w:val="en-US"/>
        </w:rPr>
        <w:fldChar w:fldCharType="begin"/>
      </w:r>
      <w:r w:rsidR="000F21AB" w:rsidRPr="00BC0897">
        <w:rPr>
          <w:sz w:val="20"/>
          <w:szCs w:val="20"/>
          <w:lang w:val="en-US"/>
        </w:rPr>
        <w:instrText xml:space="preserve"> ADDIN ZOTERO_BIBL {"uncited":[],"omitted":[],"custom":[]} CSL_BIBLIOGRAPHY </w:instrText>
      </w:r>
      <w:r w:rsidRPr="00BC0897">
        <w:rPr>
          <w:sz w:val="20"/>
          <w:szCs w:val="20"/>
          <w:lang w:val="en-US"/>
        </w:rPr>
        <w:fldChar w:fldCharType="separate"/>
      </w:r>
      <w:r w:rsidR="00040F98" w:rsidRPr="00BC0897">
        <w:rPr>
          <w:lang w:val="en-US"/>
        </w:rPr>
        <w:t>Akuta N, Lloyd SE, Igarashi T, et al (1997) Mutations of CLCN5 in Japanese children with idiopathic low molecular weight proteinuria, hypercalciuria and nephrocalcinosis. Kidney Int 52:911–916. https://doi.org/10.1038/ki.1997.412</w:t>
      </w:r>
    </w:p>
    <w:p w:rsidR="00040F98" w:rsidRPr="00BC0897" w:rsidRDefault="00040F98" w:rsidP="00040F98">
      <w:pPr>
        <w:pStyle w:val="Bibliografia"/>
        <w:rPr>
          <w:lang w:val="en-US"/>
        </w:rPr>
      </w:pPr>
      <w:r w:rsidRPr="00BC0897">
        <w:rPr>
          <w:lang w:val="en-US"/>
        </w:rPr>
        <w:t>Anglani F, Bernich P, Tosetto E, et al (2006) Family history may be misleading in the diagnosis of Dent’s disease. Urol Res 34:61–63. https://doi.org/10.1007/s00240-005-0005-5</w:t>
      </w:r>
    </w:p>
    <w:p w:rsidR="00040F98" w:rsidRPr="00BC0897" w:rsidRDefault="00040F98" w:rsidP="00040F98">
      <w:pPr>
        <w:pStyle w:val="Bibliografia"/>
        <w:rPr>
          <w:lang w:val="en-US"/>
        </w:rPr>
      </w:pPr>
      <w:r w:rsidRPr="00BC0897">
        <w:rPr>
          <w:lang w:val="en-US"/>
        </w:rPr>
        <w:t>Anglani F, D’Angelo A, Bertizzolo LM, et al (2015) Nephrolithiasis, kidney failure and bone disorders in Dent disease patients with and without CLCN5 mutations. Springerplus 4:492. https://doi.org/10.1186/s40064-015-1294-y</w:t>
      </w:r>
    </w:p>
    <w:p w:rsidR="00040F98" w:rsidRPr="00BC0897" w:rsidRDefault="00040F98" w:rsidP="00040F98">
      <w:pPr>
        <w:pStyle w:val="Bibliografia"/>
        <w:rPr>
          <w:lang w:val="en-US"/>
        </w:rPr>
      </w:pPr>
      <w:r w:rsidRPr="00BC0897">
        <w:rPr>
          <w:lang w:val="en-US"/>
        </w:rPr>
        <w:t>Bao Y, Suo L, Qian P, et al (2019) Clinical and genetic analysis of Dent disease with nephrotic range albuminuria in Shaanxi, China. Sci China Life Sci 62:1590–1593. https://doi.org/10.1007/s11427-018-9829-0</w:t>
      </w:r>
    </w:p>
    <w:p w:rsidR="00040F98" w:rsidRPr="00BC0897" w:rsidRDefault="00040F98" w:rsidP="00040F98">
      <w:pPr>
        <w:pStyle w:val="Bibliografia"/>
        <w:rPr>
          <w:lang w:val="en-US"/>
        </w:rPr>
      </w:pPr>
      <w:r w:rsidRPr="00BC0897">
        <w:rPr>
          <w:lang w:val="en-US"/>
        </w:rPr>
        <w:t>Becker-Cohen R, Rinat C, Ben-Shalom E, et al (2012) Vitamin A deficiency associated with urinary retinol binding protein wasting in Dent’s disease. Pediatr Nephrol 27:1097–1102. https://doi.org/10.1007/s00467-012-2121-0</w:t>
      </w:r>
    </w:p>
    <w:p w:rsidR="00040F98" w:rsidRPr="00BC0897" w:rsidRDefault="00040F98" w:rsidP="00040F98">
      <w:pPr>
        <w:pStyle w:val="Bibliografia"/>
        <w:rPr>
          <w:lang w:val="en-US"/>
        </w:rPr>
      </w:pPr>
      <w:r w:rsidRPr="00BC0897">
        <w:rPr>
          <w:lang w:val="en-US"/>
        </w:rPr>
        <w:t>Bignon Y, Alekov A, Frachon N, et al (2018) A novel CLCN5 pathogenic mutation supports Dent disease with normal endosomal acidification. Hum Mutat 39:1139–1149. https://doi.org/10.1002/humu.23556</w:t>
      </w:r>
    </w:p>
    <w:p w:rsidR="00040F98" w:rsidRPr="00BC0897" w:rsidRDefault="00040F98" w:rsidP="00040F98">
      <w:pPr>
        <w:pStyle w:val="Bibliografia"/>
        <w:rPr>
          <w:lang w:val="en-US"/>
        </w:rPr>
      </w:pPr>
      <w:r w:rsidRPr="00BC0897">
        <w:rPr>
          <w:lang w:val="en-US"/>
        </w:rPr>
        <w:t>Blanchard A, Curis E, Guyon-Roger T, et al (2016) Observations of a large Dent disease cohort. Kidney International 90:430–439. https://doi.org/10.1016/j.kint.2016.04.022</w:t>
      </w:r>
    </w:p>
    <w:p w:rsidR="00040F98" w:rsidRPr="00BC0897" w:rsidRDefault="00040F98" w:rsidP="00040F98">
      <w:pPr>
        <w:pStyle w:val="Bibliografia"/>
        <w:rPr>
          <w:lang w:val="en-US"/>
        </w:rPr>
      </w:pPr>
      <w:r w:rsidRPr="00BC0897">
        <w:rPr>
          <w:lang w:val="en-US"/>
        </w:rPr>
        <w:t>Bökenkamp A, Böckenhauer D, Cheong HI, et al (2009) Dent-2 Disease: A Mild Variant of Lowe Syndrome. The Journal of Pediatrics 155:94–99. https://doi.org/10.1016/j.jpeds.2009.01.049</w:t>
      </w:r>
    </w:p>
    <w:p w:rsidR="00040F98" w:rsidRPr="00BC0897" w:rsidRDefault="00040F98" w:rsidP="00040F98">
      <w:pPr>
        <w:pStyle w:val="Bibliografia"/>
        <w:rPr>
          <w:lang w:val="en-US"/>
        </w:rPr>
      </w:pPr>
      <w:r w:rsidRPr="00BC0897">
        <w:rPr>
          <w:lang w:val="en-US"/>
        </w:rPr>
        <w:t>Brakemeier S, Si H, Gollasch M, et al (2004) Dent’s disease: identification of a novel mutation in the renal chloride channel CLCN5. Clin Nephrol 62:387–390. https://doi.org/10.5414/cnp62387</w:t>
      </w:r>
    </w:p>
    <w:p w:rsidR="00040F98" w:rsidRPr="00BC0897" w:rsidRDefault="00040F98" w:rsidP="00040F98">
      <w:pPr>
        <w:pStyle w:val="Bibliografia"/>
        <w:rPr>
          <w:lang w:val="en-US"/>
        </w:rPr>
      </w:pPr>
      <w:r w:rsidRPr="00BC0897">
        <w:rPr>
          <w:lang w:val="en-US"/>
        </w:rPr>
        <w:t>Carballo-Trujillo I, Garcia-Nieto V, Moya-Angeler FJ, et al (2003) Novel truncating mutations in the ClC-5 chloride channel gene in patients with Dent’s disease. Nephrol Dial Transplant 18:717–723. https://doi.org/10.1093/ndt/gfg016</w:t>
      </w:r>
    </w:p>
    <w:p w:rsidR="00040F98" w:rsidRPr="00BC0897" w:rsidRDefault="00040F98" w:rsidP="00040F98">
      <w:pPr>
        <w:pStyle w:val="Bibliografia"/>
        <w:rPr>
          <w:lang w:val="en-US"/>
        </w:rPr>
      </w:pPr>
      <w:r w:rsidRPr="00BC0897">
        <w:rPr>
          <w:lang w:val="en-US"/>
        </w:rPr>
        <w:t>Carr G, Simmons N, Sayer J (2003) A role for CBS domain 2 in trafficking of chloride channel CLC-5. Biochem Biophys Res Commun 310:600–605. https://doi.org/10.1016/j.bbrc.2003.09.057</w:t>
      </w:r>
    </w:p>
    <w:p w:rsidR="00040F98" w:rsidRPr="00BC0897" w:rsidRDefault="00040F98" w:rsidP="00040F98">
      <w:pPr>
        <w:pStyle w:val="Bibliografia"/>
        <w:rPr>
          <w:lang w:val="en-US"/>
        </w:rPr>
      </w:pPr>
      <w:r w:rsidRPr="00BC0897">
        <w:rPr>
          <w:lang w:val="en-US"/>
        </w:rPr>
        <w:lastRenderedPageBreak/>
        <w:t>Chang M-H, Brown MR, Liu Y, et al (2020) Cl- and H+ coupling properties and subcellular localizations of wildtype and disease-associated variants of the voltage-gated Cl-/H+ exchanger ClC-5. J Biol Chem 295:1464–1473. https://doi.org/10.1074/jbc.RA119.011366</w:t>
      </w:r>
    </w:p>
    <w:p w:rsidR="00040F98" w:rsidRPr="00BC0897" w:rsidRDefault="00040F98" w:rsidP="00040F98">
      <w:pPr>
        <w:pStyle w:val="Bibliografia"/>
        <w:rPr>
          <w:lang w:val="en-US"/>
        </w:rPr>
      </w:pPr>
      <w:r w:rsidRPr="00BC0897">
        <w:rPr>
          <w:lang w:val="en-US"/>
        </w:rPr>
        <w:t>Cheong HI, Lee JW, Zheng SH, et al (2005) Phenotype and genotype of Dent’s disease in three Korean boys. Pediatr Nephrol 20:455–459. https://doi.org/10.1007/s00467-004-1769-5</w:t>
      </w:r>
    </w:p>
    <w:p w:rsidR="00040F98" w:rsidRPr="00BC0897" w:rsidRDefault="00040F98" w:rsidP="00040F98">
      <w:pPr>
        <w:pStyle w:val="Bibliografia"/>
        <w:rPr>
          <w:lang w:val="en-US"/>
        </w:rPr>
      </w:pPr>
      <w:r w:rsidRPr="00BC0897">
        <w:rPr>
          <w:lang w:val="en-US"/>
        </w:rPr>
        <w:t>Cho HY, Lee BH, Choi HJ, et al (2008) Renal manifestations of Dent disease and Lowe syndrome. Pediatr Nephrol 23:243–249. https://doi.org/10.1007/s00467-007-0686-9</w:t>
      </w:r>
    </w:p>
    <w:p w:rsidR="00040F98" w:rsidRPr="00BC0897" w:rsidRDefault="00040F98" w:rsidP="00040F98">
      <w:pPr>
        <w:pStyle w:val="Bibliografia"/>
        <w:rPr>
          <w:lang w:val="en-US"/>
        </w:rPr>
      </w:pPr>
      <w:r w:rsidRPr="00BC0897">
        <w:rPr>
          <w:lang w:val="en-US"/>
        </w:rPr>
        <w:t>Copelovitch L, Nash MA, Kaplan BS (2007) Hypothesis: Dent disease is an underrecognized cause of focal glomerulosclerosis. Clin J Am Soc Nephrol 2:914–918. https://doi.org/10.2215/CJN.00900207</w:t>
      </w:r>
    </w:p>
    <w:p w:rsidR="00040F98" w:rsidRPr="00BC0897" w:rsidRDefault="00040F98" w:rsidP="00040F98">
      <w:pPr>
        <w:pStyle w:val="Bibliografia"/>
        <w:rPr>
          <w:lang w:val="en-US"/>
        </w:rPr>
      </w:pPr>
      <w:r w:rsidRPr="00BC0897">
        <w:rPr>
          <w:lang w:val="en-US"/>
        </w:rPr>
        <w:t>Cox JP, Yamamoto K, Christie PT, et al (1999) Renal chloride channel, CLCN5, mutations in Dent’s disease. J Bone Miner Res 14:1536–1542. https://doi.org/10.1359/jbmr.1999.14.9.1536</w:t>
      </w:r>
    </w:p>
    <w:p w:rsidR="00040F98" w:rsidRPr="00BC0897" w:rsidRDefault="00040F98" w:rsidP="00040F98">
      <w:pPr>
        <w:pStyle w:val="Bibliografia"/>
        <w:rPr>
          <w:lang w:val="en-US"/>
        </w:rPr>
      </w:pPr>
      <w:r w:rsidRPr="00BC0897">
        <w:rPr>
          <w:lang w:val="en-US"/>
        </w:rPr>
        <w:t>Cramer MT, Charlton JR, Fogo AB, et al (2014) Expanding the phenotype of proteinuria in Dent disease. A case series. Pediatr Nephrol 29:2051–2054. https://doi.org/10.1007/s00467-014-2824-5</w:t>
      </w:r>
    </w:p>
    <w:p w:rsidR="00040F98" w:rsidRPr="00BC0897" w:rsidRDefault="00040F98" w:rsidP="00040F98">
      <w:pPr>
        <w:pStyle w:val="Bibliografia"/>
        <w:rPr>
          <w:lang w:val="en-US"/>
        </w:rPr>
      </w:pPr>
      <w:r w:rsidRPr="00BC0897">
        <w:rPr>
          <w:lang w:val="en-US"/>
        </w:rPr>
        <w:t>D’Antonio C, Molinski S, Ahmadi S, et al (2013) Conformational defects underlie proteasomal degradation of Dent’s disease-causing mutants of ClC-5. Biochem J 452:391–400. https://doi.org/10.1042/BJ20121848</w:t>
      </w:r>
    </w:p>
    <w:p w:rsidR="00040F98" w:rsidRPr="00BC0897" w:rsidRDefault="00040F98" w:rsidP="00040F98">
      <w:pPr>
        <w:pStyle w:val="Bibliografia"/>
        <w:rPr>
          <w:lang w:val="en-US"/>
        </w:rPr>
      </w:pPr>
      <w:r w:rsidRPr="00BC0897">
        <w:rPr>
          <w:lang w:val="en-US"/>
        </w:rPr>
        <w:t>De Mutiis C, Pasini A, La Scola C, et al (2015) Nephrotic-range Albuminuria as the presenting symptom of Dent-2 disease. Ital J Pediatr 41:46. https://doi.org/10.1186/s13052-015-0152-4</w:t>
      </w:r>
    </w:p>
    <w:p w:rsidR="00040F98" w:rsidRPr="00BC0897" w:rsidRDefault="00040F98" w:rsidP="00040F98">
      <w:pPr>
        <w:pStyle w:val="Bibliografia"/>
        <w:rPr>
          <w:lang w:val="en-US"/>
        </w:rPr>
      </w:pPr>
      <w:r w:rsidRPr="00BC0897">
        <w:rPr>
          <w:lang w:val="en-US"/>
        </w:rPr>
        <w:t>Deng H, Zhang Y, Xiao H, et al (2020) Phenotypic spectrum and antialbuminuric response to angiotensin converting enzyme inhibitor and angiotensin receptor blocker therapy in pediatric Dent disease. Mol Genet Genomic Med e1306. https://doi.org/10.1002/mgg3.1306</w:t>
      </w:r>
    </w:p>
    <w:p w:rsidR="00040F98" w:rsidRPr="00BC0897" w:rsidRDefault="00040F98" w:rsidP="00040F98">
      <w:pPr>
        <w:pStyle w:val="Bibliografia"/>
        <w:rPr>
          <w:lang w:val="en-US"/>
        </w:rPr>
      </w:pPr>
      <w:r w:rsidRPr="00BC0897">
        <w:rPr>
          <w:lang w:val="en-US"/>
        </w:rPr>
        <w:t>Fervenza FC (2013) A patient with nephrotic-range proteinuria and focal global glomerulosclerosis. Clin J Am Soc Nephrol 8:1979–1987. https://doi.org/10.2215/CJN.03400313</w:t>
      </w:r>
    </w:p>
    <w:p w:rsidR="00040F98" w:rsidRPr="00BC0897" w:rsidRDefault="00040F98" w:rsidP="00040F98">
      <w:pPr>
        <w:pStyle w:val="Bibliografia"/>
        <w:rPr>
          <w:lang w:val="en-US"/>
        </w:rPr>
      </w:pPr>
      <w:r w:rsidRPr="00BC0897">
        <w:rPr>
          <w:lang w:val="en-US"/>
        </w:rPr>
        <w:t>Friedrich T, Breiderhoff T, Jentsch TJ (1999) Mutational analysis demonstrates that ClC-4 and ClC-5 directly mediate plasma membrane currents. J Biol Chem 274:896–902. https://doi.org/10.1074/jbc.274.2.896</w:t>
      </w:r>
    </w:p>
    <w:p w:rsidR="00040F98" w:rsidRPr="00BC0897" w:rsidRDefault="00040F98" w:rsidP="00040F98">
      <w:pPr>
        <w:pStyle w:val="Bibliografia"/>
        <w:rPr>
          <w:lang w:val="en-US"/>
        </w:rPr>
      </w:pPr>
      <w:r w:rsidRPr="00BC0897">
        <w:rPr>
          <w:lang w:val="en-US"/>
        </w:rPr>
        <w:t>Frishberg Y, Dinour D, Belostotsky R, et al (2009) Dent’s disease manifesting as focal glomerulosclerosis: Is it the tip of the iceberg? Pediatr Nephrol 24:2369–2373. https://doi.org/10.1007/s00467-009-1299-2</w:t>
      </w:r>
    </w:p>
    <w:p w:rsidR="00040F98" w:rsidRPr="00BC0897" w:rsidRDefault="00040F98" w:rsidP="00040F98">
      <w:pPr>
        <w:pStyle w:val="Bibliografia"/>
        <w:rPr>
          <w:lang w:val="en-US"/>
        </w:rPr>
      </w:pPr>
      <w:r w:rsidRPr="00BC0897">
        <w:rPr>
          <w:lang w:val="en-US"/>
        </w:rPr>
        <w:lastRenderedPageBreak/>
        <w:t>Frymoyer PA, Scheinman SJ, Dunham PB, et al (1991) X-linked recessive nephrolithiasis with renal failure. N Engl J Med 325:681–686. https://doi.org/10.1056/NEJM199109053251003</w:t>
      </w:r>
    </w:p>
    <w:p w:rsidR="00040F98" w:rsidRPr="00BC0897" w:rsidRDefault="00040F98" w:rsidP="00040F98">
      <w:pPr>
        <w:pStyle w:val="Bibliografia"/>
        <w:rPr>
          <w:lang w:val="en-US"/>
        </w:rPr>
      </w:pPr>
      <w:r w:rsidRPr="00BC0897">
        <w:rPr>
          <w:lang w:val="en-US"/>
        </w:rPr>
        <w:t>Gorvin CM, Wilmer MJ, Piret SE, et al (2013) Receptor-mediated endocytosis and endosomal acidification is impaired in proximal tubule epithelial cells of Dent disease patients. Proc Natl Acad Sci USA 110:7014–7019. https://doi.org/10.1073/pnas.1302063110</w:t>
      </w:r>
    </w:p>
    <w:p w:rsidR="00040F98" w:rsidRPr="00BC0897" w:rsidRDefault="00040F98" w:rsidP="00040F98">
      <w:pPr>
        <w:pStyle w:val="Bibliografia"/>
        <w:rPr>
          <w:lang w:val="en-US"/>
        </w:rPr>
      </w:pPr>
      <w:r w:rsidRPr="00BC0897">
        <w:rPr>
          <w:lang w:val="en-US"/>
        </w:rPr>
        <w:t>Grand T, L’Hoste S, Mordasini D, et al (2011) Heterogeneity in the processing of CLCN5 mutants related to Dent disease. Hum Mutat 32:476–483. https://doi.org/10.1002/humu.21467</w:t>
      </w:r>
    </w:p>
    <w:p w:rsidR="00040F98" w:rsidRPr="00BC0897" w:rsidRDefault="00040F98" w:rsidP="00040F98">
      <w:pPr>
        <w:pStyle w:val="Bibliografia"/>
        <w:rPr>
          <w:lang w:val="en-US"/>
        </w:rPr>
      </w:pPr>
      <w:r w:rsidRPr="00BC0897">
        <w:rPr>
          <w:lang w:val="en-US"/>
        </w:rPr>
        <w:t>Grand T, Mordasini D, L’Hoste S, et al (2009) Novel CLCN5 mutations in patients with Dent’s disease result in altered ion currents or impaired exchanger processing. Kidney Int 76:999–1005. https://doi.org/10.1038/ki.2009.305</w:t>
      </w:r>
    </w:p>
    <w:p w:rsidR="00040F98" w:rsidRPr="00BC0897" w:rsidRDefault="00040F98" w:rsidP="00040F98">
      <w:pPr>
        <w:pStyle w:val="Bibliografia"/>
        <w:rPr>
          <w:lang w:val="en-US"/>
        </w:rPr>
      </w:pPr>
      <w:r w:rsidRPr="00BC0897">
        <w:rPr>
          <w:lang w:val="en-US"/>
        </w:rPr>
        <w:t>Hellemans R, Verpooten GA, Bosmans J-L (2010) A young man presenting with recurrent nephrolithiasis. NDT Plus 3:584–587. https://doi.org/10.1093/ndtplus/sfq161</w:t>
      </w:r>
    </w:p>
    <w:p w:rsidR="00040F98" w:rsidRPr="00BC0897" w:rsidRDefault="00040F98" w:rsidP="00040F98">
      <w:pPr>
        <w:pStyle w:val="Bibliografia"/>
        <w:rPr>
          <w:lang w:val="en-US"/>
        </w:rPr>
      </w:pPr>
      <w:r w:rsidRPr="00BC0897">
        <w:rPr>
          <w:lang w:val="en-US"/>
        </w:rPr>
        <w:t>Hichri H, Rendu J, Monnier N, et al (2011) From Lowe syndrome to Dent disease: correlations between mutations of the OCRL1 gene and clinical and biochemical phenotypes. Hum Mutat 32:379–388. https://doi.org/10.1002/humu.21391</w:t>
      </w:r>
    </w:p>
    <w:p w:rsidR="00040F98" w:rsidRPr="00BC0897" w:rsidRDefault="00040F98" w:rsidP="00040F98">
      <w:pPr>
        <w:pStyle w:val="Bibliografia"/>
        <w:rPr>
          <w:lang w:val="en-US"/>
        </w:rPr>
      </w:pPr>
      <w:r w:rsidRPr="00BC0897">
        <w:rPr>
          <w:lang w:val="en-US"/>
        </w:rPr>
        <w:t>Hoopes RR, Hueber PA, Reid RJ, et al (1998) CLCN5 chloride-channel mutations in six new North American families with X-linked nephrolithiasis. Kidney Int 54:698–705. https://doi.org/10.1046/j.1523-1755.1998.00061.x</w:t>
      </w:r>
    </w:p>
    <w:p w:rsidR="00040F98" w:rsidRPr="00BC0897" w:rsidRDefault="00040F98" w:rsidP="00040F98">
      <w:pPr>
        <w:pStyle w:val="Bibliografia"/>
        <w:rPr>
          <w:lang w:val="en-US"/>
        </w:rPr>
      </w:pPr>
      <w:r w:rsidRPr="00BC0897">
        <w:rPr>
          <w:lang w:val="en-US"/>
        </w:rPr>
        <w:t>Hoopes RR, Raja KM, Koich A, et al (2004) Evidence for genetic heterogeneity in Dent’s disease. Kidney Int 65:1615–1620. https://doi.org/10.1111/j.1523-1755.2004.00571.x</w:t>
      </w:r>
    </w:p>
    <w:p w:rsidR="00040F98" w:rsidRPr="00BC0897" w:rsidRDefault="00040F98" w:rsidP="00040F98">
      <w:pPr>
        <w:pStyle w:val="Bibliografia"/>
        <w:rPr>
          <w:lang w:val="en-US"/>
        </w:rPr>
      </w:pPr>
      <w:r w:rsidRPr="00BC0897">
        <w:rPr>
          <w:lang w:val="en-US"/>
        </w:rPr>
        <w:t>Hoopes RR, Shrimpton AE, Knohl SJ, et al (2005) Dent Disease with mutations in OCRL1. Am J Hum Genet 76:260–267. https://doi.org/10.1086/427887</w:t>
      </w:r>
    </w:p>
    <w:p w:rsidR="00040F98" w:rsidRPr="00BC0897" w:rsidRDefault="00040F98" w:rsidP="00040F98">
      <w:pPr>
        <w:pStyle w:val="Bibliografia"/>
        <w:rPr>
          <w:lang w:val="en-US"/>
        </w:rPr>
      </w:pPr>
      <w:r w:rsidRPr="00BC0897">
        <w:rPr>
          <w:lang w:val="en-US"/>
        </w:rPr>
        <w:t>Igarashi T, Günther W, Sekine T, et al (1998) Functional characterization of renal chloride channel, CLCN5, mutations associated with Dent’sJapan disease. Kidney Int 54:1850–1856. https://doi.org/10.1046/j.1523-1755.1998.00203.x</w:t>
      </w:r>
    </w:p>
    <w:p w:rsidR="00040F98" w:rsidRPr="00BC0897" w:rsidRDefault="00040F98" w:rsidP="00040F98">
      <w:pPr>
        <w:pStyle w:val="Bibliografia"/>
        <w:rPr>
          <w:lang w:val="en-US"/>
        </w:rPr>
      </w:pPr>
      <w:r w:rsidRPr="00BC0897">
        <w:rPr>
          <w:lang w:val="en-US"/>
        </w:rPr>
        <w:t>Igarashi T, Hayakawa H, Shiraga H, et al (1995) Hypercalciuria and nephrocalcinosis in patients with idiopathic low-molecular-weight proteinuria in Japan: is the disease identical to Dent’s disease in United Kingdom? Nephron 69:242–247. https://doi.org/10.1159/000188464</w:t>
      </w:r>
    </w:p>
    <w:p w:rsidR="00040F98" w:rsidRPr="00BC0897" w:rsidRDefault="00040F98" w:rsidP="00040F98">
      <w:pPr>
        <w:pStyle w:val="Bibliografia"/>
        <w:rPr>
          <w:lang w:val="en-US"/>
        </w:rPr>
      </w:pPr>
      <w:r w:rsidRPr="00BC0897">
        <w:rPr>
          <w:lang w:val="en-US"/>
        </w:rPr>
        <w:t>Igarashi T, Inatomi J, Ohara T, et al (2000) Clinical and genetic studies of CLCN5 mutations in Japanese families with Dent’s disease. Kidney Int 58:520–527. https://doi.org/10.1046/j.1523-1755.2000.00198.x</w:t>
      </w:r>
    </w:p>
    <w:p w:rsidR="00040F98" w:rsidRPr="00BC0897" w:rsidRDefault="00040F98" w:rsidP="00040F98">
      <w:pPr>
        <w:pStyle w:val="Bibliografia"/>
        <w:rPr>
          <w:lang w:val="en-US"/>
        </w:rPr>
      </w:pPr>
      <w:r w:rsidRPr="00BC0897">
        <w:rPr>
          <w:lang w:val="en-US"/>
        </w:rPr>
        <w:lastRenderedPageBreak/>
        <w:t>Kaneko K, Hasui M, Hata A, et al (2010) Focal segmental glomerulosclerosis in a boy with Dent-2 disease. Pediatr Nephrol 25:781–782. https://doi.org/10.1007/s00467-009-1362-z</w:t>
      </w:r>
    </w:p>
    <w:p w:rsidR="00040F98" w:rsidRPr="00BC0897" w:rsidRDefault="00040F98" w:rsidP="00040F98">
      <w:pPr>
        <w:pStyle w:val="Bibliografia"/>
        <w:rPr>
          <w:lang w:val="en-US"/>
        </w:rPr>
      </w:pPr>
      <w:r w:rsidRPr="00BC0897">
        <w:rPr>
          <w:lang w:val="en-US"/>
        </w:rPr>
        <w:t>Kelleher CL, Buckalew VM, Frederickson ED, et al (1998) CLCN5 mutation Ser244Leu is associated with X-linked renal failure without X-linked recessive hypophosphatemic rickets. Kidney Int 53:31–37. https://doi.org/10.1046/j.1523-1755.1998.00752.x</w:t>
      </w:r>
    </w:p>
    <w:p w:rsidR="00040F98" w:rsidRPr="00BC0897" w:rsidRDefault="00040F98" w:rsidP="00040F98">
      <w:pPr>
        <w:pStyle w:val="Bibliografia"/>
        <w:rPr>
          <w:lang w:val="en-US"/>
        </w:rPr>
      </w:pPr>
      <w:r w:rsidRPr="00BC0897">
        <w:rPr>
          <w:lang w:val="en-US"/>
        </w:rPr>
        <w:t>Kubo K, Aizawa T, Watanabe S, et al (2016) Does Dent disease remain an underrecognized cause for young boys with focal glomerulosclerosis? Pediatr Int 58:747–749. https://doi.org/10.1111/ped.12944</w:t>
      </w:r>
    </w:p>
    <w:p w:rsidR="00040F98" w:rsidRPr="00BC0897" w:rsidRDefault="00040F98" w:rsidP="00040F98">
      <w:pPr>
        <w:pStyle w:val="Bibliografia"/>
        <w:rPr>
          <w:lang w:val="en-US"/>
        </w:rPr>
      </w:pPr>
      <w:r w:rsidRPr="00BC0897">
        <w:rPr>
          <w:lang w:val="en-US"/>
        </w:rPr>
        <w:t>Langlois V, Bernard C, Scheinman SJ, et al (1998) Clinical features of X-linked nephrolithiasis in childhood. Pediatr Nephrol 12:625–629. https://doi.org/10.1007/s004670050516</w:t>
      </w:r>
    </w:p>
    <w:p w:rsidR="00040F98" w:rsidRPr="00BC0897" w:rsidRDefault="00040F98" w:rsidP="00040F98">
      <w:pPr>
        <w:pStyle w:val="Bibliografia"/>
        <w:rPr>
          <w:lang w:val="en-US"/>
        </w:rPr>
      </w:pPr>
      <w:r w:rsidRPr="00BC0897">
        <w:rPr>
          <w:lang w:val="en-US"/>
        </w:rPr>
        <w:t>Li F, Yue Z, Xu T, et al (2016) Dent Disease in Chinese Children and Findings from Heterozygous Mothers: Phenotypic Heterogeneity, Fetal Growth, and 10 Novel Mutations. J Pediatr 174:204-210.e1. https://doi.org/10.1016/j.jpeds.2016.04.007</w:t>
      </w:r>
    </w:p>
    <w:p w:rsidR="00040F98" w:rsidRPr="00BC0897" w:rsidRDefault="00040F98" w:rsidP="00040F98">
      <w:pPr>
        <w:pStyle w:val="Bibliografia"/>
        <w:rPr>
          <w:lang w:val="en-US"/>
        </w:rPr>
      </w:pPr>
      <w:r w:rsidRPr="00BC0897">
        <w:rPr>
          <w:lang w:val="en-US"/>
        </w:rPr>
        <w:t>Li P, Huang J-P (2009) Phenotype and genotype of Dent’s disease in three Chinese boys. Nephrology (Carlton) 14:139–142. https://doi.org/10.1111/j.1440-1797.2008.01057.x</w:t>
      </w:r>
    </w:p>
    <w:p w:rsidR="00040F98" w:rsidRPr="00BC0897" w:rsidRDefault="00040F98" w:rsidP="00040F98">
      <w:pPr>
        <w:pStyle w:val="Bibliografia"/>
        <w:rPr>
          <w:lang w:val="en-US"/>
        </w:rPr>
      </w:pPr>
      <w:r w:rsidRPr="00BC0897">
        <w:rPr>
          <w:lang w:val="en-US"/>
        </w:rPr>
        <w:t>Lloyd SE, Gunther W, Pearce SH, et al (1997a) Characterisation of renal chloride channel, CLCN5, mutations in hypercalciuric nephrolithiasis (kidney stones) disorders. Hum Mol Genet 6:1233–1239. https://doi.org/10.1093/hmg/6.8.1233</w:t>
      </w:r>
    </w:p>
    <w:p w:rsidR="00040F98" w:rsidRPr="00BC0897" w:rsidRDefault="00040F98" w:rsidP="00040F98">
      <w:pPr>
        <w:pStyle w:val="Bibliografia"/>
        <w:rPr>
          <w:lang w:val="en-US"/>
        </w:rPr>
      </w:pPr>
      <w:r w:rsidRPr="00BC0897">
        <w:rPr>
          <w:lang w:val="en-US"/>
        </w:rPr>
        <w:t>Lloyd SE, Pearce SH, Günther W, et al (1997b) Idiopathic low molecular weight proteinuria associated with hypercalciuric nephrocalcinosis in Japanese children is due to mutations of the renal chloride channel (CLCN5). J Clin Invest 99:967–974. https://doi.org/10.1172/JCI119262</w:t>
      </w:r>
    </w:p>
    <w:p w:rsidR="00040F98" w:rsidRPr="00BC0897" w:rsidRDefault="00040F98" w:rsidP="00040F98">
      <w:pPr>
        <w:pStyle w:val="Bibliografia"/>
        <w:rPr>
          <w:lang w:val="en-US"/>
        </w:rPr>
      </w:pPr>
      <w:r w:rsidRPr="00BC0897">
        <w:rPr>
          <w:lang w:val="en-US"/>
        </w:rPr>
        <w:t>Lloyd SE, Pearce SHS, Fisher SE, et al (1996) A common molecular basis for three inherited kidney stone diseases. Nature 379:445–449. https://doi.org/10.1038/379445a0</w:t>
      </w:r>
    </w:p>
    <w:p w:rsidR="00040F98" w:rsidRPr="00BC0897" w:rsidRDefault="00040F98" w:rsidP="00040F98">
      <w:pPr>
        <w:pStyle w:val="Bibliografia"/>
        <w:rPr>
          <w:lang w:val="en-US"/>
        </w:rPr>
      </w:pPr>
      <w:r w:rsidRPr="00BC0897">
        <w:rPr>
          <w:lang w:val="en-US"/>
        </w:rPr>
        <w:t>Ludwig M, Doroszewicz J, Seyberth HW, et al (2005) Functional evaluation of Dent’s disease-causing mutations: implications for ClC-5 channel trafficking and internalization. Hum Genet 117:228–237. https://doi.org/10.1007/s00439-005-1303-2</w:t>
      </w:r>
    </w:p>
    <w:p w:rsidR="00040F98" w:rsidRPr="00BC0897" w:rsidRDefault="00040F98" w:rsidP="00040F98">
      <w:pPr>
        <w:pStyle w:val="Bibliografia"/>
        <w:rPr>
          <w:lang w:val="en-US"/>
        </w:rPr>
      </w:pPr>
      <w:r w:rsidRPr="00BC0897">
        <w:rPr>
          <w:lang w:val="en-US"/>
        </w:rPr>
        <w:t>Mansour-Hendili L, Blanchard A, Le Pottier N, et al (2015) Mutation Update of the CLCN5 Gene Responsible for Dent Disease 1. Hum Mutat 36:743–752. https://doi.org/10.1002/humu.22804</w:t>
      </w:r>
    </w:p>
    <w:p w:rsidR="00040F98" w:rsidRPr="00BC0897" w:rsidRDefault="00040F98" w:rsidP="00040F98">
      <w:pPr>
        <w:pStyle w:val="Bibliografia"/>
        <w:rPr>
          <w:lang w:val="en-US"/>
        </w:rPr>
      </w:pPr>
      <w:r w:rsidRPr="00BC0897">
        <w:rPr>
          <w:lang w:val="en-US"/>
        </w:rPr>
        <w:t>Matsumoto A, Matsui I, Mori T, et al (2018) Severe Osteomalacia with Dent Disease Caused by a Novel Intronic Mutation of the CLCN5 gene. Intern Med 57:3603–3610. https://doi.org/10.2169/internalmedicine.1272-18</w:t>
      </w:r>
    </w:p>
    <w:p w:rsidR="00040F98" w:rsidRPr="00BC0897" w:rsidRDefault="00040F98" w:rsidP="00040F98">
      <w:pPr>
        <w:pStyle w:val="Bibliografia"/>
        <w:rPr>
          <w:lang w:val="en-US"/>
        </w:rPr>
      </w:pPr>
      <w:r w:rsidRPr="00BC0897">
        <w:rPr>
          <w:lang w:val="en-US"/>
        </w:rPr>
        <w:lastRenderedPageBreak/>
        <w:t>Matsuyama T, Awazu M, Oikawa T, et al (2004) Molecular and clinical studies of Dent’s disease in Japan: biochemical examination and renal ultrasonography do not predict carrier state. Clin Nephrol 61:231–237. https://doi.org/10.5414/cnp61231</w:t>
      </w:r>
    </w:p>
    <w:p w:rsidR="00040F98" w:rsidRPr="00BC0897" w:rsidRDefault="00040F98" w:rsidP="00040F98">
      <w:pPr>
        <w:pStyle w:val="Bibliografia"/>
        <w:rPr>
          <w:lang w:val="en-US"/>
        </w:rPr>
      </w:pPr>
      <w:r w:rsidRPr="00BC0897">
        <w:rPr>
          <w:lang w:val="en-US"/>
        </w:rPr>
        <w:t>Mo L, Xiong W, Qian T, et al (2004) Coexpression of complementary fragments of ClC-5 and restoration of chloride channel function in a Dent’s disease mutation. Am J Physiol, Cell Physiol 286:C79-89. https://doi.org/10.1152/ajpcell.00009.2003</w:t>
      </w:r>
    </w:p>
    <w:p w:rsidR="00040F98" w:rsidRPr="00BC0897" w:rsidRDefault="00040F98" w:rsidP="00040F98">
      <w:pPr>
        <w:pStyle w:val="Bibliografia"/>
        <w:rPr>
          <w:lang w:val="en-US"/>
        </w:rPr>
      </w:pPr>
      <w:r w:rsidRPr="00BC0897">
        <w:rPr>
          <w:lang w:val="en-US"/>
        </w:rPr>
        <w:t>Morimoto T, Uchida S, Sakamoto H, et al (1998) Mutations in CLCN5 chloride channel in Japanese patients with low molecular weight proteinuria. J Am Soc Nephrol 9:811–818</w:t>
      </w:r>
    </w:p>
    <w:p w:rsidR="00040F98" w:rsidRPr="00BC0897" w:rsidRDefault="00040F98" w:rsidP="00040F98">
      <w:pPr>
        <w:pStyle w:val="Bibliografia"/>
        <w:rPr>
          <w:lang w:val="en-US"/>
        </w:rPr>
      </w:pPr>
      <w:r w:rsidRPr="00BC0897">
        <w:rPr>
          <w:lang w:val="en-US"/>
        </w:rPr>
        <w:t>Nakazato H, Hattori S, Furuse A, et al (1997) Mutations in the CLCN5 gene in Japanese patients with familial idiopathic low-molecular-weight proteinuria. Kidney Int 52:895–900. https://doi.org/10.1038/ki.1997.410</w:t>
      </w:r>
    </w:p>
    <w:p w:rsidR="00040F98" w:rsidRPr="00BC0897" w:rsidRDefault="00040F98" w:rsidP="00040F98">
      <w:pPr>
        <w:pStyle w:val="Bibliografia"/>
        <w:rPr>
          <w:lang w:val="en-US"/>
        </w:rPr>
      </w:pPr>
      <w:r w:rsidRPr="00BC0897">
        <w:rPr>
          <w:lang w:val="en-US"/>
        </w:rPr>
        <w:t>Nakazato H, Yoshimuta J, Karashima S, et al (1999) Chloride channel CLCN5 mutations in Japanese children with familial idiopathic low molecular weight proteinuria. Kidney Int 55:63–70. https://doi.org/10.1046/j.1523-1755.1999.00231.x</w:t>
      </w:r>
    </w:p>
    <w:p w:rsidR="00040F98" w:rsidRPr="00BC0897" w:rsidRDefault="00040F98" w:rsidP="00040F98">
      <w:pPr>
        <w:pStyle w:val="Bibliografia"/>
        <w:rPr>
          <w:lang w:val="en-US"/>
        </w:rPr>
      </w:pPr>
      <w:r w:rsidRPr="00BC0897">
        <w:rPr>
          <w:lang w:val="en-US"/>
        </w:rPr>
        <w:t>Okamoto T, Tajima T, Hirayama T, Sasaki S (2012) A patient with Dent disease and features of Bartter syndrome caused by a novel mutation of CLCN5. Eur J Pediatr 171:401–404. https://doi.org/10.1007/s00431-011-1578-3</w:t>
      </w:r>
    </w:p>
    <w:p w:rsidR="00040F98" w:rsidRPr="00BC0897" w:rsidRDefault="00040F98" w:rsidP="00040F98">
      <w:pPr>
        <w:pStyle w:val="Bibliografia"/>
        <w:rPr>
          <w:lang w:val="en-US"/>
        </w:rPr>
      </w:pPr>
      <w:r w:rsidRPr="00BC0897">
        <w:rPr>
          <w:lang w:val="en-US"/>
        </w:rPr>
        <w:t>Picollo A, Pusch M (2005) Chloride/proton antiporter activity of mammalian CLC proteins ClC-4 and ClC-5. Nature 436:420–423. https://doi.org/10.1038/nature03720</w:t>
      </w:r>
    </w:p>
    <w:p w:rsidR="00040F98" w:rsidRPr="00BC0897" w:rsidRDefault="00040F98" w:rsidP="00040F98">
      <w:pPr>
        <w:pStyle w:val="Bibliografia"/>
        <w:rPr>
          <w:lang w:val="en-US"/>
        </w:rPr>
      </w:pPr>
      <w:r w:rsidRPr="00BC0897">
        <w:rPr>
          <w:lang w:val="en-US"/>
        </w:rPr>
        <w:t>Preston R, Naylor RW, Stewart G, et al (2020) A role for OCRL in glomerular function and disease. Pediatr Nephrol 35:641–648. https://doi.org/10.1007/s00467-019-04317-4</w:t>
      </w:r>
    </w:p>
    <w:p w:rsidR="00040F98" w:rsidRPr="00BC0897" w:rsidRDefault="00040F98" w:rsidP="00040F98">
      <w:pPr>
        <w:pStyle w:val="Bibliografia"/>
        <w:rPr>
          <w:lang w:val="en-US"/>
        </w:rPr>
      </w:pPr>
      <w:r w:rsidRPr="00BC0897">
        <w:rPr>
          <w:lang w:val="en-US"/>
        </w:rPr>
        <w:t>Ramos-Trujillo E, Garcia-Nieto V, Gonzalez-Acosta H, et al (2007a) Molecular analysis of the CLCN5 gene in Dent’s disease: first mutation identified in a patient from South America. Clin Nephrol 68:367–372. https://doi.org/10.5414/cnp68367</w:t>
      </w:r>
    </w:p>
    <w:p w:rsidR="00040F98" w:rsidRPr="00BC0897" w:rsidRDefault="00040F98" w:rsidP="00040F98">
      <w:pPr>
        <w:pStyle w:val="Bibliografia"/>
        <w:rPr>
          <w:lang w:val="en-US"/>
        </w:rPr>
      </w:pPr>
      <w:r w:rsidRPr="00BC0897">
        <w:rPr>
          <w:lang w:val="en-US"/>
        </w:rPr>
        <w:t>Ramos-Trujillo E, González-Acosta H, Flores C, et al (2007b) A missense mutation in the chloride/proton ClC-5 antiporter gene results in increased expression of an alternative mRNA form that lacks exons 10 and 11. Identification of seven new CLCN5 mutations in patients with Dent’s disease. J Hum Genet 52:255–261. https://doi.org/10.1007/s10038-007-0112-y</w:t>
      </w:r>
    </w:p>
    <w:p w:rsidR="00040F98" w:rsidRPr="00BC0897" w:rsidRDefault="00040F98" w:rsidP="00040F98">
      <w:pPr>
        <w:pStyle w:val="Bibliografia"/>
        <w:rPr>
          <w:lang w:val="en-US"/>
        </w:rPr>
      </w:pPr>
      <w:r w:rsidRPr="00BC0897">
        <w:rPr>
          <w:lang w:val="en-US"/>
        </w:rPr>
        <w:t>Saida K, Kamijo Y, Matsuoka D, et al (2014) A case of adult Dent disease in Japan with advanced chronic kidney disease. CEN Case Rep 3:132–138. https://doi.org/10.1007/s13730-013-0102-1</w:t>
      </w:r>
    </w:p>
    <w:p w:rsidR="00040F98" w:rsidRPr="00BC0897" w:rsidRDefault="00040F98" w:rsidP="00040F98">
      <w:pPr>
        <w:pStyle w:val="Bibliografia"/>
        <w:rPr>
          <w:lang w:val="en-US"/>
        </w:rPr>
      </w:pPr>
      <w:r w:rsidRPr="00BC0897">
        <w:rPr>
          <w:lang w:val="en-US"/>
        </w:rPr>
        <w:t>Sakakibara N, Nagano C, Ishiko S, et al (2020) Comparison of clinical and genetic characteristics between Dent disease 1 and Dent disease 2. Pediatr Nephrol. https://doi.org/10.1007/s00467-020-04701-5</w:t>
      </w:r>
    </w:p>
    <w:p w:rsidR="00040F98" w:rsidRPr="00BC0897" w:rsidRDefault="00040F98" w:rsidP="00040F98">
      <w:pPr>
        <w:pStyle w:val="Bibliografia"/>
        <w:rPr>
          <w:lang w:val="en-US"/>
        </w:rPr>
      </w:pPr>
      <w:r w:rsidRPr="00BC0897">
        <w:rPr>
          <w:lang w:val="en-US"/>
        </w:rPr>
        <w:lastRenderedPageBreak/>
        <w:t>Satoh N, Yamada H, Yamazaki O, et al (2016) A pure chloride channel mutant of CLC-5 causes Dent’s disease via insufficient V-ATPase activation. Pflugers Arch 468:1183–1196. https://doi.org/10.1007/s00424-016-1808-7</w:t>
      </w:r>
    </w:p>
    <w:p w:rsidR="00040F98" w:rsidRPr="00BC0897" w:rsidRDefault="00040F98" w:rsidP="00040F98">
      <w:pPr>
        <w:pStyle w:val="Bibliografia"/>
        <w:rPr>
          <w:lang w:val="en-US"/>
        </w:rPr>
      </w:pPr>
      <w:r w:rsidRPr="00BC0897">
        <w:rPr>
          <w:lang w:val="en-US"/>
        </w:rPr>
        <w:t>Schmieder S, Bogliolo S, Ehrenfeld J (2007) N-glycosylation of the Xenopus laevis ClC-5 protein plays a role in cell surface expression, affecting transport activity at the plasma membrane. J Cell Physiol 210:479–488. https://doi.org/10.1002/jcp.20882</w:t>
      </w:r>
    </w:p>
    <w:p w:rsidR="00040F98" w:rsidRPr="00BC0897" w:rsidRDefault="00040F98" w:rsidP="00040F98">
      <w:pPr>
        <w:pStyle w:val="Bibliografia"/>
        <w:rPr>
          <w:lang w:val="en-US"/>
        </w:rPr>
      </w:pPr>
      <w:r w:rsidRPr="00BC0897">
        <w:rPr>
          <w:lang w:val="en-US"/>
        </w:rPr>
        <w:t>Sekine T, Komoda F, Miura K, et al (2014) Japanese Dent disease has a wider clinical spectrum than Dent disease in Europe/USA: genetic and clinical studies of 86 unrelated patients with low-molecular-weight proteinuria. Nephrol Dial Transplant 29:376–384. https://doi.org/10.1093/ndt/gft394</w:t>
      </w:r>
    </w:p>
    <w:p w:rsidR="00040F98" w:rsidRPr="00BC0897" w:rsidRDefault="00040F98" w:rsidP="00040F98">
      <w:pPr>
        <w:pStyle w:val="Bibliografia"/>
        <w:rPr>
          <w:lang w:val="en-US"/>
        </w:rPr>
      </w:pPr>
      <w:r w:rsidRPr="00BC0897">
        <w:rPr>
          <w:lang w:val="en-US"/>
        </w:rPr>
        <w:t>Sekine T, Nozu K, Iyengar R, et al (2007) OCRL1 mutations in patients with Dent disease phenotype in Japan. Pediatr Nephrol 22:975–980. https://doi.org/10.1007/s00467-007-0454-x</w:t>
      </w:r>
    </w:p>
    <w:p w:rsidR="00040F98" w:rsidRPr="00BC0897" w:rsidRDefault="00040F98" w:rsidP="00040F98">
      <w:pPr>
        <w:pStyle w:val="Bibliografia"/>
        <w:rPr>
          <w:lang w:val="en-US"/>
        </w:rPr>
      </w:pPr>
      <w:r w:rsidRPr="00BC0897">
        <w:rPr>
          <w:lang w:val="en-US"/>
        </w:rPr>
        <w:t>Sethi SK, Ludwig M, Kabra M, et al (2009) Vitamin A responsive night blindness in Dent’s disease. Pediatr Nephrol 24:1765–1770. https://doi.org/10.1007/s00467-009-1198-6</w:t>
      </w:r>
    </w:p>
    <w:p w:rsidR="00040F98" w:rsidRPr="00BC0897" w:rsidRDefault="00040F98" w:rsidP="00040F98">
      <w:pPr>
        <w:pStyle w:val="Bibliografia"/>
        <w:rPr>
          <w:lang w:val="en-US"/>
        </w:rPr>
      </w:pPr>
      <w:r w:rsidRPr="00BC0897">
        <w:rPr>
          <w:lang w:val="en-US"/>
        </w:rPr>
        <w:t>Sheffer-Babila S, Chandra M, Speiser PW (2008) Growth hormone improves growth rate and preserves renal function in Dent disease. J Pediatr Endocrinol Metab 21:279–286. https://doi.org/10.1515/jpem.2008.21.3.279</w:t>
      </w:r>
    </w:p>
    <w:p w:rsidR="00040F98" w:rsidRPr="00BC0897" w:rsidRDefault="00040F98" w:rsidP="00040F98">
      <w:pPr>
        <w:pStyle w:val="Bibliografia"/>
        <w:rPr>
          <w:lang w:val="en-US"/>
        </w:rPr>
      </w:pPr>
      <w:r w:rsidRPr="00BC0897">
        <w:rPr>
          <w:lang w:val="en-US"/>
        </w:rPr>
        <w:t>Shrimpton AE, Hoopes RR, Knohl SJ, et al (2009) OCRL1 mutations in Dent 2 patients suggest a mechanism for phenotypic variability. Nephron Physiol 112:p27-36. https://doi.org/10.1159/000213506</w:t>
      </w:r>
    </w:p>
    <w:p w:rsidR="00040F98" w:rsidRPr="00BC0897" w:rsidRDefault="00040F98" w:rsidP="00040F98">
      <w:pPr>
        <w:pStyle w:val="Bibliografia"/>
        <w:rPr>
          <w:lang w:val="en-US"/>
        </w:rPr>
      </w:pPr>
      <w:r w:rsidRPr="00BC0897">
        <w:rPr>
          <w:lang w:val="en-US"/>
        </w:rPr>
        <w:t>Smith AJ, Lippiat JD (2010) Direct endosomal acidification by the outwardly rectifying CLC-5 Cl(-)/H(+) exchanger. J Physiol (Lond) 588:2033–2045. https://doi.org/10.1113/jphysiol.2010.188540</w:t>
      </w:r>
    </w:p>
    <w:p w:rsidR="00040F98" w:rsidRPr="00BC0897" w:rsidRDefault="00040F98" w:rsidP="00040F98">
      <w:pPr>
        <w:pStyle w:val="Bibliografia"/>
        <w:rPr>
          <w:lang w:val="en-US"/>
        </w:rPr>
      </w:pPr>
      <w:r w:rsidRPr="00BC0897">
        <w:rPr>
          <w:lang w:val="en-US"/>
        </w:rPr>
        <w:t>Smith AJ, Reed AAC, Loh NY, et al (2009) Characterization of Dent’s disease mutations of CLC-5 reveals a correlation between functional and cell biological consequences and protein structure. Am J Physiol Renal Physiol 296:F390-397. https://doi.org/10.1152/ajprenal.90526.2008</w:t>
      </w:r>
    </w:p>
    <w:p w:rsidR="00040F98" w:rsidRPr="00BC0897" w:rsidRDefault="00040F98" w:rsidP="00040F98">
      <w:pPr>
        <w:pStyle w:val="Bibliografia"/>
        <w:rPr>
          <w:lang w:val="en-US"/>
        </w:rPr>
      </w:pPr>
      <w:r w:rsidRPr="00BC0897">
        <w:rPr>
          <w:lang w:val="en-US"/>
        </w:rPr>
        <w:t>Solanki AK, Arif E, Morinelli T, et al (2018) A Novel CLCN5 Mutation Associated With</w:t>
      </w:r>
      <w:r w:rsidR="002212C2">
        <w:rPr>
          <w:lang w:val="en-US"/>
        </w:rPr>
        <w:t xml:space="preserve"> </w:t>
      </w:r>
      <w:bookmarkStart w:id="0" w:name="_GoBack"/>
      <w:bookmarkEnd w:id="0"/>
      <w:r w:rsidRPr="00BC0897">
        <w:rPr>
          <w:lang w:val="en-US"/>
        </w:rPr>
        <w:t>Focal Segmental Glomerulosclerosis and</w:t>
      </w:r>
      <w:r w:rsidR="002212C2">
        <w:rPr>
          <w:lang w:val="en-US"/>
        </w:rPr>
        <w:t xml:space="preserve"> </w:t>
      </w:r>
      <w:r w:rsidRPr="00BC0897">
        <w:rPr>
          <w:lang w:val="en-US"/>
        </w:rPr>
        <w:t>Podocyte Injury. Kidney Int Rep 3:1443–1453. https://doi.org/10.1016/j.ekir.2018.06.003</w:t>
      </w:r>
    </w:p>
    <w:p w:rsidR="00040F98" w:rsidRPr="00BC0897" w:rsidRDefault="00040F98" w:rsidP="00040F98">
      <w:pPr>
        <w:pStyle w:val="Bibliografia"/>
        <w:rPr>
          <w:lang w:val="en-US"/>
        </w:rPr>
      </w:pPr>
      <w:r w:rsidRPr="00BC0897">
        <w:rPr>
          <w:lang w:val="en-US"/>
        </w:rPr>
        <w:t>Takemura T, Hino S, Ikeda M, et al (2001) Identification of two novel mutations in the CLCN5 gene in Japanese patients with familial idiopathic low molecular weight proteinuria (Japanese Dent’s disease). Am J Kidney Dis 37:138–143. https://doi.org/10.1016/s0272-6386(01)80067-6</w:t>
      </w:r>
    </w:p>
    <w:p w:rsidR="00040F98" w:rsidRPr="00BC0897" w:rsidRDefault="00040F98" w:rsidP="00040F98">
      <w:pPr>
        <w:pStyle w:val="Bibliografia"/>
        <w:rPr>
          <w:lang w:val="en-US"/>
        </w:rPr>
      </w:pPr>
      <w:r w:rsidRPr="00BC0897">
        <w:rPr>
          <w:lang w:val="en-US"/>
        </w:rPr>
        <w:t>Tang X, Brown MR, Cogal AG, et al (2016) Functional and transport analyses of CLCN5 genetic changes identified in Dent disease patients. Physiol Rep 4:e12776. https://doi.org/10.14814/phy2.12776</w:t>
      </w:r>
    </w:p>
    <w:p w:rsidR="00040F98" w:rsidRPr="00BC0897" w:rsidRDefault="00040F98" w:rsidP="00040F98">
      <w:pPr>
        <w:pStyle w:val="Bibliografia"/>
        <w:rPr>
          <w:lang w:val="en-US"/>
        </w:rPr>
      </w:pPr>
      <w:r w:rsidRPr="00BC0897">
        <w:rPr>
          <w:lang w:val="en-US"/>
        </w:rPr>
        <w:lastRenderedPageBreak/>
        <w:t>Tanuma A, Sato H, Takeda T, et al (2007) Functional characterization of a novel missense CLCN5 mutation causing alterations in proximal tubular endocytic machinery in Dent’s disease. Nephron Physiol 107:p87-97. https://doi.org/10.1159/000111253</w:t>
      </w:r>
    </w:p>
    <w:p w:rsidR="00040F98" w:rsidRPr="00BC0897" w:rsidRDefault="00040F98" w:rsidP="00040F98">
      <w:pPr>
        <w:pStyle w:val="Bibliografia"/>
        <w:rPr>
          <w:lang w:val="en-US"/>
        </w:rPr>
      </w:pPr>
      <w:r w:rsidRPr="00BC0897">
        <w:rPr>
          <w:lang w:val="en-US"/>
        </w:rPr>
        <w:t>Tasic V, Lozanovski VJ, Korneti P, et al (2011) Clinical and laboratory features of Macedonian children with OCRL mutations. Pediatr Nephrol 26:557–562. https://doi.org/10.1007/s00467-010-1758-9</w:t>
      </w:r>
    </w:p>
    <w:p w:rsidR="00040F98" w:rsidRPr="00BC0897" w:rsidRDefault="00040F98" w:rsidP="00040F98">
      <w:pPr>
        <w:pStyle w:val="Bibliografia"/>
        <w:rPr>
          <w:lang w:val="en-US"/>
        </w:rPr>
      </w:pPr>
      <w:r w:rsidRPr="00BC0897">
        <w:rPr>
          <w:lang w:val="en-US"/>
        </w:rPr>
        <w:t>Tosetto E, Ghiggeri GM, Emma F, et al (2006) Phenotypic and genetic heterogeneity in Dent’s disease--the results of an Italian collaborative study. Nephrol Dial Transplant 21:2452–2463. https://doi.org/10.1093/ndt/gfl274</w:t>
      </w:r>
    </w:p>
    <w:p w:rsidR="00040F98" w:rsidRPr="00BC0897" w:rsidRDefault="00040F98" w:rsidP="00040F98">
      <w:pPr>
        <w:pStyle w:val="Bibliografia"/>
        <w:rPr>
          <w:lang w:val="en-US"/>
        </w:rPr>
      </w:pPr>
      <w:r w:rsidRPr="00BC0897">
        <w:rPr>
          <w:lang w:val="en-US"/>
        </w:rPr>
        <w:t>Utsch B, Bökenkamp A, Benz MR, et al (2006) Novel OCRL1 mutations in patients with the phenotype of Dent disease. Am J Kidney Dis 48:942.e1–14. https://doi.org/10.1053/j.ajkd.2006.08.018</w:t>
      </w:r>
    </w:p>
    <w:p w:rsidR="00040F98" w:rsidRPr="00BC0897" w:rsidRDefault="00040F98" w:rsidP="00040F98">
      <w:pPr>
        <w:pStyle w:val="Bibliografia"/>
        <w:rPr>
          <w:lang w:val="en-US"/>
        </w:rPr>
      </w:pPr>
      <w:r w:rsidRPr="00BC0897">
        <w:rPr>
          <w:lang w:val="en-US"/>
        </w:rPr>
        <w:t>Vaisbich MH, Henriques LDS, Igarashi T, et al (2012) The long-term use of enalapril and hydrochlorothiazide in two novel mutations patients with Dent’s disease type 1. J Bras Nefrol 34:78–81</w:t>
      </w:r>
    </w:p>
    <w:p w:rsidR="00040F98" w:rsidRPr="00BC0897" w:rsidRDefault="00040F98" w:rsidP="00040F98">
      <w:pPr>
        <w:pStyle w:val="Bibliografia"/>
        <w:rPr>
          <w:lang w:val="en-US"/>
        </w:rPr>
      </w:pPr>
      <w:r w:rsidRPr="00BC0897">
        <w:rPr>
          <w:lang w:val="en-US"/>
        </w:rPr>
        <w:t>Valina MR, Larsen CP, Kanosky S, et al (2013) A novel CLCN5 mutation in a boy with asymptomatic proteinuria and focal global glomerulosclerosis. Clin Nephrol 80:377–384. https://doi.org/10.5414/CN107429</w:t>
      </w:r>
    </w:p>
    <w:p w:rsidR="00040F98" w:rsidRPr="00BC0897" w:rsidRDefault="00040F98" w:rsidP="00040F98">
      <w:pPr>
        <w:pStyle w:val="Bibliografia"/>
        <w:rPr>
          <w:lang w:val="en-US"/>
        </w:rPr>
      </w:pPr>
      <w:r w:rsidRPr="00BC0897">
        <w:rPr>
          <w:lang w:val="en-US"/>
        </w:rPr>
        <w:t>Wang X, Anglani F, Beara-Lasic L, et al (2016) Glomerular Pathology in Dent Disease and Its Association with Kidney Function. Clin J Am Soc Nephrol 11:2168–2176. https://doi.org/10.2215/CJN.03710416</w:t>
      </w:r>
    </w:p>
    <w:p w:rsidR="00040F98" w:rsidRPr="00BC0897" w:rsidRDefault="00040F98" w:rsidP="00040F98">
      <w:pPr>
        <w:pStyle w:val="Bibliografia"/>
        <w:rPr>
          <w:lang w:val="en-US"/>
        </w:rPr>
      </w:pPr>
      <w:r w:rsidRPr="00BC0897">
        <w:rPr>
          <w:lang w:val="en-US"/>
        </w:rPr>
        <w:t>Wang Y, Cai H, Cebotaru L, et al (2005) ClC-5: role in endocytosis in the proximal tubule. Am J Physiol Renal Physiol 289:F850-862. https://doi.org/10.1152/ajprenal.00011.2005</w:t>
      </w:r>
    </w:p>
    <w:p w:rsidR="00040F98" w:rsidRPr="00BC0897" w:rsidRDefault="00040F98" w:rsidP="00040F98">
      <w:pPr>
        <w:pStyle w:val="Bibliografia"/>
        <w:rPr>
          <w:lang w:val="en-US"/>
        </w:rPr>
      </w:pPr>
      <w:r w:rsidRPr="00BC0897">
        <w:rPr>
          <w:lang w:val="en-US"/>
        </w:rPr>
        <w:t>Wen M, Shen T, Wang Y, et al (2018) Next-Generation Sequencing in Early Diagnosis of Dent Disease 1: Two Case Reports. Front Med (Lausanne) 5:347. https://doi.org/10.3389/fmed.2018.00347</w:t>
      </w:r>
    </w:p>
    <w:p w:rsidR="00040F98" w:rsidRPr="00BC0897" w:rsidRDefault="00040F98" w:rsidP="00040F98">
      <w:pPr>
        <w:pStyle w:val="Bibliografia"/>
        <w:rPr>
          <w:lang w:val="en-US"/>
        </w:rPr>
      </w:pPr>
      <w:r w:rsidRPr="00BC0897">
        <w:rPr>
          <w:lang w:val="en-US"/>
        </w:rPr>
        <w:t>Wong W, Poke G, Stack M, et al (2017) Phenotypic variability of Dent disease in a large New Zealand kindred. Pediatr Nephrol 32:365–369. https://doi.org/10.1007/s00467-016-3472-8</w:t>
      </w:r>
    </w:p>
    <w:p w:rsidR="00040F98" w:rsidRPr="00BC0897" w:rsidRDefault="00040F98" w:rsidP="00040F98">
      <w:pPr>
        <w:pStyle w:val="Bibliografia"/>
        <w:rPr>
          <w:lang w:val="en-US"/>
        </w:rPr>
      </w:pPr>
      <w:r w:rsidRPr="00BC0897">
        <w:rPr>
          <w:lang w:val="en-US"/>
        </w:rPr>
        <w:t>Wrong OM, Norden AG, Feest TG (1994) Dent’s disease; a familial proximal renal tubular syndrome with low-molecular-weight proteinuria, hypercalciuria, nephrocalcinosis, metabolic bone disease, progressive renal failure and a marked male predominance. QJM 87:473–493</w:t>
      </w:r>
    </w:p>
    <w:p w:rsidR="00040F98" w:rsidRPr="00BC0897" w:rsidRDefault="00040F98" w:rsidP="00040F98">
      <w:pPr>
        <w:pStyle w:val="Bibliografia"/>
        <w:rPr>
          <w:lang w:val="en-US"/>
        </w:rPr>
      </w:pPr>
      <w:r w:rsidRPr="00BC0897">
        <w:rPr>
          <w:lang w:val="en-US"/>
        </w:rPr>
        <w:t>Yamamoto K, Cox JP, Friedrich T, et al (2000) Characterization of renal chloride channel (CLCN5) mutations in Dent’s disease. J Am Soc Nephrol 11:1460–1468</w:t>
      </w:r>
    </w:p>
    <w:p w:rsidR="00040F98" w:rsidRPr="00BC0897" w:rsidRDefault="00040F98" w:rsidP="00040F98">
      <w:pPr>
        <w:pStyle w:val="Bibliografia"/>
        <w:rPr>
          <w:lang w:val="en-US"/>
        </w:rPr>
      </w:pPr>
      <w:r w:rsidRPr="00BC0897">
        <w:rPr>
          <w:lang w:val="en-US"/>
        </w:rPr>
        <w:lastRenderedPageBreak/>
        <w:t>Yanagida H, Ikeoka M, Kuwajima H, et al (2004) A boy with Japanese Dent’s disease exhibiting abnormal calcium metabolism and osseous disorder of the spine: defective megalin expression at the brushborder of renal proximal tubules. Clin Nephrol 62:306–312. https://doi.org/10.5414/cnp62306</w:t>
      </w:r>
    </w:p>
    <w:p w:rsidR="00040F98" w:rsidRPr="00BC0897" w:rsidRDefault="00040F98" w:rsidP="00040F98">
      <w:pPr>
        <w:pStyle w:val="Bibliografia"/>
        <w:rPr>
          <w:lang w:val="en-US"/>
        </w:rPr>
      </w:pPr>
      <w:r w:rsidRPr="00BC0897">
        <w:rPr>
          <w:lang w:val="en-US"/>
        </w:rPr>
        <w:t>Ye Q, Shen Q, Rao J, et al (2020) Multicenter study of the clinical features and mutation gene spectrum of Chinese children with Dent disease. Clin Genet 97:407–417. https://doi.org/10.1111/cge.13663</w:t>
      </w:r>
    </w:p>
    <w:p w:rsidR="00040F98" w:rsidRPr="00BC0897" w:rsidRDefault="00040F98" w:rsidP="00040F98">
      <w:pPr>
        <w:pStyle w:val="Bibliografia"/>
        <w:rPr>
          <w:lang w:val="en-US"/>
        </w:rPr>
      </w:pPr>
      <w:r w:rsidRPr="00BC0897">
        <w:rPr>
          <w:lang w:val="en-US"/>
        </w:rPr>
        <w:t>Zaniew M, Bökenkamp A, Kolbuc M, et al (2018) Long-term renal outcome in children with OCRL mutations: retrospective analysis of a large international cohort. Nephrol Dial Transplant 33:85–94. https://doi.org/10.1093/ndt/gfw350</w:t>
      </w:r>
    </w:p>
    <w:p w:rsidR="00040F98" w:rsidRPr="00BC0897" w:rsidRDefault="00040F98" w:rsidP="00040F98">
      <w:pPr>
        <w:pStyle w:val="Bibliografia"/>
        <w:rPr>
          <w:lang w:val="en-US"/>
        </w:rPr>
      </w:pPr>
      <w:r w:rsidRPr="00BC0897">
        <w:rPr>
          <w:lang w:val="en-US"/>
        </w:rPr>
        <w:t>Zaniew M, Mizerska-Wasiak M, Załuska-Leśniewska I, et al (2017) Dent disease in Poland: what we have learned so far? Int Urol Nephrol 49:2005–2017. https://doi.org/10.1007/s11255-017-1676-x</w:t>
      </w:r>
    </w:p>
    <w:p w:rsidR="00040F98" w:rsidRPr="00BC0897" w:rsidRDefault="00040F98" w:rsidP="00040F98">
      <w:pPr>
        <w:pStyle w:val="Bibliografia"/>
      </w:pPr>
      <w:r w:rsidRPr="00BC0897">
        <w:rPr>
          <w:lang w:val="en-US"/>
        </w:rPr>
        <w:t xml:space="preserve">Zhang Y, Fang X, Xu H, Shen Q (2017) Genetic Analysis of Dent’s Disease and Functional Research of CLCN5 Mutations. </w:t>
      </w:r>
      <w:r w:rsidRPr="00BC0897">
        <w:t>DNA Cell Biol 36:1151–1158. https://doi.org/10.1089/dna.2017.3731</w:t>
      </w:r>
    </w:p>
    <w:p w:rsidR="00901FAA" w:rsidRPr="00925F4B" w:rsidRDefault="00527EAD" w:rsidP="00243668">
      <w:pPr>
        <w:spacing w:after="0" w:line="240" w:lineRule="auto"/>
        <w:ind w:firstLine="426"/>
        <w:jc w:val="both"/>
        <w:rPr>
          <w:rFonts w:ascii="Times New Roman" w:hAnsi="Times New Roman" w:cs="Times New Roman"/>
          <w:sz w:val="20"/>
          <w:szCs w:val="20"/>
          <w:lang w:val="en-US"/>
        </w:rPr>
      </w:pPr>
      <w:r w:rsidRPr="00BC0897">
        <w:rPr>
          <w:rFonts w:ascii="Times New Roman" w:hAnsi="Times New Roman" w:cs="Times New Roman"/>
          <w:sz w:val="20"/>
          <w:szCs w:val="20"/>
          <w:lang w:val="en-US"/>
        </w:rPr>
        <w:fldChar w:fldCharType="end"/>
      </w:r>
    </w:p>
    <w:sectPr w:rsidR="00901FAA" w:rsidRPr="00925F4B" w:rsidSect="00E26333">
      <w:footerReference w:type="default" r:id="rId6"/>
      <w:pgSz w:w="16838" w:h="11906" w:orient="landscape"/>
      <w:pgMar w:top="1134"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0B85" w:rsidRDefault="00D60B85" w:rsidP="00925F4B">
      <w:pPr>
        <w:spacing w:after="0" w:line="240" w:lineRule="auto"/>
      </w:pPr>
      <w:r>
        <w:separator/>
      </w:r>
    </w:p>
  </w:endnote>
  <w:endnote w:type="continuationSeparator" w:id="0">
    <w:p w:rsidR="00D60B85" w:rsidRDefault="00D60B85" w:rsidP="00925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1580422"/>
      <w:docPartObj>
        <w:docPartGallery w:val="Page Numbers (Bottom of Page)"/>
        <w:docPartUnique/>
      </w:docPartObj>
    </w:sdtPr>
    <w:sdtEndPr/>
    <w:sdtContent>
      <w:p w:rsidR="00BA526F" w:rsidRDefault="00BA526F">
        <w:pPr>
          <w:pStyle w:val="Pidipagina"/>
          <w:jc w:val="center"/>
        </w:pPr>
        <w:r>
          <w:fldChar w:fldCharType="begin"/>
        </w:r>
        <w:r>
          <w:instrText>PAGE   \* MERGEFORMAT</w:instrText>
        </w:r>
        <w:r>
          <w:fldChar w:fldCharType="separate"/>
        </w:r>
        <w:r w:rsidR="002212C2">
          <w:rPr>
            <w:noProof/>
          </w:rPr>
          <w:t>34</w:t>
        </w:r>
        <w:r>
          <w:fldChar w:fldCharType="end"/>
        </w:r>
      </w:p>
    </w:sdtContent>
  </w:sdt>
  <w:p w:rsidR="00BA526F" w:rsidRDefault="00BA526F">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0B85" w:rsidRDefault="00D60B85" w:rsidP="00925F4B">
      <w:pPr>
        <w:spacing w:after="0" w:line="240" w:lineRule="auto"/>
      </w:pPr>
      <w:r>
        <w:separator/>
      </w:r>
    </w:p>
  </w:footnote>
  <w:footnote w:type="continuationSeparator" w:id="0">
    <w:p w:rsidR="00D60B85" w:rsidRDefault="00D60B85" w:rsidP="00925F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333"/>
    <w:rsid w:val="00040F98"/>
    <w:rsid w:val="00056A33"/>
    <w:rsid w:val="000B4585"/>
    <w:rsid w:val="000C66B3"/>
    <w:rsid w:val="000E4199"/>
    <w:rsid w:val="000F21AB"/>
    <w:rsid w:val="001441D9"/>
    <w:rsid w:val="00155341"/>
    <w:rsid w:val="00176FAB"/>
    <w:rsid w:val="00190FA8"/>
    <w:rsid w:val="001D6376"/>
    <w:rsid w:val="002212C2"/>
    <w:rsid w:val="00243668"/>
    <w:rsid w:val="00284980"/>
    <w:rsid w:val="002E00E3"/>
    <w:rsid w:val="002E0FA9"/>
    <w:rsid w:val="002E3128"/>
    <w:rsid w:val="002E3446"/>
    <w:rsid w:val="00342726"/>
    <w:rsid w:val="00345414"/>
    <w:rsid w:val="003E448A"/>
    <w:rsid w:val="00455080"/>
    <w:rsid w:val="00473D63"/>
    <w:rsid w:val="00491D14"/>
    <w:rsid w:val="004944F7"/>
    <w:rsid w:val="004C7518"/>
    <w:rsid w:val="005224B5"/>
    <w:rsid w:val="00527EAD"/>
    <w:rsid w:val="005336D6"/>
    <w:rsid w:val="00572EBA"/>
    <w:rsid w:val="00576945"/>
    <w:rsid w:val="00592A3B"/>
    <w:rsid w:val="005A7F96"/>
    <w:rsid w:val="005B4DCF"/>
    <w:rsid w:val="005C2768"/>
    <w:rsid w:val="005D6AE1"/>
    <w:rsid w:val="005E7684"/>
    <w:rsid w:val="00615085"/>
    <w:rsid w:val="00621AE4"/>
    <w:rsid w:val="00646A25"/>
    <w:rsid w:val="00660F36"/>
    <w:rsid w:val="00690C2C"/>
    <w:rsid w:val="006A4CB8"/>
    <w:rsid w:val="006B09DB"/>
    <w:rsid w:val="006B3450"/>
    <w:rsid w:val="00784B56"/>
    <w:rsid w:val="007A21CB"/>
    <w:rsid w:val="007B380E"/>
    <w:rsid w:val="007F0FC3"/>
    <w:rsid w:val="008F7E4A"/>
    <w:rsid w:val="00901FAA"/>
    <w:rsid w:val="00912C76"/>
    <w:rsid w:val="009250C1"/>
    <w:rsid w:val="00925F4B"/>
    <w:rsid w:val="00A44008"/>
    <w:rsid w:val="00A5656E"/>
    <w:rsid w:val="00B67A97"/>
    <w:rsid w:val="00B84A41"/>
    <w:rsid w:val="00B86952"/>
    <w:rsid w:val="00BA526F"/>
    <w:rsid w:val="00BB319F"/>
    <w:rsid w:val="00BC0897"/>
    <w:rsid w:val="00BE6F85"/>
    <w:rsid w:val="00C228AD"/>
    <w:rsid w:val="00CA1BFB"/>
    <w:rsid w:val="00CA1DAE"/>
    <w:rsid w:val="00D60B85"/>
    <w:rsid w:val="00D86D41"/>
    <w:rsid w:val="00DF395B"/>
    <w:rsid w:val="00E15BF6"/>
    <w:rsid w:val="00E26333"/>
    <w:rsid w:val="00E41E4B"/>
    <w:rsid w:val="00E77B63"/>
    <w:rsid w:val="00F4408C"/>
    <w:rsid w:val="00F86D2D"/>
    <w:rsid w:val="00FD0C14"/>
    <w:rsid w:val="00FE31C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5219B"/>
  <w15:docId w15:val="{04EF806E-4999-4D3B-B03B-434E24E8A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26333"/>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predefinitoparagrafo"/>
    <w:uiPriority w:val="99"/>
    <w:semiHidden/>
    <w:unhideWhenUsed/>
    <w:rsid w:val="00E26333"/>
    <w:rPr>
      <w:sz w:val="16"/>
      <w:szCs w:val="16"/>
    </w:rPr>
  </w:style>
  <w:style w:type="paragraph" w:styleId="Testocommento">
    <w:name w:val="annotation text"/>
    <w:basedOn w:val="Normale"/>
    <w:link w:val="TestocommentoCarattere"/>
    <w:uiPriority w:val="99"/>
    <w:semiHidden/>
    <w:unhideWhenUsed/>
    <w:rsid w:val="00E26333"/>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26333"/>
    <w:rPr>
      <w:sz w:val="20"/>
      <w:szCs w:val="20"/>
    </w:rPr>
  </w:style>
  <w:style w:type="table" w:styleId="Grigliatabella">
    <w:name w:val="Table Grid"/>
    <w:basedOn w:val="Tabellanormale"/>
    <w:uiPriority w:val="39"/>
    <w:rsid w:val="00E263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stofumetto">
    <w:name w:val="Balloon Text"/>
    <w:basedOn w:val="Normale"/>
    <w:link w:val="TestofumettoCarattere"/>
    <w:uiPriority w:val="99"/>
    <w:semiHidden/>
    <w:unhideWhenUsed/>
    <w:rsid w:val="00E2633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26333"/>
    <w:rPr>
      <w:rFonts w:ascii="Tahoma" w:hAnsi="Tahoma" w:cs="Tahoma"/>
      <w:sz w:val="16"/>
      <w:szCs w:val="16"/>
    </w:rPr>
  </w:style>
  <w:style w:type="paragraph" w:styleId="Bibliografia">
    <w:name w:val="Bibliography"/>
    <w:basedOn w:val="Normale"/>
    <w:next w:val="Normale"/>
    <w:uiPriority w:val="37"/>
    <w:unhideWhenUsed/>
    <w:rsid w:val="00901FAA"/>
    <w:pPr>
      <w:spacing w:after="240" w:line="240" w:lineRule="auto"/>
      <w:ind w:left="720" w:hanging="720"/>
    </w:pPr>
  </w:style>
  <w:style w:type="paragraph" w:styleId="Intestazione">
    <w:name w:val="header"/>
    <w:basedOn w:val="Normale"/>
    <w:link w:val="IntestazioneCarattere"/>
    <w:uiPriority w:val="99"/>
    <w:unhideWhenUsed/>
    <w:rsid w:val="00925F4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25F4B"/>
  </w:style>
  <w:style w:type="paragraph" w:styleId="Pidipagina">
    <w:name w:val="footer"/>
    <w:basedOn w:val="Normale"/>
    <w:link w:val="PidipaginaCarattere"/>
    <w:uiPriority w:val="99"/>
    <w:unhideWhenUsed/>
    <w:rsid w:val="00925F4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25F4B"/>
  </w:style>
  <w:style w:type="paragraph" w:customStyle="1" w:styleId="MDPI12title">
    <w:name w:val="MDPI_1.2_title"/>
    <w:next w:val="Normale"/>
    <w:qFormat/>
    <w:rsid w:val="00155341"/>
    <w:pPr>
      <w:adjustRightInd w:val="0"/>
      <w:snapToGrid w:val="0"/>
      <w:spacing w:after="240" w:line="400" w:lineRule="exact"/>
    </w:pPr>
    <w:rPr>
      <w:rFonts w:ascii="Palatino Linotype" w:eastAsia="Times New Roman" w:hAnsi="Palatino Linotype" w:cs="Times New Roman"/>
      <w:b/>
      <w:snapToGrid w:val="0"/>
      <w:color w:val="000000"/>
      <w:sz w:val="36"/>
      <w:szCs w:val="20"/>
      <w:lang w:val="en-US" w:eastAsia="de-DE" w:bidi="en-US"/>
    </w:rPr>
  </w:style>
  <w:style w:type="paragraph" w:customStyle="1" w:styleId="MDPI13authornames">
    <w:name w:val="MDPI_1.3_authornames"/>
    <w:basedOn w:val="Normale"/>
    <w:next w:val="Normale"/>
    <w:qFormat/>
    <w:rsid w:val="00155341"/>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1227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35</Pages>
  <Words>114303</Words>
  <Characters>651529</Characters>
  <Application>Microsoft Office Word</Application>
  <DocSecurity>0</DocSecurity>
  <Lines>5429</Lines>
  <Paragraphs>1528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764304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dc:creator>
  <cp:lastModifiedBy>Lisa</cp:lastModifiedBy>
  <cp:revision>3</cp:revision>
  <dcterms:created xsi:type="dcterms:W3CDTF">2020-08-18T14:04:00Z</dcterms:created>
  <dcterms:modified xsi:type="dcterms:W3CDTF">2020-08-19T12:05:00Z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zotero-version="5.0.80"&gt;&lt;session id="35qgQdHJ"/&gt;&lt;style id="http://www.zotero.org/styles/human-genetics" hasBibliography="1" bibliographyStyleHasBeenSet="1"/&gt;&lt;prefs&gt;&lt;pref name="fieldType" value="Field"/&gt;&lt;pref name="dontAskDelayCitati</vt:lpwstr>
  </property>
  <property fmtid="{D5CDD505-2E9C-101B-9397-08002B2CF9AE}" pid="3" name="ZOTERO_PREF_2">
    <vt:lpwstr>onUpdates" value="true"/&gt;&lt;/prefs&gt;&lt;/data&gt;</vt:lpwstr>
  </property>
</Properties>
</file>