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15665" w14:textId="1E3B456B" w:rsidR="007B428D" w:rsidRDefault="007B428D" w:rsidP="007A0612">
      <w:pPr>
        <w:spacing w:line="240" w:lineRule="exact"/>
        <w:rPr>
          <w:rFonts w:ascii="Calibri" w:eastAsia="Calibri" w:hAnsi="Calibri" w:cs="Calibri"/>
          <w:b/>
          <w:bCs/>
        </w:rPr>
      </w:pPr>
      <w:r>
        <w:rPr>
          <w:rFonts w:ascii="Calibri" w:eastAsia="Calibri" w:hAnsi="Calibri" w:cs="Calibri"/>
          <w:b/>
          <w:bCs/>
        </w:rPr>
        <w:t xml:space="preserve">Figure </w:t>
      </w:r>
      <w:r w:rsidR="008C0897">
        <w:rPr>
          <w:rFonts w:ascii="Calibri" w:eastAsia="Calibri" w:hAnsi="Calibri" w:cs="Calibri"/>
          <w:b/>
          <w:bCs/>
        </w:rPr>
        <w:t>S</w:t>
      </w:r>
      <w:r>
        <w:rPr>
          <w:rFonts w:ascii="Calibri" w:eastAsia="Calibri" w:hAnsi="Calibri" w:cs="Calibri"/>
          <w:b/>
          <w:bCs/>
        </w:rPr>
        <w:t>1. Flowchart displaying workflow for SNP and locus identification in the UKBiobank GWAS.</w:t>
      </w:r>
    </w:p>
    <w:p w14:paraId="05AC9866" w14:textId="758949A4" w:rsidR="007B428D" w:rsidRDefault="00BA3CCA" w:rsidP="007A0612">
      <w:pPr>
        <w:spacing w:line="240" w:lineRule="exact"/>
        <w:rPr>
          <w:rFonts w:ascii="Calibri" w:eastAsia="Calibri" w:hAnsi="Calibri" w:cs="Calibri"/>
          <w:b/>
          <w:bCs/>
        </w:rPr>
      </w:pPr>
      <w:r>
        <w:rPr>
          <w:rFonts w:ascii="Calibri" w:eastAsia="Calibri" w:hAnsi="Calibri" w:cs="Calibri"/>
          <w:b/>
          <w:bCs/>
          <w:noProof/>
        </w:rPr>
        <w:drawing>
          <wp:anchor distT="0" distB="0" distL="114300" distR="114300" simplePos="0" relativeHeight="251658240" behindDoc="0" locked="0" layoutInCell="1" allowOverlap="1" wp14:anchorId="3949B047" wp14:editId="79488EF1">
            <wp:simplePos x="0" y="0"/>
            <wp:positionH relativeFrom="column">
              <wp:posOffset>0</wp:posOffset>
            </wp:positionH>
            <wp:positionV relativeFrom="paragraph">
              <wp:posOffset>65877</wp:posOffset>
            </wp:positionV>
            <wp:extent cx="5943600" cy="499491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4" cstate="print">
                      <a:extLst>
                        <a:ext uri="{28A0092B-C50C-407E-A947-70E740481C1C}">
                          <a14:useLocalDpi xmlns:a14="http://schemas.microsoft.com/office/drawing/2010/main" val="0"/>
                        </a:ext>
                      </a:extLst>
                    </a:blip>
                    <a:stretch>
                      <a:fillRect/>
                    </a:stretch>
                  </pic:blipFill>
                  <pic:spPr>
                    <a:xfrm>
                      <a:off x="0" y="0"/>
                      <a:ext cx="5943600" cy="4994910"/>
                    </a:xfrm>
                    <a:prstGeom prst="rect">
                      <a:avLst/>
                    </a:prstGeom>
                  </pic:spPr>
                </pic:pic>
              </a:graphicData>
            </a:graphic>
            <wp14:sizeRelH relativeFrom="page">
              <wp14:pctWidth>0</wp14:pctWidth>
            </wp14:sizeRelH>
            <wp14:sizeRelV relativeFrom="page">
              <wp14:pctHeight>0</wp14:pctHeight>
            </wp14:sizeRelV>
          </wp:anchor>
        </w:drawing>
      </w:r>
      <w:r w:rsidR="00C9726A">
        <w:rPr>
          <w:rFonts w:ascii="Calibri" w:eastAsia="Calibri" w:hAnsi="Calibri" w:cs="Calibri"/>
          <w:b/>
          <w:bCs/>
        </w:rPr>
        <w:br/>
      </w:r>
      <w:r w:rsidR="00C9726A">
        <w:rPr>
          <w:rFonts w:ascii="Calibri" w:eastAsia="Calibri" w:hAnsi="Calibri" w:cs="Calibri"/>
          <w:b/>
          <w:bCs/>
        </w:rPr>
        <w:br/>
      </w:r>
      <w:r w:rsidR="00C9726A">
        <w:rPr>
          <w:rFonts w:ascii="Calibri" w:eastAsia="Calibri" w:hAnsi="Calibri" w:cs="Calibri"/>
          <w:b/>
          <w:bCs/>
        </w:rPr>
        <w:br/>
      </w:r>
      <w:r w:rsidR="00C9726A">
        <w:rPr>
          <w:rFonts w:ascii="Calibri" w:eastAsia="Calibri" w:hAnsi="Calibri" w:cs="Calibri"/>
          <w:b/>
          <w:bCs/>
        </w:rPr>
        <w:br/>
      </w:r>
      <w:r w:rsidR="00C9726A">
        <w:rPr>
          <w:rFonts w:ascii="Calibri" w:eastAsia="Calibri" w:hAnsi="Calibri" w:cs="Calibri"/>
          <w:b/>
          <w:bCs/>
        </w:rPr>
        <w:br/>
      </w:r>
      <w:r w:rsidR="00C9726A">
        <w:rPr>
          <w:rFonts w:ascii="Calibri" w:eastAsia="Calibri" w:hAnsi="Calibri" w:cs="Calibri"/>
          <w:b/>
          <w:bCs/>
        </w:rPr>
        <w:br/>
      </w:r>
      <w:r w:rsidR="00C9726A">
        <w:rPr>
          <w:rFonts w:ascii="Calibri" w:eastAsia="Calibri" w:hAnsi="Calibri" w:cs="Calibri"/>
          <w:b/>
          <w:bCs/>
        </w:rPr>
        <w:br/>
      </w:r>
      <w:r w:rsidR="00C9726A">
        <w:rPr>
          <w:rFonts w:ascii="Calibri" w:eastAsia="Calibri" w:hAnsi="Calibri" w:cs="Calibri"/>
          <w:b/>
          <w:bCs/>
        </w:rPr>
        <w:br/>
      </w:r>
    </w:p>
    <w:p w14:paraId="1242F55C" w14:textId="55BF6A15" w:rsidR="007B428D" w:rsidRDefault="007B428D" w:rsidP="007A0612">
      <w:pPr>
        <w:spacing w:line="240" w:lineRule="exact"/>
        <w:rPr>
          <w:rFonts w:ascii="Calibri" w:eastAsia="Calibri" w:hAnsi="Calibri" w:cs="Calibri"/>
          <w:b/>
          <w:bCs/>
        </w:rPr>
      </w:pPr>
    </w:p>
    <w:p w14:paraId="74AC3B13" w14:textId="77777777" w:rsidR="007B428D" w:rsidRDefault="007B428D" w:rsidP="007A0612">
      <w:pPr>
        <w:spacing w:line="240" w:lineRule="exact"/>
        <w:rPr>
          <w:rFonts w:ascii="Calibri" w:eastAsia="Calibri" w:hAnsi="Calibri" w:cs="Calibri"/>
          <w:b/>
          <w:bCs/>
        </w:rPr>
      </w:pPr>
    </w:p>
    <w:p w14:paraId="10707564" w14:textId="24313FBE" w:rsidR="007B428D" w:rsidRDefault="007B428D" w:rsidP="007A0612">
      <w:pPr>
        <w:spacing w:line="240" w:lineRule="exact"/>
        <w:rPr>
          <w:rFonts w:ascii="Calibri" w:eastAsia="Calibri" w:hAnsi="Calibri" w:cs="Calibri"/>
          <w:b/>
          <w:bCs/>
        </w:rPr>
      </w:pPr>
    </w:p>
    <w:p w14:paraId="4B093330" w14:textId="77777777" w:rsidR="007B428D" w:rsidRDefault="007B428D" w:rsidP="007A0612">
      <w:pPr>
        <w:spacing w:line="240" w:lineRule="exact"/>
        <w:rPr>
          <w:rFonts w:ascii="Calibri" w:eastAsia="Calibri" w:hAnsi="Calibri" w:cs="Calibri"/>
          <w:b/>
          <w:bCs/>
        </w:rPr>
      </w:pPr>
    </w:p>
    <w:p w14:paraId="2C716483" w14:textId="5EC73C48" w:rsidR="007B428D" w:rsidRDefault="007B428D" w:rsidP="007A0612">
      <w:pPr>
        <w:spacing w:line="240" w:lineRule="exact"/>
        <w:rPr>
          <w:rFonts w:ascii="Calibri" w:eastAsia="Calibri" w:hAnsi="Calibri" w:cs="Calibri"/>
          <w:b/>
          <w:bCs/>
        </w:rPr>
      </w:pPr>
    </w:p>
    <w:p w14:paraId="1C606F06" w14:textId="29546716" w:rsidR="00C9726A" w:rsidRDefault="00C9726A" w:rsidP="007A0612">
      <w:pPr>
        <w:spacing w:line="240" w:lineRule="exact"/>
        <w:rPr>
          <w:rFonts w:ascii="Calibri" w:eastAsia="Calibri" w:hAnsi="Calibri" w:cs="Calibri"/>
          <w:b/>
          <w:bCs/>
        </w:rPr>
      </w:pPr>
    </w:p>
    <w:p w14:paraId="2603824C" w14:textId="6FAA6623" w:rsidR="00C9726A" w:rsidRDefault="00C9726A" w:rsidP="007A0612">
      <w:pPr>
        <w:spacing w:line="240" w:lineRule="exact"/>
        <w:rPr>
          <w:rFonts w:ascii="Calibri" w:eastAsia="Calibri" w:hAnsi="Calibri" w:cs="Calibri"/>
          <w:b/>
          <w:bCs/>
        </w:rPr>
      </w:pPr>
    </w:p>
    <w:p w14:paraId="771D4652" w14:textId="391FB080" w:rsidR="00C9726A" w:rsidRDefault="00C9726A" w:rsidP="007A0612">
      <w:pPr>
        <w:spacing w:line="240" w:lineRule="exact"/>
        <w:rPr>
          <w:rFonts w:ascii="Calibri" w:eastAsia="Calibri" w:hAnsi="Calibri" w:cs="Calibri"/>
          <w:b/>
          <w:bCs/>
        </w:rPr>
      </w:pPr>
    </w:p>
    <w:p w14:paraId="0FC2E9F5" w14:textId="0B2D4437" w:rsidR="00C9726A" w:rsidRDefault="00C9726A" w:rsidP="007A0612">
      <w:pPr>
        <w:spacing w:line="240" w:lineRule="exact"/>
        <w:rPr>
          <w:rFonts w:ascii="Calibri" w:eastAsia="Calibri" w:hAnsi="Calibri" w:cs="Calibri"/>
          <w:b/>
          <w:bCs/>
        </w:rPr>
      </w:pPr>
    </w:p>
    <w:p w14:paraId="629E9C77" w14:textId="3E2961E2" w:rsidR="00BA3CCA" w:rsidRDefault="00BA3CCA" w:rsidP="007A0612">
      <w:pPr>
        <w:spacing w:line="240" w:lineRule="exact"/>
        <w:rPr>
          <w:rFonts w:ascii="Calibri" w:eastAsia="Calibri" w:hAnsi="Calibri" w:cs="Calibri"/>
          <w:b/>
          <w:bCs/>
        </w:rPr>
      </w:pPr>
    </w:p>
    <w:p w14:paraId="549CFB4F" w14:textId="2561E83B" w:rsidR="00BA3CCA" w:rsidRDefault="00BA3CCA" w:rsidP="007A0612">
      <w:pPr>
        <w:spacing w:line="240" w:lineRule="exact"/>
        <w:rPr>
          <w:rFonts w:ascii="Calibri" w:eastAsia="Calibri" w:hAnsi="Calibri" w:cs="Calibri"/>
          <w:b/>
          <w:bCs/>
        </w:rPr>
      </w:pPr>
    </w:p>
    <w:p w14:paraId="3816F3CE" w14:textId="6393ED8A" w:rsidR="00BA3CCA" w:rsidRDefault="00BA3CCA" w:rsidP="007A0612">
      <w:pPr>
        <w:spacing w:line="240" w:lineRule="exact"/>
        <w:rPr>
          <w:rFonts w:ascii="Calibri" w:eastAsia="Calibri" w:hAnsi="Calibri" w:cs="Calibri"/>
          <w:b/>
          <w:bCs/>
        </w:rPr>
      </w:pPr>
    </w:p>
    <w:p w14:paraId="3D0CC0D1" w14:textId="2D4DEB2B" w:rsidR="00BA3CCA" w:rsidRDefault="00BA3CCA" w:rsidP="007A0612">
      <w:pPr>
        <w:spacing w:line="240" w:lineRule="exact"/>
        <w:rPr>
          <w:rFonts w:ascii="Calibri" w:eastAsia="Calibri" w:hAnsi="Calibri" w:cs="Calibri"/>
          <w:b/>
          <w:bCs/>
        </w:rPr>
      </w:pPr>
    </w:p>
    <w:p w14:paraId="214390E9" w14:textId="77777777" w:rsidR="00BA3CCA" w:rsidRDefault="00BA3CCA" w:rsidP="007A0612">
      <w:pPr>
        <w:spacing w:line="240" w:lineRule="exact"/>
        <w:rPr>
          <w:rFonts w:ascii="Calibri" w:eastAsia="Calibri" w:hAnsi="Calibri" w:cs="Calibri"/>
          <w:b/>
          <w:bCs/>
        </w:rPr>
      </w:pPr>
    </w:p>
    <w:p w14:paraId="2946DB16" w14:textId="77777777" w:rsidR="00C9726A" w:rsidRDefault="00C9726A" w:rsidP="007A0612">
      <w:pPr>
        <w:spacing w:line="240" w:lineRule="exact"/>
        <w:rPr>
          <w:rFonts w:ascii="Calibri" w:eastAsia="Calibri" w:hAnsi="Calibri" w:cs="Calibri"/>
          <w:b/>
          <w:bCs/>
        </w:rPr>
      </w:pPr>
    </w:p>
    <w:p w14:paraId="7B4D5713" w14:textId="77777777" w:rsidR="007B428D" w:rsidRDefault="007B428D" w:rsidP="007A0612">
      <w:pPr>
        <w:spacing w:line="240" w:lineRule="exact"/>
        <w:rPr>
          <w:rFonts w:ascii="Calibri" w:eastAsia="Calibri" w:hAnsi="Calibri" w:cs="Calibri"/>
          <w:b/>
          <w:bCs/>
        </w:rPr>
      </w:pPr>
    </w:p>
    <w:p w14:paraId="2F802A41" w14:textId="77777777" w:rsidR="008C0897" w:rsidRDefault="008C0897">
      <w:pPr>
        <w:rPr>
          <w:rFonts w:ascii="Calibri" w:eastAsia="Calibri" w:hAnsi="Calibri" w:cs="Calibri"/>
          <w:b/>
          <w:bCs/>
        </w:rPr>
      </w:pPr>
      <w:r>
        <w:rPr>
          <w:rFonts w:ascii="Calibri" w:eastAsia="Calibri" w:hAnsi="Calibri" w:cs="Calibri"/>
          <w:b/>
          <w:bCs/>
        </w:rPr>
        <w:br w:type="page"/>
      </w:r>
    </w:p>
    <w:p w14:paraId="30DD0D39" w14:textId="0A9A08C2" w:rsidR="007A0612" w:rsidRDefault="007A0612" w:rsidP="007A0612">
      <w:pPr>
        <w:spacing w:line="240" w:lineRule="exact"/>
      </w:pPr>
      <w:r>
        <w:rPr>
          <w:rFonts w:ascii="Calibri" w:eastAsia="Calibri" w:hAnsi="Calibri" w:cs="Calibri"/>
          <w:b/>
          <w:bCs/>
        </w:rPr>
        <w:lastRenderedPageBreak/>
        <w:t>Figure S</w:t>
      </w:r>
      <w:r w:rsidR="008C0897">
        <w:rPr>
          <w:rFonts w:ascii="Calibri" w:eastAsia="Calibri" w:hAnsi="Calibri" w:cs="Calibri"/>
          <w:b/>
          <w:bCs/>
        </w:rPr>
        <w:t>2</w:t>
      </w:r>
      <w:r w:rsidRPr="155DDB23">
        <w:rPr>
          <w:rFonts w:ascii="Calibri" w:eastAsia="Calibri" w:hAnsi="Calibri" w:cs="Calibri"/>
          <w:b/>
          <w:bCs/>
        </w:rPr>
        <w:t xml:space="preserve">. Co-localization results for </w:t>
      </w:r>
      <w:r w:rsidRPr="000D0C26">
        <w:rPr>
          <w:rFonts w:ascii="Calibri" w:eastAsia="Calibri" w:hAnsi="Calibri" w:cs="Calibri"/>
          <w:b/>
          <w:bCs/>
          <w:i/>
        </w:rPr>
        <w:t>TFAM</w:t>
      </w:r>
      <w:r w:rsidRPr="155DDB23">
        <w:rPr>
          <w:rFonts w:ascii="Calibri" w:eastAsia="Calibri" w:hAnsi="Calibri" w:cs="Calibri"/>
          <w:b/>
          <w:bCs/>
        </w:rPr>
        <w:t xml:space="preserve">, before (left) and after (right) removing the SNP with the lowest combined mtDNA-CN GWAS and </w:t>
      </w:r>
      <w:r w:rsidRPr="000D0C26">
        <w:rPr>
          <w:rFonts w:ascii="Calibri" w:eastAsia="Calibri" w:hAnsi="Calibri" w:cs="Calibri"/>
          <w:b/>
          <w:bCs/>
          <w:i/>
        </w:rPr>
        <w:t>TFAM</w:t>
      </w:r>
      <w:r w:rsidRPr="155DDB23">
        <w:rPr>
          <w:rFonts w:ascii="Calibri" w:eastAsia="Calibri" w:hAnsi="Calibri" w:cs="Calibri"/>
          <w:b/>
          <w:bCs/>
        </w:rPr>
        <w:t xml:space="preserve"> eQTL p-value. </w:t>
      </w:r>
    </w:p>
    <w:p w14:paraId="2B511D8C" w14:textId="77777777" w:rsidR="007A0612" w:rsidRDefault="007A0612" w:rsidP="007A0612">
      <w:pPr>
        <w:rPr>
          <w:rFonts w:ascii="Calibri" w:hAnsi="Calibri" w:cs="Calibri"/>
        </w:rPr>
      </w:pPr>
      <w:r>
        <w:rPr>
          <w:rFonts w:ascii="Calibri" w:hAnsi="Calibri" w:cs="Calibri"/>
          <w:noProof/>
        </w:rPr>
        <w:drawing>
          <wp:inline distT="0" distB="0" distL="0" distR="0" wp14:anchorId="003A4DFB" wp14:editId="57CE5113">
            <wp:extent cx="6619472" cy="2688492"/>
            <wp:effectExtent l="0" t="0" r="0" b="4445"/>
            <wp:docPr id="5" name="Picture 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10;&#10;Description automatically generated"/>
                    <pic:cNvPicPr/>
                  </pic:nvPicPr>
                  <pic:blipFill rotWithShape="1">
                    <a:blip r:embed="rId5">
                      <a:extLst>
                        <a:ext uri="{28A0092B-C50C-407E-A947-70E740481C1C}">
                          <a14:useLocalDpi xmlns:a14="http://schemas.microsoft.com/office/drawing/2010/main" val="0"/>
                        </a:ext>
                      </a:extLst>
                    </a:blip>
                    <a:srcRect r="1514"/>
                    <a:stretch/>
                  </pic:blipFill>
                  <pic:spPr bwMode="auto">
                    <a:xfrm>
                      <a:off x="0" y="0"/>
                      <a:ext cx="6654183" cy="2702590"/>
                    </a:xfrm>
                    <a:prstGeom prst="rect">
                      <a:avLst/>
                    </a:prstGeom>
                    <a:ln>
                      <a:noFill/>
                    </a:ln>
                    <a:extLst>
                      <a:ext uri="{53640926-AAD7-44D8-BBD7-CCE9431645EC}">
                        <a14:shadowObscured xmlns:a14="http://schemas.microsoft.com/office/drawing/2010/main"/>
                      </a:ext>
                    </a:extLst>
                  </pic:spPr>
                </pic:pic>
              </a:graphicData>
            </a:graphic>
          </wp:inline>
        </w:drawing>
      </w:r>
    </w:p>
    <w:p w14:paraId="0A328B02" w14:textId="66C0417F" w:rsidR="00680528" w:rsidRPr="00565329" w:rsidRDefault="00680528" w:rsidP="00680528">
      <w:pPr>
        <w:spacing w:line="240" w:lineRule="exact"/>
      </w:pPr>
      <w:r w:rsidRPr="000D0C26">
        <w:rPr>
          <w:rFonts w:ascii="Calibri" w:eastAsia="Calibri" w:hAnsi="Calibri" w:cs="Calibri"/>
          <w:i/>
        </w:rPr>
        <w:t>TFAM</w:t>
      </w:r>
      <w:r w:rsidRPr="00565329">
        <w:rPr>
          <w:rFonts w:ascii="Calibri" w:eastAsia="Calibri" w:hAnsi="Calibri" w:cs="Calibri"/>
        </w:rPr>
        <w:t xml:space="preserve"> strongly colocalizes with GWAS hits after removing the SNP with the lowest combined mtDNA-GWAS and </w:t>
      </w:r>
      <w:r w:rsidRPr="000D0C26">
        <w:rPr>
          <w:rFonts w:ascii="Calibri" w:eastAsia="Calibri" w:hAnsi="Calibri" w:cs="Calibri"/>
          <w:i/>
        </w:rPr>
        <w:t>TFAM</w:t>
      </w:r>
      <w:r w:rsidRPr="00565329">
        <w:rPr>
          <w:rFonts w:ascii="Calibri" w:eastAsia="Calibri" w:hAnsi="Calibri" w:cs="Calibri"/>
        </w:rPr>
        <w:t xml:space="preserve"> eQTL p-value. Colocalization was run with the R </w:t>
      </w:r>
      <w:r w:rsidRPr="00565329">
        <w:rPr>
          <w:rFonts w:ascii="Calibri" w:eastAsia="Calibri" w:hAnsi="Calibri" w:cs="Calibri"/>
          <w:i/>
          <w:iCs/>
        </w:rPr>
        <w:t>coloc</w:t>
      </w:r>
      <w:r w:rsidRPr="00565329">
        <w:rPr>
          <w:rFonts w:ascii="Calibri" w:eastAsia="Calibri" w:hAnsi="Calibri" w:cs="Calibri"/>
        </w:rPr>
        <w:t xml:space="preserve"> package, and graphs were created using the </w:t>
      </w:r>
      <w:r w:rsidRPr="00565329">
        <w:rPr>
          <w:rFonts w:ascii="Calibri" w:eastAsia="Calibri" w:hAnsi="Calibri" w:cs="Calibri"/>
          <w:i/>
          <w:iCs/>
        </w:rPr>
        <w:t>locusComparer</w:t>
      </w:r>
      <w:r w:rsidRPr="00565329">
        <w:rPr>
          <w:rFonts w:ascii="Calibri" w:eastAsia="Calibri" w:hAnsi="Calibri" w:cs="Calibri"/>
        </w:rPr>
        <w:t xml:space="preserve"> package.</w:t>
      </w:r>
    </w:p>
    <w:p w14:paraId="61E75588" w14:textId="3273B8C9" w:rsidR="007A0612" w:rsidRPr="00A25589" w:rsidRDefault="007A0612" w:rsidP="007A0612">
      <w:pPr>
        <w:pStyle w:val="paragraph"/>
        <w:spacing w:before="0" w:beforeAutospacing="0" w:after="0" w:afterAutospacing="0"/>
        <w:rPr>
          <w:rStyle w:val="eop"/>
          <w:rFonts w:ascii="Calibri" w:hAnsi="Calibri" w:cs="Calibri"/>
          <w:b/>
          <w:bCs/>
          <w:sz w:val="22"/>
          <w:szCs w:val="22"/>
        </w:rPr>
      </w:pPr>
      <w:r w:rsidRPr="00A25589">
        <w:rPr>
          <w:rStyle w:val="eop"/>
          <w:rFonts w:ascii="Calibri" w:hAnsi="Calibri" w:cs="Calibri"/>
          <w:b/>
          <w:bCs/>
          <w:sz w:val="22"/>
          <w:szCs w:val="22"/>
        </w:rPr>
        <w:br w:type="column"/>
      </w:r>
      <w:r>
        <w:rPr>
          <w:rStyle w:val="eop"/>
          <w:rFonts w:ascii="Calibri" w:hAnsi="Calibri" w:cs="Calibri"/>
          <w:b/>
          <w:bCs/>
          <w:sz w:val="22"/>
          <w:szCs w:val="22"/>
        </w:rPr>
        <w:lastRenderedPageBreak/>
        <w:t>Figure S</w:t>
      </w:r>
      <w:r w:rsidR="008C0897">
        <w:rPr>
          <w:rStyle w:val="eop"/>
          <w:rFonts w:ascii="Calibri" w:hAnsi="Calibri" w:cs="Calibri"/>
          <w:b/>
          <w:bCs/>
          <w:sz w:val="22"/>
          <w:szCs w:val="22"/>
        </w:rPr>
        <w:t>3</w:t>
      </w:r>
      <w:r w:rsidRPr="00A25589">
        <w:rPr>
          <w:rStyle w:val="eop"/>
          <w:rFonts w:ascii="Calibri" w:hAnsi="Calibri" w:cs="Calibri"/>
          <w:b/>
          <w:bCs/>
          <w:sz w:val="22"/>
          <w:szCs w:val="22"/>
        </w:rPr>
        <w:t xml:space="preserve">. Flowchart describing gene prioritization process for each locus using results from ANNOVAR, SuSie, COLOC, and DEPICT. </w:t>
      </w:r>
    </w:p>
    <w:p w14:paraId="02C91BCD" w14:textId="77777777" w:rsidR="007A0612" w:rsidRDefault="007A0612" w:rsidP="007A0612">
      <w:r>
        <w:rPr>
          <w:noProof/>
        </w:rPr>
        <w:drawing>
          <wp:inline distT="0" distB="0" distL="0" distR="0" wp14:anchorId="21093D44" wp14:editId="7A802920">
            <wp:extent cx="4572000" cy="4067175"/>
            <wp:effectExtent l="0" t="0" r="0" b="0"/>
            <wp:docPr id="291611494" name="Picture 29161149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611494" name="Picture 291611494" descr="Diagram&#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4572000" cy="4067175"/>
                    </a:xfrm>
                    <a:prstGeom prst="rect">
                      <a:avLst/>
                    </a:prstGeom>
                  </pic:spPr>
                </pic:pic>
              </a:graphicData>
            </a:graphic>
          </wp:inline>
        </w:drawing>
      </w:r>
    </w:p>
    <w:p w14:paraId="783C2F55" w14:textId="09EA1799" w:rsidR="007A0612" w:rsidRPr="00D068D8" w:rsidRDefault="00565329" w:rsidP="007A0612">
      <w:pPr>
        <w:rPr>
          <w:rFonts w:ascii="Calibri" w:eastAsiaTheme="minorEastAsia" w:hAnsi="Calibri" w:cs="Calibri"/>
        </w:rPr>
      </w:pPr>
      <w:r w:rsidRPr="00D068D8">
        <w:rPr>
          <w:rStyle w:val="eop"/>
          <w:rFonts w:ascii="Calibri" w:hAnsi="Calibri" w:cs="Calibri"/>
        </w:rPr>
        <w:t xml:space="preserve">Flowchart depicting gene </w:t>
      </w:r>
      <w:r w:rsidR="00D462CF" w:rsidRPr="00D068D8">
        <w:rPr>
          <w:rStyle w:val="eop"/>
          <w:rFonts w:ascii="Calibri" w:hAnsi="Calibri" w:cs="Calibri"/>
        </w:rPr>
        <w:t>assignment</w:t>
      </w:r>
      <w:r w:rsidRPr="00D068D8">
        <w:rPr>
          <w:rStyle w:val="eop"/>
          <w:rFonts w:ascii="Calibri" w:hAnsi="Calibri" w:cs="Calibri"/>
        </w:rPr>
        <w:t xml:space="preserve"> pipeline</w:t>
      </w:r>
      <w:r w:rsidR="00D068D8" w:rsidRPr="00D068D8">
        <w:rPr>
          <w:rStyle w:val="eop"/>
          <w:rFonts w:ascii="Calibri" w:hAnsi="Calibri" w:cs="Calibri"/>
        </w:rPr>
        <w:t>. The</w:t>
      </w:r>
      <w:r w:rsidRPr="00D068D8">
        <w:rPr>
          <w:rStyle w:val="eop"/>
          <w:rFonts w:ascii="Calibri" w:hAnsi="Calibri" w:cs="Calibri"/>
        </w:rPr>
        <w:t xml:space="preserve"> number of loci assigned using each method is displayed in brackets.</w:t>
      </w:r>
    </w:p>
    <w:p w14:paraId="37F0C1FF" w14:textId="19DD47BC" w:rsidR="007A0612" w:rsidRPr="00A25589" w:rsidRDefault="007A0612" w:rsidP="007A0612">
      <w:pPr>
        <w:rPr>
          <w:rFonts w:ascii="Calibri" w:hAnsi="Calibri" w:cs="Calibri"/>
          <w:b/>
          <w:bCs/>
        </w:rPr>
      </w:pPr>
      <w:r w:rsidRPr="00A25589">
        <w:rPr>
          <w:rFonts w:ascii="Calibri" w:eastAsiaTheme="minorEastAsia" w:hAnsi="Calibri" w:cs="Calibri"/>
          <w:b/>
          <w:bCs/>
        </w:rPr>
        <w:br w:type="column"/>
      </w:r>
      <w:r>
        <w:rPr>
          <w:rFonts w:ascii="Calibri" w:hAnsi="Calibri" w:cs="Calibri"/>
          <w:b/>
          <w:bCs/>
        </w:rPr>
        <w:lastRenderedPageBreak/>
        <w:t>Figure S</w:t>
      </w:r>
      <w:r w:rsidR="00CD0A71">
        <w:rPr>
          <w:rFonts w:ascii="Calibri" w:hAnsi="Calibri" w:cs="Calibri"/>
          <w:b/>
          <w:bCs/>
        </w:rPr>
        <w:t>4</w:t>
      </w:r>
      <w:r w:rsidRPr="00A25589">
        <w:rPr>
          <w:rFonts w:ascii="Calibri" w:hAnsi="Calibri" w:cs="Calibri"/>
          <w:b/>
          <w:bCs/>
        </w:rPr>
        <w:t>. Primary</w:t>
      </w:r>
      <w:r w:rsidR="000D0C26">
        <w:rPr>
          <w:rFonts w:ascii="Calibri" w:hAnsi="Calibri" w:cs="Calibri"/>
          <w:b/>
          <w:bCs/>
        </w:rPr>
        <w:t xml:space="preserve"> autosomal</w:t>
      </w:r>
      <w:r w:rsidRPr="00A25589">
        <w:rPr>
          <w:rFonts w:ascii="Calibri" w:hAnsi="Calibri" w:cs="Calibri"/>
          <w:b/>
          <w:bCs/>
        </w:rPr>
        <w:t xml:space="preserve"> loci identified in the 3 different complementary meta-analyses. </w:t>
      </w:r>
    </w:p>
    <w:p w14:paraId="2A4F369E" w14:textId="6093ABFF" w:rsidR="007A0612" w:rsidRDefault="007A0612" w:rsidP="007A0612">
      <w:pPr>
        <w:rPr>
          <w:rFonts w:ascii="Times" w:eastAsia="Times" w:hAnsi="Times" w:cs="Times"/>
          <w:color w:val="000000" w:themeColor="text1"/>
        </w:rPr>
      </w:pPr>
      <w:r>
        <w:rPr>
          <w:noProof/>
        </w:rPr>
        <w:drawing>
          <wp:inline distT="0" distB="0" distL="0" distR="0" wp14:anchorId="21B69F25" wp14:editId="49D4F0ED">
            <wp:extent cx="4419600" cy="2733675"/>
            <wp:effectExtent l="0" t="0" r="2540" b="0"/>
            <wp:docPr id="295647082" name="Picture 295647082" descr="Diagram, venn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647082" name="Picture 295647082" descr="Diagram, venn diagram&#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4419600" cy="2733675"/>
                    </a:xfrm>
                    <a:prstGeom prst="rect">
                      <a:avLst/>
                    </a:prstGeom>
                  </pic:spPr>
                </pic:pic>
              </a:graphicData>
            </a:graphic>
          </wp:inline>
        </w:drawing>
      </w:r>
    </w:p>
    <w:p w14:paraId="0B450510" w14:textId="23F07292" w:rsidR="005954E0" w:rsidRPr="005E3351" w:rsidRDefault="005E3351" w:rsidP="005954E0">
      <w:pPr>
        <w:rPr>
          <w:rFonts w:ascii="Calibri" w:hAnsi="Calibri" w:cs="Calibri"/>
        </w:rPr>
      </w:pPr>
      <w:r>
        <w:rPr>
          <w:rFonts w:ascii="Calibri" w:hAnsi="Calibri" w:cs="Calibri"/>
        </w:rPr>
        <w:t xml:space="preserve">Primary </w:t>
      </w:r>
      <w:r w:rsidR="00E43DC5">
        <w:rPr>
          <w:rFonts w:ascii="Calibri" w:hAnsi="Calibri" w:cs="Calibri"/>
        </w:rPr>
        <w:t>autosomal loci identified in 1)</w:t>
      </w:r>
      <w:r>
        <w:rPr>
          <w:rFonts w:ascii="Calibri" w:hAnsi="Calibri" w:cs="Calibri"/>
        </w:rPr>
        <w:t xml:space="preserve"> A</w:t>
      </w:r>
      <w:r w:rsidR="00E43DC5">
        <w:rPr>
          <w:rFonts w:ascii="Calibri" w:hAnsi="Calibri" w:cs="Calibri"/>
        </w:rPr>
        <w:t>ll whites in the study (All), 2)</w:t>
      </w:r>
      <w:r>
        <w:rPr>
          <w:rFonts w:ascii="Calibri" w:hAnsi="Calibri" w:cs="Calibri"/>
        </w:rPr>
        <w:t xml:space="preserve"> All whites with available cell count informati</w:t>
      </w:r>
      <w:r w:rsidR="00E43DC5">
        <w:rPr>
          <w:rFonts w:ascii="Calibri" w:hAnsi="Calibri" w:cs="Calibri"/>
        </w:rPr>
        <w:t>on (cell count corrected), and 3)</w:t>
      </w:r>
      <w:r>
        <w:rPr>
          <w:rFonts w:ascii="Calibri" w:hAnsi="Calibri" w:cs="Calibri"/>
        </w:rPr>
        <w:t xml:space="preserve"> UKBiobank-only data (UKBiobank). </w:t>
      </w:r>
      <w:r w:rsidR="005954E0" w:rsidRPr="005E3351">
        <w:rPr>
          <w:rFonts w:ascii="Calibri" w:hAnsi="Calibri" w:cs="Calibri"/>
        </w:rPr>
        <w:t xml:space="preserve">The </w:t>
      </w:r>
      <w:r w:rsidR="00D02BD7">
        <w:rPr>
          <w:rFonts w:ascii="Calibri" w:hAnsi="Calibri" w:cs="Calibri"/>
        </w:rPr>
        <w:t>UKB</w:t>
      </w:r>
      <w:r w:rsidR="00547787">
        <w:rPr>
          <w:rFonts w:ascii="Calibri" w:hAnsi="Calibri" w:cs="Calibri"/>
        </w:rPr>
        <w:t>-</w:t>
      </w:r>
      <w:r w:rsidR="005954E0" w:rsidRPr="005E3351">
        <w:rPr>
          <w:rFonts w:ascii="Calibri" w:hAnsi="Calibri" w:cs="Calibri"/>
        </w:rPr>
        <w:t>only GWAS identifies 9</w:t>
      </w:r>
      <w:r w:rsidR="001A64D0">
        <w:rPr>
          <w:rFonts w:ascii="Calibri" w:hAnsi="Calibri" w:cs="Calibri"/>
        </w:rPr>
        <w:t>2</w:t>
      </w:r>
      <w:r w:rsidR="005954E0" w:rsidRPr="005E3351">
        <w:rPr>
          <w:rFonts w:ascii="Calibri" w:hAnsi="Calibri" w:cs="Calibri"/>
        </w:rPr>
        <w:t xml:space="preserve"> of the 9</w:t>
      </w:r>
      <w:r w:rsidR="001A64D0">
        <w:rPr>
          <w:rFonts w:ascii="Calibri" w:hAnsi="Calibri" w:cs="Calibri"/>
        </w:rPr>
        <w:t>3</w:t>
      </w:r>
      <w:r w:rsidR="005954E0" w:rsidRPr="005E3351">
        <w:rPr>
          <w:rFonts w:ascii="Calibri" w:hAnsi="Calibri" w:cs="Calibri"/>
        </w:rPr>
        <w:t xml:space="preserve"> loci identified in all analyses, which is unsurprising as over 90% of samples come from the UKB cohort.</w:t>
      </w:r>
    </w:p>
    <w:p w14:paraId="1C3A36BF" w14:textId="71DFDCA6" w:rsidR="005954E0" w:rsidRDefault="005954E0" w:rsidP="007A0612">
      <w:pPr>
        <w:rPr>
          <w:rFonts w:ascii="Times" w:eastAsia="Times" w:hAnsi="Times" w:cs="Times"/>
          <w:color w:val="000000" w:themeColor="text1"/>
        </w:rPr>
      </w:pPr>
    </w:p>
    <w:p w14:paraId="37CB38AE" w14:textId="77777777" w:rsidR="005954E0" w:rsidRPr="005954E0" w:rsidRDefault="005954E0" w:rsidP="007A0612">
      <w:pPr>
        <w:rPr>
          <w:rFonts w:ascii="Times" w:eastAsia="Times" w:hAnsi="Times" w:cs="Times"/>
          <w:b/>
          <w:bCs/>
          <w:color w:val="000000" w:themeColor="text1"/>
        </w:rPr>
      </w:pPr>
    </w:p>
    <w:p w14:paraId="3BEF2337" w14:textId="77777777" w:rsidR="007A0612" w:rsidRPr="00A25589" w:rsidRDefault="007A0612" w:rsidP="007A0612">
      <w:pPr>
        <w:pStyle w:val="paragraph"/>
        <w:spacing w:before="0" w:beforeAutospacing="0" w:after="0" w:afterAutospacing="0"/>
      </w:pPr>
      <w:r w:rsidRPr="00A25589">
        <w:rPr>
          <w:rFonts w:ascii="Calibri" w:eastAsiaTheme="minorEastAsia" w:hAnsi="Calibri" w:cs="Calibri"/>
          <w:b/>
          <w:bCs/>
        </w:rPr>
        <w:br w:type="column"/>
      </w:r>
    </w:p>
    <w:p w14:paraId="2317F09D" w14:textId="2F1741AC" w:rsidR="00BE7CC3" w:rsidRDefault="007A0612" w:rsidP="007A0612">
      <w:pPr>
        <w:spacing w:after="0"/>
        <w:rPr>
          <w:rFonts w:ascii="Calibri" w:eastAsia="Calibri" w:hAnsi="Calibri" w:cs="Calibri"/>
          <w:b/>
          <w:bCs/>
        </w:rPr>
      </w:pPr>
      <w:r>
        <w:rPr>
          <w:rFonts w:ascii="Calibri" w:eastAsia="Calibri" w:hAnsi="Calibri" w:cs="Calibri"/>
          <w:b/>
          <w:bCs/>
        </w:rPr>
        <w:t xml:space="preserve">Figure </w:t>
      </w:r>
      <w:r w:rsidR="00731C12">
        <w:rPr>
          <w:rFonts w:ascii="Calibri" w:eastAsia="Calibri" w:hAnsi="Calibri" w:cs="Calibri"/>
          <w:b/>
          <w:bCs/>
        </w:rPr>
        <w:t>S</w:t>
      </w:r>
      <w:r w:rsidR="00CD0A71">
        <w:rPr>
          <w:rFonts w:ascii="Calibri" w:eastAsia="Calibri" w:hAnsi="Calibri" w:cs="Calibri"/>
          <w:b/>
          <w:bCs/>
        </w:rPr>
        <w:t>5</w:t>
      </w:r>
      <w:r w:rsidR="00496154">
        <w:rPr>
          <w:rFonts w:ascii="Calibri" w:eastAsia="Calibri" w:hAnsi="Calibri" w:cs="Calibri"/>
          <w:b/>
          <w:bCs/>
        </w:rPr>
        <w:t>.</w:t>
      </w:r>
      <w:r w:rsidR="00CC7084">
        <w:rPr>
          <w:rFonts w:ascii="Calibri" w:eastAsia="Calibri" w:hAnsi="Calibri" w:cs="Calibri"/>
          <w:b/>
          <w:bCs/>
        </w:rPr>
        <w:t xml:space="preserve"> QQ-plot showing expected and observed p-value distributions from </w:t>
      </w:r>
      <w:r w:rsidR="00731C12">
        <w:rPr>
          <w:rFonts w:ascii="Calibri" w:eastAsia="Calibri" w:hAnsi="Calibri" w:cs="Calibri"/>
          <w:b/>
          <w:bCs/>
        </w:rPr>
        <w:t xml:space="preserve">autosomal </w:t>
      </w:r>
      <w:r w:rsidR="00CC7084">
        <w:rPr>
          <w:rFonts w:ascii="Calibri" w:eastAsia="Calibri" w:hAnsi="Calibri" w:cs="Calibri"/>
          <w:b/>
          <w:bCs/>
        </w:rPr>
        <w:t>UK Biobank GWAS summary statistics.</w:t>
      </w:r>
    </w:p>
    <w:p w14:paraId="044F3F10" w14:textId="3428FA52" w:rsidR="00496154" w:rsidRDefault="00496154" w:rsidP="007A0612">
      <w:pPr>
        <w:spacing w:after="0"/>
        <w:rPr>
          <w:rFonts w:ascii="Calibri" w:eastAsia="Calibri" w:hAnsi="Calibri" w:cs="Calibri"/>
          <w:b/>
          <w:bCs/>
        </w:rPr>
      </w:pPr>
      <w:r>
        <w:rPr>
          <w:rFonts w:ascii="Calibri" w:eastAsia="Calibri" w:hAnsi="Calibri" w:cs="Calibri"/>
          <w:b/>
          <w:bCs/>
        </w:rPr>
        <w:br/>
      </w:r>
      <w:r w:rsidR="00BE7CC3">
        <w:rPr>
          <w:rFonts w:ascii="Calibri" w:eastAsia="Calibri" w:hAnsi="Calibri" w:cs="Calibri"/>
          <w:b/>
          <w:bCs/>
          <w:noProof/>
        </w:rPr>
        <w:drawing>
          <wp:inline distT="0" distB="0" distL="0" distR="0" wp14:anchorId="3F06B680" wp14:editId="294BDEBF">
            <wp:extent cx="5943600" cy="3962400"/>
            <wp:effectExtent l="0" t="0" r="0" b="0"/>
            <wp:docPr id="1" name="Picture 1" descr="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10;&#10;Description automatically generated with low confidence"/>
                    <pic:cNvPicPr/>
                  </pic:nvPicPr>
                  <pic:blipFill>
                    <a:blip r:embed="rId8">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p>
    <w:p w14:paraId="1227F302" w14:textId="77777777" w:rsidR="00496154" w:rsidRDefault="00496154">
      <w:pPr>
        <w:rPr>
          <w:rFonts w:ascii="Calibri" w:eastAsia="Calibri" w:hAnsi="Calibri" w:cs="Calibri"/>
          <w:b/>
          <w:bCs/>
        </w:rPr>
      </w:pPr>
      <w:r>
        <w:rPr>
          <w:rFonts w:ascii="Calibri" w:eastAsia="Calibri" w:hAnsi="Calibri" w:cs="Calibri"/>
          <w:b/>
          <w:bCs/>
        </w:rPr>
        <w:br w:type="page"/>
      </w:r>
    </w:p>
    <w:p w14:paraId="6F7D0679" w14:textId="1D5B2466" w:rsidR="004014D8" w:rsidRPr="00365A5E" w:rsidRDefault="002E3156" w:rsidP="00006930">
      <w:pPr>
        <w:spacing w:after="0"/>
        <w:rPr>
          <w:color w:val="4472C4" w:themeColor="accent1"/>
        </w:rPr>
      </w:pPr>
      <w:r>
        <w:rPr>
          <w:rFonts w:ascii="Calibri" w:eastAsia="Calibri" w:hAnsi="Calibri" w:cs="Calibri"/>
          <w:b/>
          <w:bCs/>
        </w:rPr>
        <w:lastRenderedPageBreak/>
        <w:t>Figure S</w:t>
      </w:r>
      <w:r>
        <w:rPr>
          <w:rFonts w:ascii="Calibri" w:eastAsia="Calibri" w:hAnsi="Calibri" w:cs="Calibri"/>
          <w:b/>
          <w:bCs/>
        </w:rPr>
        <w:t>6</w:t>
      </w:r>
      <w:r w:rsidRPr="155DDB23">
        <w:rPr>
          <w:rFonts w:ascii="Calibri" w:eastAsia="Calibri" w:hAnsi="Calibri" w:cs="Calibri"/>
          <w:b/>
          <w:bCs/>
        </w:rPr>
        <w:t xml:space="preserve">. </w:t>
      </w:r>
      <w:r w:rsidR="00006930" w:rsidRPr="00006930">
        <w:rPr>
          <w:rFonts w:ascii="Calibri" w:eastAsia="Calibri" w:hAnsi="Calibri" w:cs="Calibri"/>
          <w:b/>
          <w:bCs/>
        </w:rPr>
        <w:t xml:space="preserve">Effect size estimates for significant autosomal SNPs are largely concordant between sexes.  </w:t>
      </w:r>
      <w:r w:rsidR="004014D8" w:rsidRPr="00365A5E">
        <w:rPr>
          <w:rFonts w:ascii="Calibri" w:eastAsia="Times New Roman" w:hAnsi="Calibri" w:cs="Calibri"/>
          <w:noProof/>
          <w:color w:val="4472C4" w:themeColor="accent1"/>
        </w:rPr>
        <w:drawing>
          <wp:inline distT="0" distB="0" distL="0" distR="0" wp14:anchorId="649E8B4C" wp14:editId="3152BDE0">
            <wp:extent cx="5943600" cy="3667760"/>
            <wp:effectExtent l="0" t="0" r="0" b="8890"/>
            <wp:docPr id="4" name="Picture 4"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scatter cha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5943600" cy="3667760"/>
                    </a:xfrm>
                    <a:prstGeom prst="rect">
                      <a:avLst/>
                    </a:prstGeom>
                  </pic:spPr>
                </pic:pic>
              </a:graphicData>
            </a:graphic>
          </wp:inline>
        </w:drawing>
      </w:r>
    </w:p>
    <w:p w14:paraId="7AC84146" w14:textId="45A32D98" w:rsidR="004014D8" w:rsidRPr="003838FF" w:rsidRDefault="009230C1" w:rsidP="002E3156">
      <w:pPr>
        <w:spacing w:after="0"/>
        <w:rPr>
          <w:rFonts w:ascii="Calibri" w:eastAsia="Calibri" w:hAnsi="Calibri" w:cs="Calibri"/>
        </w:rPr>
      </w:pPr>
      <w:r>
        <w:rPr>
          <w:rFonts w:ascii="Calibri" w:eastAsia="Calibri" w:hAnsi="Calibri" w:cs="Calibri"/>
        </w:rPr>
        <w:t>The e</w:t>
      </w:r>
      <w:r w:rsidR="003838FF" w:rsidRPr="003838FF">
        <w:rPr>
          <w:rFonts w:ascii="Calibri" w:eastAsia="Calibri" w:hAnsi="Calibri" w:cs="Calibri"/>
        </w:rPr>
        <w:t xml:space="preserve">ffect size estimates for </w:t>
      </w:r>
      <w:r w:rsidR="00D529B4">
        <w:rPr>
          <w:rFonts w:ascii="Calibri" w:eastAsia="Calibri" w:hAnsi="Calibri" w:cs="Calibri"/>
        </w:rPr>
        <w:t>the association</w:t>
      </w:r>
      <w:r w:rsidR="003838FF">
        <w:rPr>
          <w:rFonts w:ascii="Calibri" w:eastAsia="Calibri" w:hAnsi="Calibri" w:cs="Calibri"/>
        </w:rPr>
        <w:t xml:space="preserve"> between </w:t>
      </w:r>
      <w:r w:rsidR="002F4FA1">
        <w:rPr>
          <w:rFonts w:ascii="Calibri" w:eastAsia="Calibri" w:hAnsi="Calibri" w:cs="Calibri"/>
        </w:rPr>
        <w:t xml:space="preserve">autosomal </w:t>
      </w:r>
      <w:r w:rsidR="003838FF">
        <w:rPr>
          <w:rFonts w:ascii="Calibri" w:eastAsia="Calibri" w:hAnsi="Calibri" w:cs="Calibri"/>
        </w:rPr>
        <w:t xml:space="preserve">SNPs and mtDNA-CN </w:t>
      </w:r>
      <w:r w:rsidR="002F4FA1">
        <w:rPr>
          <w:rFonts w:ascii="Calibri" w:eastAsia="Calibri" w:hAnsi="Calibri" w:cs="Calibri"/>
        </w:rPr>
        <w:t>are</w:t>
      </w:r>
      <w:r w:rsidR="003838FF">
        <w:rPr>
          <w:rFonts w:ascii="Calibri" w:eastAsia="Calibri" w:hAnsi="Calibri" w:cs="Calibri"/>
        </w:rPr>
        <w:t xml:space="preserve"> largely concordant between males and female</w:t>
      </w:r>
      <w:r w:rsidR="002C1D73">
        <w:rPr>
          <w:rFonts w:ascii="Calibri" w:eastAsia="Calibri" w:hAnsi="Calibri" w:cs="Calibri"/>
        </w:rPr>
        <w:t>s</w:t>
      </w:r>
      <w:r w:rsidR="003838FF">
        <w:rPr>
          <w:rFonts w:ascii="Calibri" w:eastAsia="Calibri" w:hAnsi="Calibri" w:cs="Calibri"/>
        </w:rPr>
        <w:t xml:space="preserve">. </w:t>
      </w:r>
    </w:p>
    <w:p w14:paraId="5AF252EC" w14:textId="77777777" w:rsidR="002E3156" w:rsidRDefault="002E3156">
      <w:pPr>
        <w:rPr>
          <w:rFonts w:ascii="Calibri" w:eastAsia="Calibri" w:hAnsi="Calibri" w:cs="Calibri"/>
          <w:b/>
          <w:bCs/>
        </w:rPr>
      </w:pPr>
      <w:r>
        <w:rPr>
          <w:rFonts w:ascii="Calibri" w:eastAsia="Calibri" w:hAnsi="Calibri" w:cs="Calibri"/>
          <w:b/>
          <w:bCs/>
        </w:rPr>
        <w:br w:type="page"/>
      </w:r>
    </w:p>
    <w:p w14:paraId="6026CA52" w14:textId="083E593E" w:rsidR="007A0612" w:rsidRDefault="00B53FC2" w:rsidP="007A0612">
      <w:pPr>
        <w:spacing w:after="0"/>
        <w:rPr>
          <w:rFonts w:ascii="Calibri" w:eastAsia="Calibri" w:hAnsi="Calibri" w:cs="Calibri"/>
          <w:b/>
          <w:bCs/>
        </w:rPr>
      </w:pPr>
      <w:r>
        <w:rPr>
          <w:rFonts w:ascii="Calibri" w:eastAsia="Calibri" w:hAnsi="Calibri" w:cs="Calibri"/>
          <w:b/>
          <w:bCs/>
        </w:rPr>
        <w:lastRenderedPageBreak/>
        <w:t xml:space="preserve">Figure </w:t>
      </w:r>
      <w:r w:rsidR="007A0612">
        <w:rPr>
          <w:rFonts w:ascii="Calibri" w:eastAsia="Calibri" w:hAnsi="Calibri" w:cs="Calibri"/>
          <w:b/>
          <w:bCs/>
        </w:rPr>
        <w:t>S</w:t>
      </w:r>
      <w:r w:rsidR="00A428CD">
        <w:rPr>
          <w:rFonts w:ascii="Calibri" w:eastAsia="Calibri" w:hAnsi="Calibri" w:cs="Calibri"/>
          <w:b/>
          <w:bCs/>
        </w:rPr>
        <w:t>7</w:t>
      </w:r>
      <w:r w:rsidR="007A0612" w:rsidRPr="155DDB23">
        <w:rPr>
          <w:rFonts w:ascii="Calibri" w:eastAsia="Calibri" w:hAnsi="Calibri" w:cs="Calibri"/>
          <w:b/>
          <w:bCs/>
        </w:rPr>
        <w:t xml:space="preserve">. </w:t>
      </w:r>
      <w:r w:rsidR="00F377E1">
        <w:rPr>
          <w:rFonts w:ascii="Calibri" w:eastAsia="Calibri" w:hAnsi="Calibri" w:cs="Calibri"/>
          <w:b/>
          <w:bCs/>
        </w:rPr>
        <w:t>SusieR fine-mapping results.</w:t>
      </w:r>
    </w:p>
    <w:p w14:paraId="4B2CA7B8" w14:textId="77777777" w:rsidR="007A0612" w:rsidRPr="00132683" w:rsidRDefault="007A0612" w:rsidP="007A0612">
      <w:pPr>
        <w:spacing w:after="0"/>
        <w:rPr>
          <w:rFonts w:ascii="Calibri" w:eastAsia="Calibri" w:hAnsi="Calibri" w:cs="Calibri"/>
          <w:b/>
          <w:bCs/>
        </w:rPr>
      </w:pPr>
      <w:r>
        <w:rPr>
          <w:noProof/>
          <w:sz w:val="16"/>
          <w:szCs w:val="16"/>
        </w:rPr>
        <w:drawing>
          <wp:inline distT="0" distB="0" distL="0" distR="0" wp14:anchorId="18172901" wp14:editId="4B8CC9EE">
            <wp:extent cx="5164111" cy="3110459"/>
            <wp:effectExtent l="0" t="0" r="508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10">
                      <a:extLst>
                        <a:ext uri="{28A0092B-C50C-407E-A947-70E740481C1C}">
                          <a14:useLocalDpi xmlns:a14="http://schemas.microsoft.com/office/drawing/2010/main" val="0"/>
                        </a:ext>
                      </a:extLst>
                    </a:blip>
                    <a:srcRect l="6810" t="14360" r="6299" b="17913"/>
                    <a:stretch/>
                  </pic:blipFill>
                  <pic:spPr bwMode="auto">
                    <a:xfrm>
                      <a:off x="0" y="0"/>
                      <a:ext cx="5164480" cy="3110681"/>
                    </a:xfrm>
                    <a:prstGeom prst="rect">
                      <a:avLst/>
                    </a:prstGeom>
                    <a:ln>
                      <a:noFill/>
                    </a:ln>
                    <a:extLst>
                      <a:ext uri="{53640926-AAD7-44D8-BBD7-CCE9431645EC}">
                        <a14:shadowObscured xmlns:a14="http://schemas.microsoft.com/office/drawing/2010/main"/>
                      </a:ext>
                    </a:extLst>
                  </pic:spPr>
                </pic:pic>
              </a:graphicData>
            </a:graphic>
          </wp:inline>
        </w:drawing>
      </w:r>
    </w:p>
    <w:p w14:paraId="29884AAC" w14:textId="5296260E" w:rsidR="00F377E1" w:rsidRPr="00F377E1" w:rsidRDefault="00F377E1" w:rsidP="00F377E1">
      <w:pPr>
        <w:spacing w:after="0"/>
        <w:rPr>
          <w:rFonts w:ascii="Calibri" w:eastAsia="Calibri" w:hAnsi="Calibri" w:cs="Calibri"/>
        </w:rPr>
      </w:pPr>
      <w:r w:rsidRPr="00F377E1">
        <w:rPr>
          <w:rFonts w:ascii="Calibri" w:eastAsia="Calibri" w:hAnsi="Calibri" w:cs="Calibri"/>
        </w:rPr>
        <w:t xml:space="preserve">A. Out of 129 independent </w:t>
      </w:r>
      <w:r w:rsidR="004E268E">
        <w:rPr>
          <w:rFonts w:ascii="Calibri" w:eastAsia="Calibri" w:hAnsi="Calibri" w:cs="Calibri"/>
        </w:rPr>
        <w:t xml:space="preserve">autosomal </w:t>
      </w:r>
      <w:r w:rsidRPr="00F377E1">
        <w:rPr>
          <w:rFonts w:ascii="Calibri" w:eastAsia="Calibri" w:hAnsi="Calibri" w:cs="Calibri"/>
        </w:rPr>
        <w:t>signals, susieR was able to resolve 122 credible sets in 89 regions. B. In each credible set, 62 credible sets were mapped to fewer than 10 variants. C. In 38 credible sets identified by susieR, the SNP with the highest PIP had a PIP greater than 50%. D. Of all the top SNPs for each credible set, 14 appeared in exonic regions, and 12 of those were missense mutations.</w:t>
      </w:r>
    </w:p>
    <w:p w14:paraId="11B6898A" w14:textId="77777777" w:rsidR="007A0612" w:rsidRPr="007A221A" w:rsidRDefault="007A0612" w:rsidP="007A0612">
      <w:pPr>
        <w:pStyle w:val="paragraph"/>
        <w:spacing w:before="0" w:beforeAutospacing="0" w:after="0" w:afterAutospacing="0"/>
      </w:pPr>
    </w:p>
    <w:p w14:paraId="22C72C01" w14:textId="4D758D1D" w:rsidR="007A0612" w:rsidRPr="00A25589" w:rsidRDefault="007A0612" w:rsidP="007A0612">
      <w:pPr>
        <w:rPr>
          <w:rFonts w:ascii="Calibri" w:eastAsia="Times New Roman" w:hAnsi="Calibri" w:cs="Calibri"/>
          <w:b/>
          <w:bCs/>
        </w:rPr>
      </w:pPr>
      <w:r w:rsidRPr="00A25589">
        <w:rPr>
          <w:rFonts w:ascii="Calibri" w:hAnsi="Calibri" w:cs="Calibri"/>
          <w:b/>
          <w:bCs/>
        </w:rPr>
        <w:br w:type="page"/>
      </w:r>
      <w:r>
        <w:rPr>
          <w:rFonts w:ascii="Calibri" w:hAnsi="Calibri" w:cs="Calibri"/>
          <w:b/>
          <w:bCs/>
        </w:rPr>
        <w:lastRenderedPageBreak/>
        <w:t>Figure S</w:t>
      </w:r>
      <w:r w:rsidR="00A428CD">
        <w:rPr>
          <w:rFonts w:ascii="Calibri" w:hAnsi="Calibri" w:cs="Calibri"/>
          <w:b/>
          <w:bCs/>
        </w:rPr>
        <w:t>8</w:t>
      </w:r>
      <w:r w:rsidRPr="00A25589">
        <w:rPr>
          <w:rFonts w:ascii="Calibri" w:hAnsi="Calibri" w:cs="Calibri"/>
          <w:b/>
          <w:bCs/>
        </w:rPr>
        <w:t xml:space="preserve">. ReviGO visualization of gene sets that are enriched for significantly associated MetaXcan genes. </w:t>
      </w:r>
    </w:p>
    <w:p w14:paraId="4DEFF708" w14:textId="09554FCB" w:rsidR="007A0612" w:rsidRDefault="007A0612" w:rsidP="007A0612">
      <w:pPr>
        <w:rPr>
          <w:rFonts w:ascii="Calibri" w:eastAsiaTheme="minorEastAsia" w:hAnsi="Calibri" w:cs="Calibri"/>
        </w:rPr>
      </w:pPr>
      <w:r>
        <w:rPr>
          <w:noProof/>
        </w:rPr>
        <w:drawing>
          <wp:inline distT="0" distB="0" distL="0" distR="0" wp14:anchorId="732B7CA2" wp14:editId="66595680">
            <wp:extent cx="5943600" cy="3310890"/>
            <wp:effectExtent l="0" t="0" r="0" b="3810"/>
            <wp:docPr id="2" name="Picture 2" descr="Chart, diagram, bubbl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5943600" cy="3310890"/>
                    </a:xfrm>
                    <a:prstGeom prst="rect">
                      <a:avLst/>
                    </a:prstGeom>
                  </pic:spPr>
                </pic:pic>
              </a:graphicData>
            </a:graphic>
          </wp:inline>
        </w:drawing>
      </w:r>
    </w:p>
    <w:p w14:paraId="28E2CE7A" w14:textId="42B53945" w:rsidR="00786C8E" w:rsidRPr="004C017F" w:rsidRDefault="00BA0C83" w:rsidP="007A0612">
      <w:pPr>
        <w:rPr>
          <w:rFonts w:ascii="Calibri" w:eastAsiaTheme="minorEastAsia" w:hAnsi="Calibri" w:cs="Calibri"/>
        </w:rPr>
      </w:pPr>
      <w:r>
        <w:rPr>
          <w:rFonts w:ascii="Calibri" w:hAnsi="Calibri" w:cs="Calibri"/>
        </w:rPr>
        <w:t xml:space="preserve">Gene sets that are significantly enriched in for genes with predicted gene expression that is associated with mtDNA-CN. </w:t>
      </w:r>
      <w:r w:rsidR="00786C8E" w:rsidRPr="004C017F">
        <w:rPr>
          <w:rFonts w:ascii="Calibri" w:hAnsi="Calibri" w:cs="Calibri"/>
        </w:rPr>
        <w:t>Only terms with a p-value &lt; 0.01 were included in this graph. X and Y axes represent semantic similarity between GO terms.</w:t>
      </w:r>
    </w:p>
    <w:p w14:paraId="1809E8F2" w14:textId="4958F83F" w:rsidR="00962E2A" w:rsidRPr="005554F5" w:rsidRDefault="007A0612" w:rsidP="002B3875">
      <w:pPr>
        <w:pStyle w:val="paragraph"/>
        <w:spacing w:before="0" w:beforeAutospacing="0" w:after="0" w:afterAutospacing="0"/>
        <w:rPr>
          <w:rFonts w:ascii="Calibri" w:hAnsi="Calibri" w:cs="Calibri"/>
          <w:sz w:val="28"/>
          <w:szCs w:val="28"/>
        </w:rPr>
      </w:pPr>
      <w:r>
        <w:rPr>
          <w:rFonts w:ascii="Calibri" w:eastAsiaTheme="minorEastAsia" w:hAnsi="Calibri" w:cs="Calibri"/>
        </w:rPr>
        <w:br w:type="column"/>
      </w:r>
      <w:r w:rsidR="00962E2A" w:rsidRPr="005554F5">
        <w:rPr>
          <w:rFonts w:ascii="Calibri" w:hAnsi="Calibri" w:cs="Calibri"/>
          <w:b/>
          <w:bCs/>
          <w:sz w:val="28"/>
          <w:szCs w:val="28"/>
        </w:rPr>
        <w:lastRenderedPageBreak/>
        <w:t>Supplemental Methods</w:t>
      </w:r>
    </w:p>
    <w:p w14:paraId="4F3A508C" w14:textId="77777777" w:rsidR="00962E2A" w:rsidRPr="005554F5" w:rsidRDefault="00962E2A" w:rsidP="00962E2A">
      <w:pPr>
        <w:spacing w:after="0" w:line="240" w:lineRule="auto"/>
        <w:rPr>
          <w:rFonts w:ascii="Calibri" w:hAnsi="Calibri" w:cs="Calibri"/>
          <w:b/>
          <w:bCs/>
        </w:rPr>
      </w:pPr>
    </w:p>
    <w:p w14:paraId="0B30F363" w14:textId="77777777" w:rsidR="00962E2A" w:rsidRDefault="00962E2A" w:rsidP="00962E2A">
      <w:pPr>
        <w:spacing w:line="257" w:lineRule="auto"/>
      </w:pPr>
      <w:r w:rsidRPr="005554F5">
        <w:rPr>
          <w:rFonts w:ascii="Calibri" w:eastAsia="Calibri" w:hAnsi="Calibri" w:cs="Calibri"/>
          <w:b/>
          <w:bCs/>
        </w:rPr>
        <w:t>UKB mtDNA-CN derivation.</w:t>
      </w:r>
      <w:r w:rsidRPr="005554F5">
        <w:rPr>
          <w:rFonts w:ascii="Calibri" w:eastAsia="Calibri" w:hAnsi="Calibri" w:cs="Calibri"/>
        </w:rPr>
        <w:t xml:space="preserve"> We started with 49,997 Exome SPB CRAM files (version Jul 2018) downloaded from the UKB</w:t>
      </w:r>
      <w:r w:rsidRPr="7F587BE9">
        <w:rPr>
          <w:rFonts w:ascii="Calibri" w:eastAsia="Calibri" w:hAnsi="Calibri" w:cs="Calibri"/>
        </w:rPr>
        <w:t xml:space="preserve"> data repository, and used Samtools (ver1.9) to extract read summary statistics (‘idxstats’ command). A custom perl script was used to aggregate the summary statistics from each individual file into the following categories (see perl script and example stats file): 1) Total Reads (sum of columns 3 and 4, across all rows), 2) Mapped Reads (sum of column 3, across all rows), 3) Unmapped Reads (some of column 4 across all rows), 4) Autosomal Reads (sum of column 3, rows 1-22), 5) Chr X, 6) Chr Y, 7) Chr MT, 8) ‘Random’ Reads (sum of column 3, across rows 26-67), 9) ‘Unknown’ Reads (sum of column 3 across rows 68-194), 10) EBV Reads, 11) ‘Decoy1’ Reads (sum of column 3 across rows 196-582), 12) ‘Decoy2’ Reads (sum of column 3 across rows 583-2580). Linear regression models were used to adjust for total DNA and potential technical artifacts. Specifically, we used 10-fold cross validation for variable selection, using the ‘leaps’ R package (version 3.0), with an initial model with chrMT read count as the dependent variable, and ‘Total’, ‘Mapped’, ‘unknown’, ‘random’, ‘decoy1’ and ‘decoy2’ read counts as the independent variables. For each of the independent variables, we included a natural spline with df=4 to allow for non-linear effects. The independent variables ‘Total’, ‘unknown’, ‘decoy1’ and ‘decoy2’ read counts were selected. We then increased the natural spline df to 15, and then used backward selection to reduction model complexity, requiring P&lt;0.005 to keep a term in the model. The final regression model residuals were generated with the following R (version 3.6.0) code: </w:t>
      </w:r>
    </w:p>
    <w:p w14:paraId="6FF5DF59" w14:textId="77777777" w:rsidR="00962E2A" w:rsidRDefault="00962E2A" w:rsidP="00962E2A">
      <w:pPr>
        <w:spacing w:line="257" w:lineRule="auto"/>
      </w:pPr>
      <w:r w:rsidRPr="7F587BE9">
        <w:rPr>
          <w:rFonts w:ascii="Calibri" w:eastAsia="Calibri" w:hAnsi="Calibri" w:cs="Calibri"/>
        </w:rPr>
        <w:t>WES.mtDNA=residuals(lm(chrMT ~ ns(Total,df=3) + ns(unknown,df=4) + ns(decoy1,df=7) + decoy2))</w:t>
      </w:r>
    </w:p>
    <w:p w14:paraId="468656FD" w14:textId="4BE05B37" w:rsidR="00962E2A" w:rsidRDefault="00962E2A" w:rsidP="00962E2A">
      <w:pPr>
        <w:spacing w:line="257" w:lineRule="auto"/>
        <w:rPr>
          <w:rFonts w:ascii="Calibri" w:eastAsia="Calibri" w:hAnsi="Calibri" w:cs="Calibri"/>
        </w:rPr>
      </w:pPr>
      <w:r w:rsidRPr="5185855B">
        <w:rPr>
          <w:rFonts w:ascii="Calibri" w:eastAsia="Calibri" w:hAnsi="Calibri" w:cs="Calibri"/>
        </w:rPr>
        <w:t xml:space="preserve">Mitochondrial SNP probe intensities were obtained from the “ukb_chrMT_l2r.txt” file downloaded from the UKBiobank, and samples were stratified by array type (UK BiLEVE, Axiom). To correct for potential artifacts and/or batch effects, we generated 250 </w:t>
      </w:r>
      <w:r w:rsidR="002C0FCA">
        <w:rPr>
          <w:rFonts w:ascii="Calibri" w:eastAsia="Calibri" w:hAnsi="Calibri" w:cs="Calibri"/>
        </w:rPr>
        <w:t>genotyping principal components</w:t>
      </w:r>
      <w:r w:rsidRPr="5185855B">
        <w:rPr>
          <w:rFonts w:ascii="Calibri" w:eastAsia="Calibri" w:hAnsi="Calibri" w:cs="Calibri"/>
        </w:rPr>
        <w:t xml:space="preserve"> (PCs) using the ‘rpca’ command from the ‘rsvd’ package (version 1.0.3) from autosomal nuclear probes by randomly sampling 5% of probes from either even or odd chromosomes that were required to be present on both array types (n~19,500 probes). Note that we generated the two independent sets of PCs so that we could ensure that probe selection for PCA did not bias results. Prior to PCA, all probe intensities were rank transformed to reduce the impact of any outliers. For each array type, all mitochondrial SNP probes (UKBelieve, n=181; Axiom, n=244) along with the 250 PCs were regressed on the ‘WES.mtDNA’ metric derived as described above. Beta estimates from these analyses were then used to generate fitted values in the full UKBiobank dataset using the ‘predict’ function (‘array.mtDNA’).</w:t>
      </w:r>
    </w:p>
    <w:p w14:paraId="2AC3F2EA" w14:textId="77777777" w:rsidR="00962E2A" w:rsidRDefault="00962E2A" w:rsidP="00962E2A">
      <w:pPr>
        <w:spacing w:line="257" w:lineRule="auto"/>
        <w:rPr>
          <w:rFonts w:ascii="Calibri" w:eastAsia="Calibri" w:hAnsi="Calibri" w:cs="Calibri"/>
        </w:rPr>
      </w:pPr>
      <w:r w:rsidRPr="7F587BE9">
        <w:rPr>
          <w:rFonts w:ascii="Calibri" w:eastAsia="Calibri" w:hAnsi="Calibri" w:cs="Calibri"/>
        </w:rPr>
        <w:t>Given the known impact of age, sex, and cell counts on mtDNA-CN, we first used visual inspection to identify outliers for cell counts:</w:t>
      </w:r>
    </w:p>
    <w:p w14:paraId="3A4ACE07" w14:textId="7A8B1F65" w:rsidR="00962E2A" w:rsidRDefault="00962E2A" w:rsidP="00962E2A">
      <w:pPr>
        <w:spacing w:after="0" w:line="257" w:lineRule="auto"/>
      </w:pPr>
      <w:r w:rsidRPr="7F587BE9">
        <w:rPr>
          <w:rFonts w:ascii="Calibri" w:eastAsia="Calibri" w:hAnsi="Calibri" w:cs="Calibri"/>
        </w:rPr>
        <w:t>Log(WBC</w:t>
      </w:r>
      <w:r w:rsidR="009C239E">
        <w:rPr>
          <w:rFonts w:ascii="Calibri" w:eastAsia="Calibri" w:hAnsi="Calibri" w:cs="Calibri"/>
        </w:rPr>
        <w:t>+1</w:t>
      </w:r>
      <w:r w:rsidRPr="7F587BE9">
        <w:rPr>
          <w:rFonts w:ascii="Calibri" w:eastAsia="Calibri" w:hAnsi="Calibri" w:cs="Calibri"/>
        </w:rPr>
        <w:t>) ≤1.25 or ≥3</w:t>
      </w:r>
    </w:p>
    <w:p w14:paraId="62CEC645" w14:textId="30554B25" w:rsidR="00962E2A" w:rsidRDefault="00962E2A" w:rsidP="00962E2A">
      <w:pPr>
        <w:spacing w:after="0" w:line="257" w:lineRule="auto"/>
      </w:pPr>
      <w:r w:rsidRPr="7F587BE9">
        <w:rPr>
          <w:rFonts w:ascii="Calibri" w:eastAsia="Calibri" w:hAnsi="Calibri" w:cs="Calibri"/>
        </w:rPr>
        <w:t>Log(RBC</w:t>
      </w:r>
      <w:r w:rsidR="009C239E">
        <w:rPr>
          <w:rFonts w:ascii="Calibri" w:eastAsia="Calibri" w:hAnsi="Calibri" w:cs="Calibri"/>
        </w:rPr>
        <w:t>+1</w:t>
      </w:r>
      <w:r w:rsidRPr="7F587BE9">
        <w:rPr>
          <w:rFonts w:ascii="Calibri" w:eastAsia="Calibri" w:hAnsi="Calibri" w:cs="Calibri"/>
        </w:rPr>
        <w:t>) ≤1.4 or ≥2</w:t>
      </w:r>
    </w:p>
    <w:p w14:paraId="31993C34" w14:textId="77777777" w:rsidR="00962E2A" w:rsidRDefault="00962E2A" w:rsidP="00962E2A">
      <w:pPr>
        <w:spacing w:after="0" w:line="257" w:lineRule="auto"/>
      </w:pPr>
      <w:r w:rsidRPr="7F587BE9">
        <w:rPr>
          <w:rFonts w:ascii="Calibri" w:eastAsia="Calibri" w:hAnsi="Calibri" w:cs="Calibri"/>
        </w:rPr>
        <w:t>Platelet ≤10 or ≥500</w:t>
      </w:r>
    </w:p>
    <w:p w14:paraId="5EA76963" w14:textId="0768E31F" w:rsidR="00962E2A" w:rsidRDefault="00962E2A" w:rsidP="00962E2A">
      <w:pPr>
        <w:spacing w:after="0" w:line="257" w:lineRule="auto"/>
      </w:pPr>
      <w:r w:rsidRPr="7F587BE9">
        <w:rPr>
          <w:rFonts w:ascii="Calibri" w:eastAsia="Calibri" w:hAnsi="Calibri" w:cs="Calibri"/>
        </w:rPr>
        <w:t>Log(Lymphocyte</w:t>
      </w:r>
      <w:r w:rsidR="000B5A3E">
        <w:rPr>
          <w:rFonts w:ascii="Calibri" w:eastAsia="Calibri" w:hAnsi="Calibri" w:cs="Calibri"/>
        </w:rPr>
        <w:t>+1</w:t>
      </w:r>
      <w:r w:rsidRPr="7F587BE9">
        <w:rPr>
          <w:rFonts w:ascii="Calibri" w:eastAsia="Calibri" w:hAnsi="Calibri" w:cs="Calibri"/>
        </w:rPr>
        <w:t>) ≤0.10 or ≥2</w:t>
      </w:r>
    </w:p>
    <w:p w14:paraId="5782D447" w14:textId="2066439F" w:rsidR="00962E2A" w:rsidRDefault="00962E2A" w:rsidP="00962E2A">
      <w:pPr>
        <w:spacing w:after="0" w:line="257" w:lineRule="auto"/>
      </w:pPr>
      <w:r w:rsidRPr="7F587BE9">
        <w:rPr>
          <w:rFonts w:ascii="Calibri" w:eastAsia="Calibri" w:hAnsi="Calibri" w:cs="Calibri"/>
        </w:rPr>
        <w:t>Log(Mono</w:t>
      </w:r>
      <w:r w:rsidR="000B5A3E">
        <w:rPr>
          <w:rFonts w:ascii="Calibri" w:eastAsia="Calibri" w:hAnsi="Calibri" w:cs="Calibri"/>
        </w:rPr>
        <w:t>+1</w:t>
      </w:r>
      <w:r w:rsidRPr="7F587BE9">
        <w:rPr>
          <w:rFonts w:ascii="Calibri" w:eastAsia="Calibri" w:hAnsi="Calibri" w:cs="Calibri"/>
        </w:rPr>
        <w:t>) ≥0.9</w:t>
      </w:r>
    </w:p>
    <w:p w14:paraId="5116956A" w14:textId="51432F07" w:rsidR="00962E2A" w:rsidRDefault="00962E2A" w:rsidP="00962E2A">
      <w:pPr>
        <w:spacing w:after="0" w:line="257" w:lineRule="auto"/>
      </w:pPr>
      <w:r w:rsidRPr="7F587BE9">
        <w:rPr>
          <w:rFonts w:ascii="Calibri" w:eastAsia="Calibri" w:hAnsi="Calibri" w:cs="Calibri"/>
        </w:rPr>
        <w:t>Log(Neutrophil</w:t>
      </w:r>
      <w:r w:rsidR="000B5A3E">
        <w:rPr>
          <w:rFonts w:ascii="Calibri" w:eastAsia="Calibri" w:hAnsi="Calibri" w:cs="Calibri"/>
        </w:rPr>
        <w:t>+1</w:t>
      </w:r>
      <w:r w:rsidRPr="7F587BE9">
        <w:rPr>
          <w:rFonts w:ascii="Calibri" w:eastAsia="Calibri" w:hAnsi="Calibri" w:cs="Calibri"/>
        </w:rPr>
        <w:t>) ≤0.75 or ≥2.75</w:t>
      </w:r>
    </w:p>
    <w:p w14:paraId="6A6ED361" w14:textId="14A2CE74" w:rsidR="00962E2A" w:rsidRDefault="00962E2A" w:rsidP="00962E2A">
      <w:pPr>
        <w:spacing w:after="0" w:line="257" w:lineRule="auto"/>
      </w:pPr>
      <w:r w:rsidRPr="7F587BE9">
        <w:rPr>
          <w:rFonts w:ascii="Calibri" w:eastAsia="Calibri" w:hAnsi="Calibri" w:cs="Calibri"/>
        </w:rPr>
        <w:t>Log(Eos</w:t>
      </w:r>
      <w:r w:rsidR="00C248EB">
        <w:rPr>
          <w:rFonts w:ascii="Calibri" w:eastAsia="Calibri" w:hAnsi="Calibri" w:cs="Calibri"/>
        </w:rPr>
        <w:t>+1</w:t>
      </w:r>
      <w:r w:rsidRPr="7F587BE9">
        <w:rPr>
          <w:rFonts w:ascii="Calibri" w:eastAsia="Calibri" w:hAnsi="Calibri" w:cs="Calibri"/>
        </w:rPr>
        <w:t>) ≥0.75</w:t>
      </w:r>
    </w:p>
    <w:p w14:paraId="38B02234" w14:textId="03B82279" w:rsidR="00962E2A" w:rsidRDefault="00962E2A" w:rsidP="00962E2A">
      <w:pPr>
        <w:spacing w:after="0" w:line="257" w:lineRule="auto"/>
      </w:pPr>
      <w:r w:rsidRPr="7F587BE9">
        <w:rPr>
          <w:rFonts w:ascii="Calibri" w:eastAsia="Calibri" w:hAnsi="Calibri" w:cs="Calibri"/>
        </w:rPr>
        <w:t>Log(Baso</w:t>
      </w:r>
      <w:r w:rsidR="00C248EB">
        <w:rPr>
          <w:rFonts w:ascii="Calibri" w:eastAsia="Calibri" w:hAnsi="Calibri" w:cs="Calibri"/>
        </w:rPr>
        <w:t>+1</w:t>
      </w:r>
      <w:r w:rsidRPr="7F587BE9">
        <w:rPr>
          <w:rFonts w:ascii="Calibri" w:eastAsia="Calibri" w:hAnsi="Calibri" w:cs="Calibri"/>
        </w:rPr>
        <w:t>) ≥0.45</w:t>
      </w:r>
    </w:p>
    <w:p w14:paraId="581D094B" w14:textId="77777777" w:rsidR="00962E2A" w:rsidRDefault="00962E2A" w:rsidP="00962E2A">
      <w:pPr>
        <w:spacing w:line="257" w:lineRule="auto"/>
      </w:pPr>
      <w:r w:rsidRPr="7F587BE9">
        <w:rPr>
          <w:rFonts w:ascii="Calibri" w:eastAsia="Calibri" w:hAnsi="Calibri" w:cs="Calibri"/>
          <w:b/>
          <w:bCs/>
        </w:rPr>
        <w:lastRenderedPageBreak/>
        <w:t xml:space="preserve"> </w:t>
      </w:r>
    </w:p>
    <w:p w14:paraId="6CFA6B5E" w14:textId="24A09AA8" w:rsidR="00962E2A" w:rsidRDefault="00962E2A" w:rsidP="00962E2A">
      <w:pPr>
        <w:spacing w:line="257" w:lineRule="auto"/>
        <w:rPr>
          <w:rFonts w:ascii="Calibri" w:eastAsia="Calibri" w:hAnsi="Calibri" w:cs="Calibri"/>
        </w:rPr>
      </w:pPr>
      <w:r w:rsidRPr="7F587BE9">
        <w:rPr>
          <w:rFonts w:ascii="Calibri" w:eastAsia="Calibri" w:hAnsi="Calibri" w:cs="Calibri"/>
        </w:rPr>
        <w:t xml:space="preserve">We then excluded non-Whites, related individuals (used.in.pca.calculation=0), and cell count outliers and then adjusted for age, sex, and cell counts using a backwards regression, starting with a natural spline (df=4) for each covariate. The final model obtained was (“log_” indicates </w:t>
      </w:r>
      <w:r w:rsidR="009507AC">
        <w:rPr>
          <w:rFonts w:ascii="Calibri" w:eastAsia="Calibri" w:hAnsi="Calibri" w:cs="Calibri"/>
        </w:rPr>
        <w:t xml:space="preserve">pseudocount </w:t>
      </w:r>
      <w:r w:rsidRPr="7F587BE9">
        <w:rPr>
          <w:rFonts w:ascii="Calibri" w:eastAsia="Calibri" w:hAnsi="Calibri" w:cs="Calibri"/>
        </w:rPr>
        <w:t>log-transformed variable):</w:t>
      </w:r>
    </w:p>
    <w:p w14:paraId="5DF5EF48" w14:textId="77777777" w:rsidR="00962E2A" w:rsidRDefault="00962E2A" w:rsidP="00962E2A">
      <w:pPr>
        <w:spacing w:line="257" w:lineRule="auto"/>
        <w:rPr>
          <w:rFonts w:ascii="Calibri" w:eastAsia="Calibri" w:hAnsi="Calibri" w:cs="Calibri"/>
        </w:rPr>
      </w:pPr>
      <w:r w:rsidRPr="7F587BE9">
        <w:rPr>
          <w:rFonts w:ascii="Calibri" w:eastAsia="Calibri" w:hAnsi="Calibri" w:cs="Calibri"/>
        </w:rPr>
        <w:t>mtDNA-CN = residuals(lm(array.mtDNA ~ ns(age,df=4) + sex + ns(log_WBC,df=4) + ns(log_RBC,df=4) + ns(Platelet,df=4) + ns(log_Lymph,df=4) + ns(log_Neutrophil,df=4) + log_Eos + log_Baso + log_NucRBC))</w:t>
      </w:r>
    </w:p>
    <w:p w14:paraId="3EE979FE" w14:textId="77777777" w:rsidR="00962E2A" w:rsidRDefault="00962E2A" w:rsidP="00962E2A">
      <w:pPr>
        <w:spacing w:line="257" w:lineRule="auto"/>
        <w:rPr>
          <w:rFonts w:ascii="Calibri" w:eastAsia="Calibri" w:hAnsi="Calibri" w:cs="Calibri"/>
        </w:rPr>
      </w:pPr>
      <w:r w:rsidRPr="7F587BE9">
        <w:rPr>
          <w:rFonts w:ascii="Calibri" w:eastAsia="Calibri" w:hAnsi="Calibri" w:cs="Calibri"/>
        </w:rPr>
        <w:t xml:space="preserve">Beta estimates from these analyses were then used to generate fitted values in the full UKBiobank dataset using the ‘predict’ function. </w:t>
      </w:r>
    </w:p>
    <w:p w14:paraId="1DF9E123" w14:textId="77777777" w:rsidR="00962E2A" w:rsidRDefault="00962E2A" w:rsidP="00962E2A">
      <w:pPr>
        <w:spacing w:line="257" w:lineRule="auto"/>
        <w:rPr>
          <w:rFonts w:ascii="Calibri" w:eastAsia="Calibri" w:hAnsi="Calibri" w:cs="Calibri"/>
        </w:rPr>
      </w:pPr>
      <w:r w:rsidRPr="7F587BE9">
        <w:rPr>
          <w:rFonts w:ascii="Calibri" w:eastAsia="Calibri" w:hAnsi="Calibri" w:cs="Calibri"/>
        </w:rPr>
        <w:t xml:space="preserve">For all analyses, mtDNA-CN was standardized by subtracting the mean and dividing by the standard deviation. </w:t>
      </w:r>
    </w:p>
    <w:p w14:paraId="163EC9B8" w14:textId="77777777" w:rsidR="00962E2A" w:rsidRDefault="00962E2A" w:rsidP="00962E2A">
      <w:pPr>
        <w:spacing w:line="257" w:lineRule="auto"/>
        <w:rPr>
          <w:rFonts w:ascii="Calibri" w:eastAsia="Calibri" w:hAnsi="Calibri" w:cs="Calibri"/>
        </w:rPr>
      </w:pPr>
      <w:r w:rsidRPr="7F587BE9">
        <w:rPr>
          <w:rFonts w:ascii="Calibri" w:eastAsia="Calibri" w:hAnsi="Calibri" w:cs="Calibri"/>
        </w:rPr>
        <w:t>Table with variables from UKBB:</w:t>
      </w:r>
    </w:p>
    <w:tbl>
      <w:tblPr>
        <w:tblW w:w="0" w:type="auto"/>
        <w:tblLayout w:type="fixed"/>
        <w:tblLook w:val="04A0" w:firstRow="1" w:lastRow="0" w:firstColumn="1" w:lastColumn="0" w:noHBand="0" w:noVBand="1"/>
      </w:tblPr>
      <w:tblGrid>
        <w:gridCol w:w="3120"/>
        <w:gridCol w:w="1605"/>
        <w:gridCol w:w="4635"/>
      </w:tblGrid>
      <w:tr w:rsidR="00962E2A" w14:paraId="4307F454" w14:textId="77777777" w:rsidTr="00962E2A">
        <w:tc>
          <w:tcPr>
            <w:tcW w:w="3120" w:type="dxa"/>
          </w:tcPr>
          <w:p w14:paraId="01CD4EB2" w14:textId="77777777" w:rsidR="00962E2A" w:rsidRDefault="00962E2A" w:rsidP="00962E2A">
            <w:r w:rsidRPr="7F587BE9">
              <w:rPr>
                <w:rFonts w:ascii="Calibri" w:eastAsia="Calibri" w:hAnsi="Calibri" w:cs="Calibri"/>
                <w:b/>
                <w:bCs/>
                <w:color w:val="000000" w:themeColor="text1"/>
              </w:rPr>
              <w:t>UKB_ID</w:t>
            </w:r>
          </w:p>
        </w:tc>
        <w:tc>
          <w:tcPr>
            <w:tcW w:w="1605" w:type="dxa"/>
          </w:tcPr>
          <w:p w14:paraId="3C50B4A4" w14:textId="77777777" w:rsidR="00962E2A" w:rsidRDefault="00962E2A" w:rsidP="00962E2A">
            <w:r w:rsidRPr="7F587BE9">
              <w:rPr>
                <w:rFonts w:ascii="Calibri" w:eastAsia="Calibri" w:hAnsi="Calibri" w:cs="Calibri"/>
                <w:b/>
                <w:bCs/>
                <w:color w:val="000000" w:themeColor="text1"/>
              </w:rPr>
              <w:t>Name</w:t>
            </w:r>
          </w:p>
        </w:tc>
        <w:tc>
          <w:tcPr>
            <w:tcW w:w="4635" w:type="dxa"/>
          </w:tcPr>
          <w:p w14:paraId="7F2ED756" w14:textId="77777777" w:rsidR="00962E2A" w:rsidRDefault="00962E2A" w:rsidP="00962E2A">
            <w:r w:rsidRPr="7F587BE9">
              <w:rPr>
                <w:rFonts w:ascii="Calibri" w:eastAsia="Calibri" w:hAnsi="Calibri" w:cs="Calibri"/>
                <w:b/>
                <w:bCs/>
                <w:color w:val="000000" w:themeColor="text1"/>
              </w:rPr>
              <w:t>Description</w:t>
            </w:r>
          </w:p>
        </w:tc>
      </w:tr>
      <w:tr w:rsidR="00962E2A" w14:paraId="49A954F4" w14:textId="77777777" w:rsidTr="00962E2A">
        <w:tc>
          <w:tcPr>
            <w:tcW w:w="3120" w:type="dxa"/>
          </w:tcPr>
          <w:p w14:paraId="23351E8C" w14:textId="77777777" w:rsidR="00962E2A" w:rsidRDefault="00962E2A" w:rsidP="00962E2A">
            <w:r w:rsidRPr="7F587BE9">
              <w:rPr>
                <w:rFonts w:ascii="Calibri" w:eastAsia="Calibri" w:hAnsi="Calibri" w:cs="Calibri"/>
                <w:color w:val="000000" w:themeColor="text1"/>
              </w:rPr>
              <w:t>f.30000.0.0</w:t>
            </w:r>
          </w:p>
        </w:tc>
        <w:tc>
          <w:tcPr>
            <w:tcW w:w="1605" w:type="dxa"/>
          </w:tcPr>
          <w:p w14:paraId="47E1A724" w14:textId="77777777" w:rsidR="00962E2A" w:rsidRDefault="00962E2A" w:rsidP="00962E2A">
            <w:r w:rsidRPr="7F587BE9">
              <w:rPr>
                <w:rFonts w:ascii="Calibri" w:eastAsia="Calibri" w:hAnsi="Calibri" w:cs="Calibri"/>
                <w:color w:val="000000" w:themeColor="text1"/>
              </w:rPr>
              <w:t>WBC</w:t>
            </w:r>
          </w:p>
        </w:tc>
        <w:tc>
          <w:tcPr>
            <w:tcW w:w="4635" w:type="dxa"/>
          </w:tcPr>
          <w:p w14:paraId="36D5F874" w14:textId="77777777" w:rsidR="00962E2A" w:rsidRDefault="00962E2A" w:rsidP="00962E2A">
            <w:r w:rsidRPr="7F587BE9">
              <w:rPr>
                <w:rFonts w:ascii="Calibri" w:eastAsia="Calibri" w:hAnsi="Calibri" w:cs="Calibri"/>
                <w:color w:val="000000" w:themeColor="text1"/>
              </w:rPr>
              <w:t>White blood cell (leukocyte) count</w:t>
            </w:r>
          </w:p>
        </w:tc>
      </w:tr>
      <w:tr w:rsidR="00962E2A" w14:paraId="3F66D9CD" w14:textId="77777777" w:rsidTr="00962E2A">
        <w:tc>
          <w:tcPr>
            <w:tcW w:w="3120" w:type="dxa"/>
          </w:tcPr>
          <w:p w14:paraId="002CF42E" w14:textId="77777777" w:rsidR="00962E2A" w:rsidRDefault="00962E2A" w:rsidP="00962E2A">
            <w:r w:rsidRPr="7F587BE9">
              <w:rPr>
                <w:rFonts w:ascii="Calibri" w:eastAsia="Calibri" w:hAnsi="Calibri" w:cs="Calibri"/>
                <w:color w:val="000000" w:themeColor="text1"/>
              </w:rPr>
              <w:t>f.30010.0.0</w:t>
            </w:r>
          </w:p>
        </w:tc>
        <w:tc>
          <w:tcPr>
            <w:tcW w:w="1605" w:type="dxa"/>
          </w:tcPr>
          <w:p w14:paraId="57A02C87" w14:textId="77777777" w:rsidR="00962E2A" w:rsidRDefault="00962E2A" w:rsidP="00962E2A">
            <w:r w:rsidRPr="7F587BE9">
              <w:rPr>
                <w:rFonts w:ascii="Calibri" w:eastAsia="Calibri" w:hAnsi="Calibri" w:cs="Calibri"/>
                <w:color w:val="000000" w:themeColor="text1"/>
              </w:rPr>
              <w:t>RBC</w:t>
            </w:r>
          </w:p>
        </w:tc>
        <w:tc>
          <w:tcPr>
            <w:tcW w:w="4635" w:type="dxa"/>
          </w:tcPr>
          <w:p w14:paraId="36D90A24" w14:textId="77777777" w:rsidR="00962E2A" w:rsidRDefault="00962E2A" w:rsidP="00962E2A">
            <w:r w:rsidRPr="7F587BE9">
              <w:rPr>
                <w:rFonts w:ascii="Calibri" w:eastAsia="Calibri" w:hAnsi="Calibri" w:cs="Calibri"/>
                <w:color w:val="000000" w:themeColor="text1"/>
              </w:rPr>
              <w:t>Red blood cell (erythrocyte) count</w:t>
            </w:r>
          </w:p>
        </w:tc>
      </w:tr>
      <w:tr w:rsidR="00962E2A" w14:paraId="6D008F7F" w14:textId="77777777" w:rsidTr="00962E2A">
        <w:tc>
          <w:tcPr>
            <w:tcW w:w="3120" w:type="dxa"/>
          </w:tcPr>
          <w:p w14:paraId="67BE5554" w14:textId="77777777" w:rsidR="00962E2A" w:rsidRDefault="00962E2A" w:rsidP="00962E2A">
            <w:r w:rsidRPr="7F587BE9">
              <w:rPr>
                <w:rFonts w:ascii="Calibri" w:eastAsia="Calibri" w:hAnsi="Calibri" w:cs="Calibri"/>
                <w:color w:val="000000" w:themeColor="text1"/>
              </w:rPr>
              <w:t>f.30080.0.0</w:t>
            </w:r>
          </w:p>
        </w:tc>
        <w:tc>
          <w:tcPr>
            <w:tcW w:w="1605" w:type="dxa"/>
          </w:tcPr>
          <w:p w14:paraId="0BDC58C7" w14:textId="77777777" w:rsidR="00962E2A" w:rsidRDefault="00962E2A" w:rsidP="00962E2A">
            <w:r w:rsidRPr="7F587BE9">
              <w:rPr>
                <w:rFonts w:ascii="Calibri" w:eastAsia="Calibri" w:hAnsi="Calibri" w:cs="Calibri"/>
                <w:color w:val="000000" w:themeColor="text1"/>
              </w:rPr>
              <w:t>Platelet</w:t>
            </w:r>
          </w:p>
        </w:tc>
        <w:tc>
          <w:tcPr>
            <w:tcW w:w="4635" w:type="dxa"/>
          </w:tcPr>
          <w:p w14:paraId="1F4674EE" w14:textId="77777777" w:rsidR="00962E2A" w:rsidRDefault="00962E2A" w:rsidP="00962E2A">
            <w:pPr>
              <w:rPr>
                <w:rFonts w:ascii="Calibri" w:eastAsia="Calibri" w:hAnsi="Calibri" w:cs="Calibri"/>
                <w:color w:val="000000" w:themeColor="text1"/>
              </w:rPr>
            </w:pPr>
            <w:r w:rsidRPr="7F587BE9">
              <w:rPr>
                <w:rFonts w:ascii="Calibri" w:eastAsia="Calibri" w:hAnsi="Calibri" w:cs="Calibri"/>
                <w:color w:val="000000" w:themeColor="text1"/>
              </w:rPr>
              <w:t>Platelet count</w:t>
            </w:r>
          </w:p>
        </w:tc>
      </w:tr>
      <w:tr w:rsidR="00962E2A" w14:paraId="2604A351" w14:textId="77777777" w:rsidTr="00962E2A">
        <w:tc>
          <w:tcPr>
            <w:tcW w:w="3120" w:type="dxa"/>
          </w:tcPr>
          <w:p w14:paraId="498DEE73" w14:textId="77777777" w:rsidR="00962E2A" w:rsidRDefault="00962E2A" w:rsidP="00962E2A">
            <w:r w:rsidRPr="7F587BE9">
              <w:rPr>
                <w:rFonts w:ascii="Calibri" w:eastAsia="Calibri" w:hAnsi="Calibri" w:cs="Calibri"/>
                <w:color w:val="000000" w:themeColor="text1"/>
              </w:rPr>
              <w:t>f.30120.0.0</w:t>
            </w:r>
          </w:p>
        </w:tc>
        <w:tc>
          <w:tcPr>
            <w:tcW w:w="1605" w:type="dxa"/>
          </w:tcPr>
          <w:p w14:paraId="6501A098" w14:textId="77777777" w:rsidR="00962E2A" w:rsidRDefault="00962E2A" w:rsidP="00962E2A">
            <w:r w:rsidRPr="7F587BE9">
              <w:rPr>
                <w:rFonts w:ascii="Calibri" w:eastAsia="Calibri" w:hAnsi="Calibri" w:cs="Calibri"/>
                <w:color w:val="000000" w:themeColor="text1"/>
              </w:rPr>
              <w:t>Lymphocyte</w:t>
            </w:r>
          </w:p>
        </w:tc>
        <w:tc>
          <w:tcPr>
            <w:tcW w:w="4635" w:type="dxa"/>
          </w:tcPr>
          <w:p w14:paraId="0A7AD9DD" w14:textId="77777777" w:rsidR="00962E2A" w:rsidRDefault="00962E2A" w:rsidP="00962E2A">
            <w:pPr>
              <w:rPr>
                <w:rFonts w:ascii="Calibri" w:eastAsia="Calibri" w:hAnsi="Calibri" w:cs="Calibri"/>
                <w:color w:val="000000" w:themeColor="text1"/>
              </w:rPr>
            </w:pPr>
            <w:r w:rsidRPr="7F587BE9">
              <w:rPr>
                <w:rFonts w:ascii="Calibri" w:eastAsia="Calibri" w:hAnsi="Calibri" w:cs="Calibri"/>
                <w:color w:val="000000" w:themeColor="text1"/>
              </w:rPr>
              <w:t>Lymphocyte count</w:t>
            </w:r>
          </w:p>
        </w:tc>
      </w:tr>
      <w:tr w:rsidR="00962E2A" w14:paraId="5A3235EC" w14:textId="77777777" w:rsidTr="00962E2A">
        <w:tc>
          <w:tcPr>
            <w:tcW w:w="3120" w:type="dxa"/>
          </w:tcPr>
          <w:p w14:paraId="1AFA1E77" w14:textId="77777777" w:rsidR="00962E2A" w:rsidRDefault="00962E2A" w:rsidP="00962E2A">
            <w:r w:rsidRPr="7F587BE9">
              <w:rPr>
                <w:rFonts w:ascii="Calibri" w:eastAsia="Calibri" w:hAnsi="Calibri" w:cs="Calibri"/>
                <w:color w:val="000000" w:themeColor="text1"/>
              </w:rPr>
              <w:t>f.30130.0.0</w:t>
            </w:r>
          </w:p>
        </w:tc>
        <w:tc>
          <w:tcPr>
            <w:tcW w:w="1605" w:type="dxa"/>
          </w:tcPr>
          <w:p w14:paraId="086F6C03" w14:textId="77777777" w:rsidR="00962E2A" w:rsidRDefault="00962E2A" w:rsidP="00962E2A">
            <w:r w:rsidRPr="7F587BE9">
              <w:rPr>
                <w:rFonts w:ascii="Calibri" w:eastAsia="Calibri" w:hAnsi="Calibri" w:cs="Calibri"/>
                <w:color w:val="000000" w:themeColor="text1"/>
              </w:rPr>
              <w:t>Mono</w:t>
            </w:r>
          </w:p>
        </w:tc>
        <w:tc>
          <w:tcPr>
            <w:tcW w:w="4635" w:type="dxa"/>
          </w:tcPr>
          <w:p w14:paraId="358F6C15" w14:textId="77777777" w:rsidR="00962E2A" w:rsidRDefault="00962E2A" w:rsidP="00962E2A">
            <w:pPr>
              <w:rPr>
                <w:rFonts w:ascii="Calibri" w:eastAsia="Calibri" w:hAnsi="Calibri" w:cs="Calibri"/>
                <w:color w:val="000000" w:themeColor="text1"/>
              </w:rPr>
            </w:pPr>
            <w:r w:rsidRPr="7F587BE9">
              <w:rPr>
                <w:rFonts w:ascii="Calibri" w:eastAsia="Calibri" w:hAnsi="Calibri" w:cs="Calibri"/>
                <w:color w:val="000000" w:themeColor="text1"/>
              </w:rPr>
              <w:t>Monocyte count</w:t>
            </w:r>
          </w:p>
        </w:tc>
      </w:tr>
      <w:tr w:rsidR="00962E2A" w14:paraId="79C5E25C" w14:textId="77777777" w:rsidTr="00962E2A">
        <w:tc>
          <w:tcPr>
            <w:tcW w:w="3120" w:type="dxa"/>
          </w:tcPr>
          <w:p w14:paraId="534B85D6" w14:textId="77777777" w:rsidR="00962E2A" w:rsidRDefault="00962E2A" w:rsidP="00962E2A">
            <w:r w:rsidRPr="7F587BE9">
              <w:rPr>
                <w:rFonts w:ascii="Calibri" w:eastAsia="Calibri" w:hAnsi="Calibri" w:cs="Calibri"/>
                <w:color w:val="000000" w:themeColor="text1"/>
              </w:rPr>
              <w:t>f.30140.0.0</w:t>
            </w:r>
          </w:p>
        </w:tc>
        <w:tc>
          <w:tcPr>
            <w:tcW w:w="1605" w:type="dxa"/>
          </w:tcPr>
          <w:p w14:paraId="135A3A30" w14:textId="77777777" w:rsidR="00962E2A" w:rsidRDefault="00962E2A" w:rsidP="00962E2A">
            <w:r w:rsidRPr="7F587BE9">
              <w:rPr>
                <w:rFonts w:ascii="Calibri" w:eastAsia="Calibri" w:hAnsi="Calibri" w:cs="Calibri"/>
                <w:color w:val="000000" w:themeColor="text1"/>
              </w:rPr>
              <w:t>Neutrophil</w:t>
            </w:r>
          </w:p>
        </w:tc>
        <w:tc>
          <w:tcPr>
            <w:tcW w:w="4635" w:type="dxa"/>
          </w:tcPr>
          <w:p w14:paraId="0776F5F1" w14:textId="77777777" w:rsidR="00962E2A" w:rsidRDefault="00962E2A" w:rsidP="00962E2A">
            <w:pPr>
              <w:rPr>
                <w:rFonts w:ascii="Calibri" w:eastAsia="Calibri" w:hAnsi="Calibri" w:cs="Calibri"/>
                <w:color w:val="000000" w:themeColor="text1"/>
              </w:rPr>
            </w:pPr>
            <w:r w:rsidRPr="7F587BE9">
              <w:rPr>
                <w:rFonts w:ascii="Calibri" w:eastAsia="Calibri" w:hAnsi="Calibri" w:cs="Calibri"/>
                <w:color w:val="000000" w:themeColor="text1"/>
              </w:rPr>
              <w:t>Neutrophil lcount</w:t>
            </w:r>
          </w:p>
        </w:tc>
      </w:tr>
      <w:tr w:rsidR="00962E2A" w14:paraId="33ACFDDB" w14:textId="77777777" w:rsidTr="00962E2A">
        <w:tc>
          <w:tcPr>
            <w:tcW w:w="3120" w:type="dxa"/>
          </w:tcPr>
          <w:p w14:paraId="3789CC06" w14:textId="77777777" w:rsidR="00962E2A" w:rsidRDefault="00962E2A" w:rsidP="00962E2A">
            <w:r w:rsidRPr="7F587BE9">
              <w:rPr>
                <w:rFonts w:ascii="Calibri" w:eastAsia="Calibri" w:hAnsi="Calibri" w:cs="Calibri"/>
                <w:color w:val="000000" w:themeColor="text1"/>
              </w:rPr>
              <w:t>f.30150.0.0</w:t>
            </w:r>
          </w:p>
        </w:tc>
        <w:tc>
          <w:tcPr>
            <w:tcW w:w="1605" w:type="dxa"/>
          </w:tcPr>
          <w:p w14:paraId="3C64CB89" w14:textId="77777777" w:rsidR="00962E2A" w:rsidRDefault="00962E2A" w:rsidP="00962E2A">
            <w:r w:rsidRPr="7F587BE9">
              <w:rPr>
                <w:rFonts w:ascii="Calibri" w:eastAsia="Calibri" w:hAnsi="Calibri" w:cs="Calibri"/>
                <w:color w:val="000000" w:themeColor="text1"/>
              </w:rPr>
              <w:t>Eos</w:t>
            </w:r>
          </w:p>
        </w:tc>
        <w:tc>
          <w:tcPr>
            <w:tcW w:w="4635" w:type="dxa"/>
          </w:tcPr>
          <w:p w14:paraId="01E119F2" w14:textId="77777777" w:rsidR="00962E2A" w:rsidRDefault="00962E2A" w:rsidP="00962E2A">
            <w:pPr>
              <w:rPr>
                <w:rFonts w:ascii="Calibri" w:eastAsia="Calibri" w:hAnsi="Calibri" w:cs="Calibri"/>
                <w:color w:val="000000" w:themeColor="text1"/>
              </w:rPr>
            </w:pPr>
            <w:r w:rsidRPr="7F587BE9">
              <w:rPr>
                <w:rFonts w:ascii="Calibri" w:eastAsia="Calibri" w:hAnsi="Calibri" w:cs="Calibri"/>
                <w:color w:val="000000" w:themeColor="text1"/>
              </w:rPr>
              <w:t>Eosinophill count</w:t>
            </w:r>
          </w:p>
        </w:tc>
      </w:tr>
      <w:tr w:rsidR="00962E2A" w14:paraId="47A56F30" w14:textId="77777777" w:rsidTr="00962E2A">
        <w:tc>
          <w:tcPr>
            <w:tcW w:w="3120" w:type="dxa"/>
          </w:tcPr>
          <w:p w14:paraId="0E938318" w14:textId="77777777" w:rsidR="00962E2A" w:rsidRDefault="00962E2A" w:rsidP="00962E2A">
            <w:r w:rsidRPr="7F587BE9">
              <w:rPr>
                <w:rFonts w:ascii="Calibri" w:eastAsia="Calibri" w:hAnsi="Calibri" w:cs="Calibri"/>
                <w:color w:val="000000" w:themeColor="text1"/>
              </w:rPr>
              <w:t>f.30160.0.0</w:t>
            </w:r>
          </w:p>
        </w:tc>
        <w:tc>
          <w:tcPr>
            <w:tcW w:w="1605" w:type="dxa"/>
          </w:tcPr>
          <w:p w14:paraId="4C18F39A" w14:textId="77777777" w:rsidR="00962E2A" w:rsidRDefault="00962E2A" w:rsidP="00962E2A">
            <w:r w:rsidRPr="7F587BE9">
              <w:rPr>
                <w:rFonts w:ascii="Calibri" w:eastAsia="Calibri" w:hAnsi="Calibri" w:cs="Calibri"/>
                <w:color w:val="000000" w:themeColor="text1"/>
              </w:rPr>
              <w:t>Baso</w:t>
            </w:r>
          </w:p>
        </w:tc>
        <w:tc>
          <w:tcPr>
            <w:tcW w:w="4635" w:type="dxa"/>
          </w:tcPr>
          <w:p w14:paraId="74464A83" w14:textId="77777777" w:rsidR="00962E2A" w:rsidRDefault="00962E2A" w:rsidP="00962E2A">
            <w:pPr>
              <w:rPr>
                <w:rFonts w:ascii="Calibri" w:eastAsia="Calibri" w:hAnsi="Calibri" w:cs="Calibri"/>
                <w:color w:val="000000" w:themeColor="text1"/>
              </w:rPr>
            </w:pPr>
            <w:r w:rsidRPr="7F587BE9">
              <w:rPr>
                <w:rFonts w:ascii="Calibri" w:eastAsia="Calibri" w:hAnsi="Calibri" w:cs="Calibri"/>
                <w:color w:val="000000" w:themeColor="text1"/>
              </w:rPr>
              <w:t>Basophill count</w:t>
            </w:r>
          </w:p>
        </w:tc>
      </w:tr>
      <w:tr w:rsidR="00962E2A" w14:paraId="7E9439F3" w14:textId="77777777" w:rsidTr="00962E2A">
        <w:tc>
          <w:tcPr>
            <w:tcW w:w="3120" w:type="dxa"/>
          </w:tcPr>
          <w:p w14:paraId="30A757FC" w14:textId="77777777" w:rsidR="00962E2A" w:rsidRDefault="00962E2A" w:rsidP="00962E2A">
            <w:r w:rsidRPr="7F587BE9">
              <w:rPr>
                <w:rFonts w:ascii="Calibri" w:eastAsia="Calibri" w:hAnsi="Calibri" w:cs="Calibri"/>
                <w:color w:val="000000" w:themeColor="text1"/>
              </w:rPr>
              <w:t>f.30170.0.0</w:t>
            </w:r>
          </w:p>
        </w:tc>
        <w:tc>
          <w:tcPr>
            <w:tcW w:w="1605" w:type="dxa"/>
          </w:tcPr>
          <w:p w14:paraId="1EE72655" w14:textId="77777777" w:rsidR="00962E2A" w:rsidRDefault="00962E2A" w:rsidP="00962E2A">
            <w:r w:rsidRPr="7F587BE9">
              <w:rPr>
                <w:rFonts w:ascii="Calibri" w:eastAsia="Calibri" w:hAnsi="Calibri" w:cs="Calibri"/>
                <w:color w:val="000000" w:themeColor="text1"/>
              </w:rPr>
              <w:t>NucRBC</w:t>
            </w:r>
          </w:p>
        </w:tc>
        <w:tc>
          <w:tcPr>
            <w:tcW w:w="4635" w:type="dxa"/>
          </w:tcPr>
          <w:p w14:paraId="24B63ECE" w14:textId="77777777" w:rsidR="00962E2A" w:rsidRDefault="00962E2A" w:rsidP="00962E2A">
            <w:pPr>
              <w:rPr>
                <w:rFonts w:ascii="Calibri" w:eastAsia="Calibri" w:hAnsi="Calibri" w:cs="Calibri"/>
                <w:color w:val="000000" w:themeColor="text1"/>
              </w:rPr>
            </w:pPr>
            <w:r w:rsidRPr="7F587BE9">
              <w:rPr>
                <w:rFonts w:ascii="Calibri" w:eastAsia="Calibri" w:hAnsi="Calibri" w:cs="Calibri"/>
                <w:color w:val="000000" w:themeColor="text1"/>
              </w:rPr>
              <w:t>Nucleated red blood cell count</w:t>
            </w:r>
          </w:p>
        </w:tc>
      </w:tr>
    </w:tbl>
    <w:p w14:paraId="17802CAB" w14:textId="77777777" w:rsidR="00962E2A" w:rsidRPr="002D527F" w:rsidRDefault="00962E2A" w:rsidP="00962E2A">
      <w:pPr>
        <w:spacing w:after="0" w:line="240" w:lineRule="auto"/>
        <w:rPr>
          <w:rFonts w:eastAsia="Times New Roman" w:cstheme="minorHAnsi"/>
        </w:rPr>
      </w:pPr>
    </w:p>
    <w:p w14:paraId="2B3E6CAC" w14:textId="77777777" w:rsidR="00962E2A" w:rsidRDefault="00962E2A" w:rsidP="00962E2A">
      <w:pPr>
        <w:spacing w:after="0" w:line="240" w:lineRule="auto"/>
        <w:rPr>
          <w:rFonts w:cstheme="minorHAnsi"/>
          <w:b/>
          <w:bCs/>
        </w:rPr>
      </w:pPr>
      <w:r w:rsidRPr="00F702FF">
        <w:rPr>
          <w:rFonts w:cstheme="minorHAnsi"/>
          <w:b/>
          <w:bCs/>
        </w:rPr>
        <w:t>Cohort Descriptions</w:t>
      </w:r>
    </w:p>
    <w:p w14:paraId="14DBC014" w14:textId="77777777" w:rsidR="00962E2A" w:rsidRPr="008E0F58" w:rsidRDefault="00962E2A" w:rsidP="00962E2A">
      <w:pPr>
        <w:spacing w:after="0" w:line="240" w:lineRule="auto"/>
        <w:rPr>
          <w:rFonts w:cstheme="minorHAnsi"/>
        </w:rPr>
      </w:pPr>
      <w:r>
        <w:rPr>
          <w:rFonts w:cstheme="minorHAnsi"/>
          <w:i/>
          <w:iCs/>
        </w:rPr>
        <w:t>ALSPAC</w:t>
      </w:r>
    </w:p>
    <w:p w14:paraId="4D647E94" w14:textId="77777777" w:rsidR="00962E2A" w:rsidRDefault="00962E2A" w:rsidP="00962E2A">
      <w:pPr>
        <w:spacing w:after="0" w:line="240" w:lineRule="auto"/>
        <w:rPr>
          <w:rFonts w:cstheme="minorHAnsi"/>
        </w:rPr>
      </w:pPr>
      <w:r w:rsidRPr="00675743">
        <w:rPr>
          <w:rFonts w:cstheme="minorHAnsi"/>
        </w:rPr>
        <w:t>Pregnant women resident in Avon, UK with expected dates of delivery 1st April 1991 to 31st December 1992 were invited to take part in the study. The initial number of pregnancies enrolled is 14,541. Of these initial pregnancies, there was a total of 14,676 foetuses, resulting in 14,062 live births and 13,988 children who were alive at 1 year of age. When the oldest children were approximately 7 years of age, an attempt was made to bolster the initial sample with eligible cases who had failed to join the study originally. As a result, when considering variables collected from the age of seven onwards (and potentially abstracted from obstetric notes) there are data available for more than the 14,541 pregnancies mentioned above. The number of new pregnancies not in the initial sample (known as Phase I enrolment) that are currently represented on the built files and reflecting enrolment status at the age of 24 is 913 (456, 262 and 195 recruited during Phases II, III and IV respectively), resulting in an additional 913 children being enrolled. The phases of enrolment are described in more detail in the cohort profile paper and its update</w:t>
      </w:r>
      <w:r>
        <w:rPr>
          <w:rFonts w:cstheme="minorHAnsi"/>
        </w:rPr>
        <w:fldChar w:fldCharType="begin"/>
      </w:r>
      <w:r>
        <w:rPr>
          <w:rFonts w:cstheme="minorHAnsi"/>
        </w:rPr>
        <w:instrText xml:space="preserve"> ADDIN ZOTERO_ITEM CSL_CITATION {"citationID":"t1gfijgx","properties":{"formattedCitation":"\\super 1,2\\nosupersub{}","plainCitation":"1,2","noteIndex":0},"citationItems":[{"id":"XE2wRhtC/PfXWRtHd","uris":["http://zotero.org/users/4514930/items/MWHYAIHG"],"uri":["http://zotero.org/users/4514930/items/MWHYAIHG"],"itemData":{"id":1119,"type":"article-journal","abstract":"The Avon Longitudinal Study of Parents and Children (ALSPAC) is a transgenerational prospective observational study investigating influences on health and development across the life course. It considers multiple genetic, epigenetic, biological, psychological, social and other environmental exposures in relation to a similarly diverse range of health, social and developmental outcomes. Recruitment sought to enroll pregnant women in the Bristol area of the UK during 1990-92; this was extended to include additional children eligible using the original enrollment definition up to the age of 18 years. The children from 14541 pregnancies were recruited in 1990-92, increasing to 15247 pregnancies by the age of 18 years. This cohort profile describes the index children of these pregnancies. Follow-up includes 59 questionnaires (4 weeks-18 years of age) and 9 clinical assessment visits (7-17 years of age). The resource comprises a wide range of phenotypic and environmental measures in addition to biological samples, genetic (DNA on 11343 children, genome-wide data on 8365 children, complete genome sequencing on 2000 children) and epigenetic (methylation sampling on 1000 children) information and linkage to health and administrative records. Data access is described in this article and is currently set up as a supported access resource. To date, over 700 peer-reviewed articles have been published using ALSPAC data.","container-title":"International Journal of Epidemiology","DOI":"10.1093/ije/dys064","ISSN":"1464-3685","issue":"1","journalAbbreviation":"Int J Epidemiol","language":"eng","note":"PMID: 22507743\nPMCID: PMC3600618","page":"111-127","source":"PubMed","title":"Cohort Profile: the 'children of the 90s'--the index offspring of the Avon Longitudinal Study of Parents and Children","title-short":"Cohort Profile","volume":"42","author":[{"family":"Boyd","given":"Andy"},{"family":"Golding","given":"Jean"},{"family":"Macleod","given":"John"},{"family":"Lawlor","given":"Debbie A."},{"family":"Fraser","given":"Abigail"},{"family":"Henderson","given":"John"},{"family":"Molloy","given":"Lynn"},{"family":"Ness","given":"Andy"},{"family":"Ring","given":"Susan"},{"family":"Davey Smith","given":"George"}],"issued":{"date-parts":[["2013",2]]}}},{"id":"XE2wRhtC/J7BVTPPx","uris":["http://zotero.org/users/4514930/items/NJUY5GWZ"],"uri":["http://zotero.org/users/4514930/items/NJUY5GWZ"],"itemData":{"id":1122,"type":"article-journal","abstract":"Summary The Avon Longitudinal Study of Children and Parents (ALSPAC) was established to understand how genetic and environmental characteristics influence health and development in parents and children. All pregnant women resident in a defined area in the South West of England, with an expected date of delivery between 1st April 1991 and 31st December 1992, were eligible and 13761 women (contributing 13867 pregnancies) were recruited. These women have been followed over the last 19-22 years and have completed up to 20 questionnaires, have had detailed data abstracted from their medical records and have information on any cancer diagnoses and deaths through record linkage. A follow-up assessment was completed 17-18 years postnatal at which anthropometry, blood pressure, fat, lean and bone mass and carotid intima media thickness were assessed, and a fasting blood sample taken. The second follow-up clinic, which additionally measures cognitive function, physical capability, physical activity (with accelerometer) and wrist bone architecture, is underway and two further assessments with similar measurements will take place over the next 5 years. There is a detailed biobank that includes DNA, with genome-wide data available on &gt;10000, stored serum and plasma taken repeatedly since pregnancy and other samples; a wide range of data on completed biospecimen assays are available. Details of how to access these data are provided in this cohort profile.","container-title":"International Journal of Epidemiology","DOI":"10.1093/ije/dys066","ISSN":"1464-3685","issue":"1","journalAbbreviation":"Int J Epidemiol","language":"eng","note":"PMID: 22507742\nPMCID: PMC3600619","page":"97-110","source":"PubMed","title":"Cohort Profile: the Avon Longitudinal Study of Parents and Children: ALSPAC mothers cohort","title-short":"Cohort Profile","volume":"42","author":[{"family":"Fraser","given":"Abigail"},{"family":"Macdonald-Wallis","given":"Corrie"},{"family":"Tilling","given":"Kate"},{"family":"Boyd","given":"Andy"},{"family":"Golding","given":"Jean"},{"family":"Davey Smith","given":"George"},{"family":"Henderson","given":"John"},{"family":"Macleod","given":"John"},{"family":"Molloy","given":"Lynn"},{"family":"Ness","given":"Andy"},{"family":"Ring","given":"Susan"},{"family":"Nelson","given":"Scott M."},{"family":"Lawlor","given":"Debbie A."}],"issued":{"date-parts":[["2013",2]]}}}],"schema":"https://github.com/citation-style-language/schema/raw/master/csl-citation.json"} </w:instrText>
      </w:r>
      <w:r>
        <w:rPr>
          <w:rFonts w:cstheme="minorHAnsi"/>
        </w:rPr>
        <w:fldChar w:fldCharType="separate"/>
      </w:r>
      <w:r w:rsidRPr="00206622">
        <w:rPr>
          <w:rFonts w:ascii="Calibri" w:hAnsi="Calibri" w:cs="Calibri"/>
          <w:szCs w:val="24"/>
          <w:vertAlign w:val="superscript"/>
        </w:rPr>
        <w:t>1,2</w:t>
      </w:r>
      <w:r>
        <w:rPr>
          <w:rFonts w:cstheme="minorHAnsi"/>
        </w:rPr>
        <w:fldChar w:fldCharType="end"/>
      </w:r>
      <w:r>
        <w:rPr>
          <w:rFonts w:cstheme="minorHAnsi"/>
        </w:rPr>
        <w:t>.</w:t>
      </w:r>
      <w:r w:rsidRPr="00675743">
        <w:rPr>
          <w:rFonts w:cstheme="minorHAnsi"/>
        </w:rPr>
        <w:t xml:space="preserve"> The total sample size for analyses using any data collected after </w:t>
      </w:r>
      <w:r w:rsidRPr="00675743">
        <w:rPr>
          <w:rFonts w:cstheme="minorHAnsi"/>
        </w:rPr>
        <w:lastRenderedPageBreak/>
        <w:t>the age of seven is therefore 15,454 pregnancies, resulting in 15,589 foetuses. Of these 14,901 were alive at 1 year of age. Please note that the study website contains details of all the data that is available through a fully searchable data dictionary and variable search tool" and reference the following webpage:</w:t>
      </w:r>
      <w:r>
        <w:rPr>
          <w:rFonts w:cstheme="minorHAnsi"/>
        </w:rPr>
        <w:t xml:space="preserve"> </w:t>
      </w:r>
      <w:r w:rsidRPr="00675743">
        <w:rPr>
          <w:rFonts w:cstheme="minorHAnsi"/>
        </w:rPr>
        <w:t>http://www.bristol.ac.uk/alspac/researchers/our-data/</w:t>
      </w:r>
    </w:p>
    <w:p w14:paraId="2358E044" w14:textId="77777777" w:rsidR="00962E2A" w:rsidRPr="008E0F58" w:rsidRDefault="00962E2A" w:rsidP="00962E2A">
      <w:pPr>
        <w:spacing w:after="0" w:line="240" w:lineRule="auto"/>
        <w:rPr>
          <w:rFonts w:cstheme="minorHAnsi"/>
        </w:rPr>
      </w:pPr>
    </w:p>
    <w:p w14:paraId="23A044C8" w14:textId="77777777" w:rsidR="00962E2A" w:rsidRDefault="00962E2A" w:rsidP="00962E2A">
      <w:pPr>
        <w:spacing w:after="0" w:line="240" w:lineRule="auto"/>
        <w:rPr>
          <w:rFonts w:cstheme="minorHAnsi"/>
        </w:rPr>
      </w:pPr>
      <w:r>
        <w:rPr>
          <w:rFonts w:cstheme="minorHAnsi"/>
          <w:i/>
          <w:iCs/>
        </w:rPr>
        <w:t>ARIC</w:t>
      </w:r>
    </w:p>
    <w:p w14:paraId="567B6959" w14:textId="77777777" w:rsidR="00962E2A" w:rsidRDefault="00962E2A" w:rsidP="00962E2A">
      <w:pPr>
        <w:spacing w:after="0" w:line="240" w:lineRule="auto"/>
        <w:rPr>
          <w:rFonts w:cstheme="minorHAnsi"/>
        </w:rPr>
      </w:pPr>
      <w:r w:rsidRPr="00786F88">
        <w:rPr>
          <w:rFonts w:cstheme="minorHAnsi"/>
        </w:rPr>
        <w:t xml:space="preserve">The </w:t>
      </w:r>
      <w:r>
        <w:rPr>
          <w:rFonts w:cstheme="minorHAnsi"/>
        </w:rPr>
        <w:t>Atherosclerosis Risk in Communities</w:t>
      </w:r>
      <w:r w:rsidRPr="00786F88">
        <w:rPr>
          <w:rFonts w:cstheme="minorHAnsi"/>
        </w:rPr>
        <w:t xml:space="preserve"> study</w:t>
      </w:r>
      <w:r>
        <w:rPr>
          <w:rFonts w:cstheme="minorHAnsi"/>
        </w:rPr>
        <w:t xml:space="preserve"> (ARIC)</w:t>
      </w:r>
      <w:r w:rsidRPr="00786F88">
        <w:rPr>
          <w:rFonts w:cstheme="minorHAnsi"/>
        </w:rPr>
        <w:t xml:space="preserve"> recruited 15,792 individuals between 1987 and 1989 aged 45 to 65 years from 4 US communities</w:t>
      </w:r>
      <w:r>
        <w:rPr>
          <w:rFonts w:cstheme="minorHAnsi"/>
        </w:rPr>
        <w:fldChar w:fldCharType="begin"/>
      </w:r>
      <w:r>
        <w:rPr>
          <w:rFonts w:cstheme="minorHAnsi"/>
        </w:rPr>
        <w:instrText xml:space="preserve"> ADDIN ZOTERO_ITEM CSL_CITATION {"citationID":"cOKhpaBZ","properties":{"formattedCitation":"\\super 3\\nosupersub{}","plainCitation":"3","noteIndex":0},"citationItems":[{"id":"XE2wRhtC/Vrg2iW0Z","uris":["http://zotero.org/users/4514930/items/K68I2M7F"],"uri":["http://zotero.org/users/4514930/items/K68I2M7F"],"itemData":{"id":28,"type":"article-journal","abstract":"Atherosclerosis Risk in Communities (ARIC) is a new prospective study to investigate the etiology of atherosclerosis and its clinical sequelae and variation in cardiovascular risk factors, medical care, and disease by race, sex, place, and time. In each of four US communities--Forsyth County, North Carolina, Jackson, Mississippi, suburbs of Minneapolis, Minnesota, and Washington County, Maryland--4,000 adults aged 45-64 years will be examined twice, three years apart. ARIC has coordinating, ultrasound, pulmonary, and electrocardiographic centers and three central laboratories. Three cohorts represent the ethnic mix of their communities; the Jackson cohort, its black population. Examinations include ultrasound scanning of carotid and popliteal arteries; lipids, lipoproteins, and apolipoproteins assayed in the Lipid Laboratory; and coagulation, inhibition, and platelet and fibrinolytic activity assayed in the Hemostasis Laboratory. Surveillance for coronary heart disease will involve review of hospitalizations and deaths among community residents aged 35-74 years. ARIC aims to study atherosclerosis by direct observation of the disease and by use of modern biochemistry.","container-title":"American Journal of Epidemiology","ISSN":"0002-9262","issue":"4","journalAbbreviation":"Am. J. Epidemiol.","language":"eng","note":"PMID: 2646917","page":"687-702","source":"PubMed","title":"The Atherosclerosis Risk in Communities (ARIC) Study: design and objectives. The ARIC investigators","title-short":"The Atherosclerosis Risk in Communities (ARIC) Study","volume":"129","issued":{"date-parts":[["1989",4]]}}}],"schema":"https://github.com/citation-style-language/schema/raw/master/csl-citation.json"} </w:instrText>
      </w:r>
      <w:r>
        <w:rPr>
          <w:rFonts w:cstheme="minorHAnsi"/>
        </w:rPr>
        <w:fldChar w:fldCharType="separate"/>
      </w:r>
      <w:r w:rsidRPr="00206622">
        <w:rPr>
          <w:rFonts w:ascii="Calibri" w:hAnsi="Calibri" w:cs="Calibri"/>
          <w:szCs w:val="24"/>
          <w:vertAlign w:val="superscript"/>
        </w:rPr>
        <w:t>3</w:t>
      </w:r>
      <w:r>
        <w:rPr>
          <w:rFonts w:cstheme="minorHAnsi"/>
        </w:rPr>
        <w:fldChar w:fldCharType="end"/>
      </w:r>
      <w:r w:rsidRPr="00786F88">
        <w:rPr>
          <w:rFonts w:cstheme="minorHAnsi"/>
        </w:rPr>
        <w:t>. DNA for mtDNA-CN estimation was collected from different visits and was derived from buffy coat using the Gentra Puregene Blood Kit (</w:t>
      </w:r>
      <w:r w:rsidRPr="00ED3BC2">
        <w:rPr>
          <w:rFonts w:cstheme="minorHAnsi"/>
        </w:rPr>
        <w:t>Qiagen). Whole genome sequencing</w:t>
      </w:r>
      <w:r>
        <w:rPr>
          <w:rFonts w:cstheme="minorHAnsi"/>
        </w:rPr>
        <w:t xml:space="preserve"> (WGS)</w:t>
      </w:r>
      <w:r w:rsidRPr="00ED3BC2">
        <w:rPr>
          <w:rFonts w:cstheme="minorHAnsi"/>
        </w:rPr>
        <w:t xml:space="preserve"> data was generated at the Baylor </w:t>
      </w:r>
      <w:r w:rsidRPr="00E7067F">
        <w:rPr>
          <w:rFonts w:cstheme="minorHAnsi"/>
        </w:rPr>
        <w:t>College of Medicine Human Genome Sequencing Center using Nano or PCR-free DNA libraries on the Illumina HiSeq 2000. Genotyping for the Affymetrix Genome-Wide 6.0 Human SNP Array 6.0 was performed in accordance to the manufacturers protocol and genotypes were called using Birdseed (version 2).</w:t>
      </w:r>
      <w:r>
        <w:rPr>
          <w:rFonts w:cstheme="minorHAnsi"/>
        </w:rPr>
        <w:t xml:space="preserve"> </w:t>
      </w:r>
    </w:p>
    <w:p w14:paraId="57855A1D" w14:textId="77777777" w:rsidR="00962E2A" w:rsidRDefault="00962E2A" w:rsidP="00962E2A">
      <w:pPr>
        <w:spacing w:after="0" w:line="240" w:lineRule="auto"/>
        <w:rPr>
          <w:rFonts w:cstheme="minorHAnsi"/>
        </w:rPr>
      </w:pPr>
    </w:p>
    <w:p w14:paraId="31DF021F" w14:textId="77777777" w:rsidR="00962E2A" w:rsidRDefault="00962E2A" w:rsidP="00962E2A">
      <w:pPr>
        <w:spacing w:after="0" w:line="240" w:lineRule="auto"/>
        <w:rPr>
          <w:rFonts w:cstheme="minorHAnsi"/>
        </w:rPr>
      </w:pPr>
      <w:r>
        <w:rPr>
          <w:rFonts w:cstheme="minorHAnsi"/>
        </w:rPr>
        <w:t>With the availability of two different mtDNA-CN estimation platforms, and previous researching highlighting WGS outperforms the Affymetrix array in mtDNA-CN estimation</w:t>
      </w:r>
      <w:r>
        <w:rPr>
          <w:rFonts w:cstheme="minorHAnsi"/>
        </w:rPr>
        <w:fldChar w:fldCharType="begin"/>
      </w:r>
      <w:r>
        <w:rPr>
          <w:rFonts w:cstheme="minorHAnsi"/>
        </w:rPr>
        <w:instrText xml:space="preserve"> ADDIN ZOTERO_ITEM CSL_CITATION {"citationID":"huLaSVrF","properties":{"formattedCitation":"\\super 4\\nosupersub{}","plainCitation":"4","noteIndex":0},"citationItems":[{"id":"XE2wRhtC/IDkm4OUT","uris":["http://zotero.org/users/4514930/items/PNXRWQFB"],"uri":["http://zotero.org/users/4514930/items/PNXRWQFB"],"itemData":{"id":1043,"type":"article-journal","abstract":"Mitochondrial DNA copy number (mtDNA-CN), a measure of the number of mitochondrial genomes per cell, is a minimally invasive proxy measure for mitochondrial function and has been associated with several aging-related diseases. Although quantitative real-time PCR (qPCR) is the current gold standard method for measuring mtDNA-CN, mtDNA-CN can also be measured from genotyping microarray probe intensities and DNA sequencing read counts. To conduct a comprehensive examination on the performance of these methods, we use known mtDNA-CN correlates (age, sex, white blood cell count, Duffy locus genotype, incident cardiovascular disease) to evaluate mtDNA-CN calculated from qPCR, two microarray platforms, as well as whole genome (WGS) and whole exome sequence (WES) data across 1,085 participants from the Atherosclerosis Risk in Communities (ARIC) study and 3,489 participants from the Multi-Ethnic Study of Atherosclerosis (MESA). We observe mtDNA-CN derived from WGS data is significantly more associated with known correlates compared to all other methods (p &lt; 0.001). Additionally, mtDNA-CN measured from WGS is on average more significantly associated with traits by 5.6 orders of magnitude and has effect size estimates 5.8 times more extreme than the current gold standard of qPCR. We further investigated the role of DNA extraction method on mtDNA-CN estimate reproducibility and found mtDNA-CN estimated from cell lysate is significantly less variable than traditional phenol-chloroform-isoamyl alcohol (p = 5.44x10-4) and silica-based column selection (p = 2.82x10-7). In conclusion, we recommend the field moves towards more accurate methods for mtDNA-CN, as well as re-analyze trait associations as more WGS data becomes available from larger initiatives such as TOPMed.","container-title":"PLOS ONE","DOI":"10.1371/journal.pone.0228166","ISSN":"1932-6203","issue":"1","journalAbbreviation":"PLOS ONE","language":"en","note":"publisher: Public Library of Science","page":"e0228166","source":"PLoS Journals","title":"Evaluation of mitochondrial DNA copy number estimation techniques","volume":"15","author":[{"family":"Longchamps","given":"Ryan J."},{"family":"Castellani","given":"Christina A."},{"family":"Yang","given":"Stephanie Y."},{"family":"Newcomb","given":"Charles E."},{"family":"Sumpter","given":"Jason A."},{"family":"Lane","given":"John"},{"family":"Grove","given":"Megan L."},{"family":"Guallar","given":"Eliseo"},{"family":"Pankratz","given":"Nathan"},{"family":"Taylor","given":"Kent D."},{"family":"Rotter","given":"Jerome I."},{"family":"Boerwinkle","given":"Eric"},{"family":"Arking","given":"Dan E."}],"issued":{"date-parts":[["2020",1,31]]}}}],"schema":"https://github.com/citation-style-language/schema/raw/master/csl-citation.json"} </w:instrText>
      </w:r>
      <w:r>
        <w:rPr>
          <w:rFonts w:cstheme="minorHAnsi"/>
        </w:rPr>
        <w:fldChar w:fldCharType="separate"/>
      </w:r>
      <w:r w:rsidRPr="00206622">
        <w:rPr>
          <w:rFonts w:ascii="Calibri" w:hAnsi="Calibri" w:cs="Calibri"/>
          <w:szCs w:val="24"/>
          <w:vertAlign w:val="superscript"/>
        </w:rPr>
        <w:t>4</w:t>
      </w:r>
      <w:r>
        <w:rPr>
          <w:rFonts w:cstheme="minorHAnsi"/>
        </w:rPr>
        <w:fldChar w:fldCharType="end"/>
      </w:r>
      <w:r>
        <w:rPr>
          <w:rFonts w:cstheme="minorHAnsi"/>
        </w:rPr>
        <w:t>, mtDNA-CN was called first from the 2,923 individuals with WGS data. Copy number was additionally estimated in 8,687 from the Affymetrix genotyping array for individuals without WGS data. WGS and Affymetrix mtDNA-CN batches were treated as separate cohorts due to differences in population distribution. Missing white blood cell count data (14.7%) was imputed to the mean.</w:t>
      </w:r>
    </w:p>
    <w:p w14:paraId="53613534" w14:textId="77777777" w:rsidR="00962E2A" w:rsidRDefault="00962E2A" w:rsidP="00962E2A">
      <w:pPr>
        <w:spacing w:after="0" w:line="240" w:lineRule="auto"/>
        <w:rPr>
          <w:rFonts w:cstheme="minorHAnsi"/>
          <w:b/>
          <w:bCs/>
        </w:rPr>
      </w:pPr>
    </w:p>
    <w:p w14:paraId="5342F2D7" w14:textId="77777777" w:rsidR="00962E2A" w:rsidRDefault="00962E2A" w:rsidP="00962E2A">
      <w:pPr>
        <w:spacing w:after="0" w:line="240" w:lineRule="auto"/>
        <w:rPr>
          <w:rFonts w:cstheme="minorHAnsi"/>
          <w:i/>
          <w:iCs/>
        </w:rPr>
      </w:pPr>
      <w:r>
        <w:rPr>
          <w:rFonts w:cstheme="minorHAnsi"/>
          <w:i/>
          <w:iCs/>
        </w:rPr>
        <w:t>CHS</w:t>
      </w:r>
    </w:p>
    <w:p w14:paraId="4A6B11F9" w14:textId="3C97A9AB" w:rsidR="00962E2A" w:rsidRDefault="00962E2A" w:rsidP="00962E2A">
      <w:pPr>
        <w:spacing w:after="0" w:line="240" w:lineRule="auto"/>
        <w:rPr>
          <w:rFonts w:eastAsia="Times New Roman" w:cstheme="minorHAnsi"/>
        </w:rPr>
      </w:pPr>
      <w:r w:rsidRPr="00F702FF">
        <w:rPr>
          <w:rFonts w:eastAsia="Times New Roman" w:cstheme="minorHAnsi"/>
        </w:rPr>
        <w:t>The Cardiovascular Health Study (CHS) is a population-based cohort study of risk factors for coronary heart disease and stroke in adults ≥65 years conducted across four field centers</w:t>
      </w:r>
      <w:r>
        <w:rPr>
          <w:rFonts w:eastAsia="Times New Roman" w:cstheme="minorHAnsi"/>
        </w:rPr>
        <w:fldChar w:fldCharType="begin"/>
      </w:r>
      <w:r>
        <w:rPr>
          <w:rFonts w:eastAsia="Times New Roman" w:cstheme="minorHAnsi"/>
        </w:rPr>
        <w:instrText xml:space="preserve"> ADDIN ZOTERO_ITEM CSL_CITATION {"citationID":"glUSyjFH","properties":{"formattedCitation":"\\super 5\\nosupersub{}","plainCitation":"5","noteIndex":0},"citationItems":[{"id":"XE2wRhtC/LrzZyDSE","uris":["http://zotero.org/users/4514930/items/WUB3BGH7"],"uri":["http://zotero.org/users/4514930/items/WUB3BGH7"],"itemData":{"id":31,"type":"article-journal","abstract":"The Cardiovascular Health Study (CHS) is a population-based, longitudinal study of coronary heart disease and stroke in adults aged 65 years and older. The main objective of the study is to identify factors related to the onset and course of coronary heart disease and stroke. CHS is designed to determine the importance of conventional cardiovascular disease (CVD) risk factors in older adults, and to identify new risk factors in this age group, especially those that may be protective and modifiable. The study design called for enrollment of 1250 men and women in each of four communities: Forsyth County, North Carolina; Sacramento County, California; Washington County, Maryland; and Pittsburgh, Pennsylvania. Eligible participants were sampled from Medicare eligibility lists in each area. Extensive physical and laboratory evaluations were performed at baseline to identify the presence and severity of CVD risk factors such as hypertension, hypercholesterolemia and glucose intolerance; subclinical disease such as carotid artery atherosclerosis, left ventricular enlargement, and transient ischemia; and clinically overt CVD. These examinations in CHS permit evaluation of CVD risk factors in older adults, particularly in groups previously under-represented in epidemiologic studies, such as women and the very old. The first of two examination cycles began in June 1989. A second comprehensive examination will be repeated three years later. Periodic interim contacts are scheduled to ascertain and verify the incidence of CVD events, the frequency of recurrent events, and the sequellae of CVD.","container-title":"Annals of Epidemiology","ISSN":"1047-2797","issue":"3","journalAbbreviation":"Ann Epidemiol","language":"eng","note":"PMID: 1669507","page":"263-276","source":"PubMed","title":"The Cardiovascular Health Study: design and rationale","title-short":"The Cardiovascular Health Study","volume":"1","author":[{"family":"Fried","given":"L. P."},{"family":"Borhani","given":"N. O."},{"family":"Enright","given":"P."},{"family":"Furberg","given":"C. D."},{"family":"Gardin","given":"J. M."},{"family":"Kronmal","given":"R. A."},{"family":"Kuller","given":"L. H."},{"family":"Manolio","given":"T. A."},{"family":"Mittelmark","given":"M. B."},{"family":"Newman","given":"A."}],"issued":{"date-parts":[["1991",2]]}}}],"schema":"https://github.com/citation-style-language/schema/raw/master/csl-citation.json"} </w:instrText>
      </w:r>
      <w:r>
        <w:rPr>
          <w:rFonts w:eastAsia="Times New Roman" w:cstheme="minorHAnsi"/>
        </w:rPr>
        <w:fldChar w:fldCharType="separate"/>
      </w:r>
      <w:r w:rsidRPr="00206622">
        <w:rPr>
          <w:rFonts w:ascii="Calibri" w:hAnsi="Calibri" w:cs="Calibri"/>
          <w:szCs w:val="24"/>
          <w:vertAlign w:val="superscript"/>
        </w:rPr>
        <w:t>5</w:t>
      </w:r>
      <w:r>
        <w:rPr>
          <w:rFonts w:eastAsia="Times New Roman" w:cstheme="minorHAnsi"/>
        </w:rPr>
        <w:fldChar w:fldCharType="end"/>
      </w:r>
      <w:r w:rsidRPr="00F702FF">
        <w:rPr>
          <w:rFonts w:eastAsia="Times New Roman" w:cstheme="minorHAnsi"/>
        </w:rPr>
        <w:t xml:space="preserve">. The original predominantly </w:t>
      </w:r>
      <w:r w:rsidR="00746BE4">
        <w:rPr>
          <w:rFonts w:eastAsia="Times New Roman" w:cstheme="minorHAnsi"/>
        </w:rPr>
        <w:t>White</w:t>
      </w:r>
      <w:r w:rsidRPr="00F702FF">
        <w:rPr>
          <w:rFonts w:eastAsia="Times New Roman" w:cstheme="minorHAnsi"/>
        </w:rPr>
        <w:t xml:space="preserve"> cohort of 5,201 persons was recruited in 1989-1990 from random samples of the Medicare eligibility lists; subsequently, an additional predominantly </w:t>
      </w:r>
      <w:r>
        <w:rPr>
          <w:rFonts w:eastAsia="Times New Roman" w:cstheme="minorHAnsi"/>
        </w:rPr>
        <w:t xml:space="preserve">Black </w:t>
      </w:r>
      <w:r w:rsidRPr="00F702FF">
        <w:rPr>
          <w:rFonts w:eastAsia="Times New Roman" w:cstheme="minorHAnsi"/>
        </w:rPr>
        <w:t>cohort of 687 persons were enrolled for a total sample of 5,888.</w:t>
      </w:r>
    </w:p>
    <w:p w14:paraId="089D5E91" w14:textId="3DDF89E8" w:rsidR="00962E2A" w:rsidRDefault="00962E2A" w:rsidP="00962E2A">
      <w:pPr>
        <w:spacing w:after="0" w:line="240" w:lineRule="auto"/>
        <w:rPr>
          <w:rFonts w:eastAsia="Times New Roman" w:cstheme="minorHAnsi"/>
        </w:rPr>
      </w:pPr>
      <w:r>
        <w:br/>
      </w:r>
      <w:r w:rsidRPr="281CAFD1">
        <w:rPr>
          <w:rFonts w:eastAsia="Times New Roman"/>
        </w:rPr>
        <w:t xml:space="preserve">Blood samples were drawn from all participants at their baseline examination and DNA was subsequently extracted from available samples. Genotyping was performed at the General Clinical Research Center’s Phenotyping/Genotyping Laboratory at Cedars-Sinai among CHS participants who consented to genetic testing and had DNA available using the Illumina 370CNV BeadChip system (for </w:t>
      </w:r>
      <w:r w:rsidR="00B632D4">
        <w:rPr>
          <w:rFonts w:eastAsia="Times New Roman"/>
        </w:rPr>
        <w:t>White</w:t>
      </w:r>
      <w:r w:rsidRPr="281CAFD1">
        <w:rPr>
          <w:rFonts w:eastAsia="Times New Roman"/>
        </w:rPr>
        <w:t xml:space="preserve"> participants, in 2007) or the Illumina HumanOmni1-Quad_v1 BeadChip system (for Black participants, in 2010).</w:t>
      </w:r>
    </w:p>
    <w:p w14:paraId="1841A3BD" w14:textId="77777777" w:rsidR="00962E2A" w:rsidRDefault="00962E2A" w:rsidP="00962E2A">
      <w:pPr>
        <w:spacing w:after="0" w:line="240" w:lineRule="auto"/>
        <w:rPr>
          <w:rFonts w:cstheme="minorHAnsi"/>
          <w:b/>
          <w:bCs/>
        </w:rPr>
      </w:pPr>
    </w:p>
    <w:p w14:paraId="293352F1" w14:textId="77777777" w:rsidR="00962E2A" w:rsidRPr="00F702FF" w:rsidRDefault="00962E2A" w:rsidP="00962E2A">
      <w:pPr>
        <w:spacing w:after="0" w:line="240" w:lineRule="auto"/>
        <w:rPr>
          <w:rFonts w:cstheme="minorHAnsi"/>
          <w:i/>
          <w:iCs/>
        </w:rPr>
      </w:pPr>
      <w:r>
        <w:rPr>
          <w:rFonts w:cstheme="minorHAnsi"/>
          <w:i/>
          <w:iCs/>
        </w:rPr>
        <w:t>MESA</w:t>
      </w:r>
    </w:p>
    <w:p w14:paraId="3101B3C1" w14:textId="77777777" w:rsidR="00962E2A" w:rsidRPr="00927716" w:rsidRDefault="00962E2A" w:rsidP="00962E2A">
      <w:pPr>
        <w:spacing w:after="0" w:line="240" w:lineRule="auto"/>
        <w:rPr>
          <w:rFonts w:cstheme="minorHAnsi"/>
          <w:b/>
          <w:bCs/>
        </w:rPr>
      </w:pPr>
      <w:r w:rsidRPr="00927716">
        <w:rPr>
          <w:rFonts w:cstheme="minorHAnsi"/>
        </w:rPr>
        <w:t xml:space="preserve">The MESA study recruited 6,814 individuals from 6 US communities free of prevalent clinical CVD across 4 ethnicities. Age range at baseline was 45 to 84 and the baseline exam occurred between 2000 and 2002. </w:t>
      </w:r>
      <w:r>
        <w:t xml:space="preserve">Affymetrix Genome-Wide Human SNP Array 6.0 genotype data was available for 8,227 unique individuals within the MESA cohort. DNA derived from MESA Family, a subset of MESA, originated from cell lines and was excluded resulting in a final sample size of 5,916. </w:t>
      </w:r>
      <w:r w:rsidRPr="00927716">
        <w:rPr>
          <w:rFonts w:cstheme="minorHAnsi"/>
        </w:rPr>
        <w:t xml:space="preserve">DNA for mtDNA-CN analyses was isolated from exam 1 peripheral leukocytes using the Gentra Puregene Blood Kit. </w:t>
      </w:r>
    </w:p>
    <w:p w14:paraId="2959C28A" w14:textId="77777777" w:rsidR="00962E2A" w:rsidRDefault="00962E2A" w:rsidP="00962E2A">
      <w:pPr>
        <w:spacing w:after="0" w:line="240" w:lineRule="auto"/>
        <w:rPr>
          <w:rFonts w:cstheme="minorHAnsi"/>
          <w:b/>
          <w:bCs/>
        </w:rPr>
      </w:pPr>
    </w:p>
    <w:p w14:paraId="7388F049" w14:textId="77777777" w:rsidR="00962E2A" w:rsidRDefault="00962E2A" w:rsidP="00962E2A">
      <w:pPr>
        <w:spacing w:after="0" w:line="240" w:lineRule="auto"/>
        <w:rPr>
          <w:rFonts w:cstheme="minorHAnsi"/>
          <w:i/>
          <w:iCs/>
        </w:rPr>
      </w:pPr>
      <w:r>
        <w:rPr>
          <w:rFonts w:cstheme="minorHAnsi"/>
          <w:i/>
          <w:iCs/>
        </w:rPr>
        <w:t>ROS/MAP</w:t>
      </w:r>
    </w:p>
    <w:p w14:paraId="67771DA6" w14:textId="77777777" w:rsidR="00962E2A" w:rsidRPr="00F702FF" w:rsidRDefault="00962E2A" w:rsidP="00962E2A">
      <w:pPr>
        <w:spacing w:after="0" w:line="240" w:lineRule="auto"/>
        <w:rPr>
          <w:rFonts w:cstheme="minorHAnsi"/>
        </w:rPr>
      </w:pPr>
      <w:r w:rsidRPr="00F702FF">
        <w:rPr>
          <w:rFonts w:cstheme="minorHAnsi"/>
        </w:rPr>
        <w:t xml:space="preserve">The </w:t>
      </w:r>
      <w:r>
        <w:rPr>
          <w:rFonts w:cstheme="minorHAnsi"/>
        </w:rPr>
        <w:t>Rush Religious Orders Study (</w:t>
      </w:r>
      <w:r w:rsidRPr="00F702FF">
        <w:rPr>
          <w:rFonts w:cstheme="minorHAnsi"/>
        </w:rPr>
        <w:t>ROS</w:t>
      </w:r>
      <w:r>
        <w:rPr>
          <w:rFonts w:cstheme="minorHAnsi"/>
        </w:rPr>
        <w:t>)</w:t>
      </w:r>
      <w:r w:rsidRPr="00F702FF">
        <w:rPr>
          <w:rFonts w:cstheme="minorHAnsi"/>
        </w:rPr>
        <w:t>, started in 1994, enrolled Catholic priests, nuns, and brothers, from about 4</w:t>
      </w:r>
      <w:r>
        <w:rPr>
          <w:rFonts w:cstheme="minorHAnsi"/>
        </w:rPr>
        <w:t>5</w:t>
      </w:r>
      <w:r w:rsidRPr="00F702FF">
        <w:rPr>
          <w:rFonts w:cstheme="minorHAnsi"/>
        </w:rPr>
        <w:t xml:space="preserve"> groups in 1</w:t>
      </w:r>
      <w:r>
        <w:rPr>
          <w:rFonts w:cstheme="minorHAnsi"/>
        </w:rPr>
        <w:t>4</w:t>
      </w:r>
      <w:r w:rsidRPr="00F702FF">
        <w:rPr>
          <w:rFonts w:cstheme="minorHAnsi"/>
        </w:rPr>
        <w:t xml:space="preserve"> states. Since January 1994</w:t>
      </w:r>
      <w:r>
        <w:rPr>
          <w:rFonts w:cstheme="minorHAnsi"/>
        </w:rPr>
        <w:t xml:space="preserve"> to the time this dataset was frozen</w:t>
      </w:r>
      <w:r w:rsidRPr="00F702FF">
        <w:rPr>
          <w:rFonts w:cstheme="minorHAnsi"/>
        </w:rPr>
        <w:t xml:space="preserve">, 1321 participants completed their baseline evaluation, of whom 1259 were non-Hispanic white. The follow-up rate of survivors exceeds 90%. Participants were free of known dementia at enrollment, agreed to </w:t>
      </w:r>
      <w:r w:rsidRPr="00F702FF">
        <w:rPr>
          <w:rFonts w:cstheme="minorHAnsi"/>
        </w:rPr>
        <w:lastRenderedPageBreak/>
        <w:t xml:space="preserve">annual clinical evaluations, and signed both an informed consent and an Anatomic Gift Act donating their brains at time of death. </w:t>
      </w:r>
      <w:r>
        <w:rPr>
          <w:rFonts w:cstheme="minorHAnsi"/>
        </w:rPr>
        <w:t xml:space="preserve">They also signed a repository consent allowing their data to be shared. ROS was approved by an Institutional Review Board of Rush University Medical Center. </w:t>
      </w:r>
      <w:r w:rsidRPr="00F702FF">
        <w:rPr>
          <w:rFonts w:cstheme="minorHAnsi"/>
        </w:rPr>
        <w:t>A more detailed description of ROS has been published previously</w:t>
      </w:r>
      <w:r>
        <w:rPr>
          <w:rFonts w:cstheme="minorHAnsi"/>
        </w:rPr>
        <w:fldChar w:fldCharType="begin"/>
      </w:r>
      <w:r>
        <w:rPr>
          <w:rFonts w:cstheme="minorHAnsi"/>
        </w:rPr>
        <w:instrText xml:space="preserve"> ADDIN ZOTERO_ITEM CSL_CITATION {"citationID":"5nnaIDZp","properties":{"formattedCitation":"\\super 6\\nosupersub{}","plainCitation":"6","noteIndex":0},"citationItems":[{"id":"XE2wRhtC/WOHESL5H","uris":["http://zotero.org/users/4514930/items/UFCZRVRX"],"uri":["http://zotero.org/users/4514930/items/UFCZRVRX"],"itemData":{"id":1125,"type":"article-journal","abstract":"The Religious Orders Study is a longitudinal clinical-pathologic cohort study of aging and Alzheimer’s disease (AD). In this manuscript, we summarize the study methods including the study design and describe the clinical evaluation, assessment of risk factors, collection of ante-mortem biological specimens, brain autopsy and collection of selected post-mortem data. The results: 1) review the relation of neuropathologic indices to clinical diagnoses and cognition proximate to death; 2) examine the relation of risk factors to clinical outcomes; 3) examine the relation of risk factors to measures of neuropathology; and 4) summarize additional study findings. We then discuss and contextualize the study findings.","container-title":"Current Alzheimer research","ISSN":"1567-2050","issue":"6","journalAbbreviation":"Curr Alzheimer Res","note":"PMID: 22471860\nPMCID: PMC3409291","page":"628-645","source":"PubMed Central","title":"OVERVIEW AND FINDINGS FROM THE RELIGIOUS ORDERS STUDY","volume":"9","author":[{"family":"Bennett","given":"David A."},{"family":"Schneider","given":"Julie A."},{"family":"Arvanitakis","given":"Zoe"},{"family":"Wilson","given":"Robert S."}],"issued":{"date-parts":[["2012",7,1]]}}}],"schema":"https://github.com/citation-style-language/schema/raw/master/csl-citation.json"} </w:instrText>
      </w:r>
      <w:r>
        <w:rPr>
          <w:rFonts w:cstheme="minorHAnsi"/>
        </w:rPr>
        <w:fldChar w:fldCharType="separate"/>
      </w:r>
      <w:r w:rsidRPr="006B3BF7">
        <w:rPr>
          <w:rFonts w:ascii="Calibri" w:hAnsi="Calibri" w:cs="Calibri"/>
          <w:szCs w:val="24"/>
          <w:vertAlign w:val="superscript"/>
        </w:rPr>
        <w:t>6</w:t>
      </w:r>
      <w:r>
        <w:rPr>
          <w:rFonts w:cstheme="minorHAnsi"/>
        </w:rPr>
        <w:fldChar w:fldCharType="end"/>
      </w:r>
      <w:r w:rsidRPr="00F702FF">
        <w:rPr>
          <w:rFonts w:cstheme="minorHAnsi"/>
        </w:rPr>
        <w:t xml:space="preserve">. </w:t>
      </w:r>
      <w:r>
        <w:rPr>
          <w:rFonts w:cstheme="minorHAnsi"/>
        </w:rPr>
        <w:t>Participation included</w:t>
      </w:r>
      <w:r w:rsidRPr="00F702FF">
        <w:rPr>
          <w:rFonts w:cstheme="minorHAnsi"/>
        </w:rPr>
        <w:t xml:space="preserve"> a neuropsychological test battery. DNA was extracted from whole blood</w:t>
      </w:r>
      <w:r>
        <w:rPr>
          <w:rFonts w:cstheme="minorHAnsi"/>
        </w:rPr>
        <w:t xml:space="preserve"> or brain</w:t>
      </w:r>
      <w:r w:rsidRPr="00F702FF">
        <w:rPr>
          <w:rFonts w:cstheme="minorHAnsi"/>
        </w:rPr>
        <w:t xml:space="preserve">. Genotyping was performed at the Broad Institute’s Center for Genotyping and the Translational Genomics Research Institute. </w:t>
      </w:r>
    </w:p>
    <w:p w14:paraId="5FB95054" w14:textId="77777777" w:rsidR="00962E2A" w:rsidRPr="00F702FF" w:rsidRDefault="00962E2A" w:rsidP="00962E2A">
      <w:pPr>
        <w:spacing w:after="0" w:line="240" w:lineRule="auto"/>
        <w:rPr>
          <w:rFonts w:cstheme="minorHAnsi"/>
        </w:rPr>
      </w:pPr>
    </w:p>
    <w:p w14:paraId="634B9D5A" w14:textId="4BBB06F2" w:rsidR="00962E2A" w:rsidRDefault="00962E2A" w:rsidP="00962E2A">
      <w:pPr>
        <w:spacing w:after="0" w:line="240" w:lineRule="auto"/>
        <w:rPr>
          <w:rFonts w:cstheme="minorHAnsi"/>
        </w:rPr>
      </w:pPr>
      <w:r w:rsidRPr="00F702FF">
        <w:rPr>
          <w:rFonts w:cstheme="minorHAnsi"/>
        </w:rPr>
        <w:t>The Rush Memory and AP</w:t>
      </w:r>
      <w:r>
        <w:rPr>
          <w:rFonts w:cstheme="minorHAnsi"/>
        </w:rPr>
        <w:t xml:space="preserve"> (MAP)</w:t>
      </w:r>
      <w:r w:rsidRPr="00F702FF">
        <w:rPr>
          <w:rFonts w:cstheme="minorHAnsi"/>
        </w:rPr>
        <w:t xml:space="preserve">, started in 1997, enrolled older men and women from </w:t>
      </w:r>
      <w:r>
        <w:rPr>
          <w:rFonts w:cstheme="minorHAnsi"/>
        </w:rPr>
        <w:t xml:space="preserve">retirement communities, subsidized housing, and individual home </w:t>
      </w:r>
      <w:r w:rsidRPr="00F702FF">
        <w:rPr>
          <w:rFonts w:cstheme="minorHAnsi"/>
        </w:rPr>
        <w:t xml:space="preserve">in the </w:t>
      </w:r>
      <w:r>
        <w:rPr>
          <w:rFonts w:cstheme="minorHAnsi"/>
        </w:rPr>
        <w:t xml:space="preserve">greater </w:t>
      </w:r>
      <w:r w:rsidRPr="00F702FF">
        <w:rPr>
          <w:rFonts w:cstheme="minorHAnsi"/>
        </w:rPr>
        <w:t>Chicago area with</w:t>
      </w:r>
      <w:r>
        <w:rPr>
          <w:rFonts w:cstheme="minorHAnsi"/>
        </w:rPr>
        <w:t>out known</w:t>
      </w:r>
      <w:r w:rsidRPr="00F702FF">
        <w:rPr>
          <w:rFonts w:cstheme="minorHAnsi"/>
        </w:rPr>
        <w:t xml:space="preserve"> dementia at baseline. Since October 1997</w:t>
      </w:r>
      <w:r>
        <w:rPr>
          <w:rFonts w:cstheme="minorHAnsi"/>
        </w:rPr>
        <w:t xml:space="preserve"> to the time this dataset was frozen</w:t>
      </w:r>
      <w:r w:rsidRPr="00F702FF">
        <w:rPr>
          <w:rFonts w:cstheme="minorHAnsi"/>
        </w:rPr>
        <w:t xml:space="preserve">, 1815 participants completed their baseline evaluation, of whom 1701 were non-Hispanic white people. The follow-up rate of survivors exceeds 90%. Participants agreed to annual clinical evaluations, and signed both an informed consent and an Anatomic Gift Act donating their brains at time of death. </w:t>
      </w:r>
      <w:r>
        <w:rPr>
          <w:rFonts w:cstheme="minorHAnsi"/>
        </w:rPr>
        <w:t xml:space="preserve">They also signed a repository consent allowing their data to be shared. ROS was approved by an Institutional Review Board of Rush University Medical Center. </w:t>
      </w:r>
      <w:r w:rsidRPr="00F702FF">
        <w:rPr>
          <w:rFonts w:cstheme="minorHAnsi"/>
        </w:rPr>
        <w:t>A more detailed description of the MAP has been published previously</w:t>
      </w:r>
      <w:r>
        <w:rPr>
          <w:rFonts w:cstheme="minorHAnsi"/>
        </w:rPr>
        <w:fldChar w:fldCharType="begin"/>
      </w:r>
      <w:r>
        <w:rPr>
          <w:rFonts w:cstheme="minorHAnsi"/>
        </w:rPr>
        <w:instrText xml:space="preserve"> ADDIN ZOTERO_ITEM CSL_CITATION {"citationID":"c3NcjTnF","properties":{"formattedCitation":"\\super 7\\nosupersub{}","plainCitation":"7","noteIndex":0},"citationItems":[{"id":"XE2wRhtC/H0lL1n9l","uris":["http://zotero.org/users/4514930/items/I5N47I6Z"],"uri":["http://zotero.org/users/4514930/items/I5N47I6Z"],"itemData":{"id":1128,"type":"article-journal","abstract":"The Memory and Aging Project is a longitudinal, epidemiologic clinical-pathologic cohort study of common chronic conditions of aging with an emphasis on decline in cognitive and motor function and risk of Alzheimer's disease (AD). In this manuscript, we first summarize the study design and methods. Then, we present data on: 1) the relation of motor function to cognition, disability, and death; 2) the relation of risk factors to cognitive and motor outcomes, disability and death; 3) the relation of neuropathologic indices to cognitive outcomes; 4) the relation of risk factors to neuropathologic indices; and 5) additional study findings. The findings are discussed and contextualized.","container-title":"Current Alzheimer research","ISSN":"1567-2050","issue":"6","journalAbbreviation":"Curr Alzheimer Res","note":"PMID: 22471867\nPMCID: PMC3439198","page":"646-663","source":"PubMed Central","title":"Overview and Findings from the Rush Memory and Aging Project","volume":"9","author":[{"family":"Bennett","given":"David A."},{"family":"Schneider","given":"Julie A."},{"family":"Buchman","given":"Aron S."},{"family":"Barnes","given":"Lisa L."},{"family":"Boyle","given":"Patricia A."},{"family":"Wilson","given":"Robert S."}],"issued":{"date-parts":[["2012",7,1]]}}}],"schema":"https://github.com/citation-style-language/schema/raw/master/csl-citation.json"} </w:instrText>
      </w:r>
      <w:r>
        <w:rPr>
          <w:rFonts w:cstheme="minorHAnsi"/>
        </w:rPr>
        <w:fldChar w:fldCharType="separate"/>
      </w:r>
      <w:r w:rsidRPr="006B3BF7">
        <w:rPr>
          <w:rFonts w:ascii="Calibri" w:hAnsi="Calibri" w:cs="Calibri"/>
          <w:szCs w:val="24"/>
          <w:vertAlign w:val="superscript"/>
        </w:rPr>
        <w:t>7</w:t>
      </w:r>
      <w:r>
        <w:rPr>
          <w:rFonts w:cstheme="minorHAnsi"/>
        </w:rPr>
        <w:fldChar w:fldCharType="end"/>
      </w:r>
      <w:r w:rsidRPr="00F702FF">
        <w:rPr>
          <w:rFonts w:cstheme="minorHAnsi"/>
        </w:rPr>
        <w:t xml:space="preserve">. </w:t>
      </w:r>
      <w:r>
        <w:rPr>
          <w:rFonts w:cstheme="minorHAnsi"/>
        </w:rPr>
        <w:t>Participation included</w:t>
      </w:r>
      <w:r w:rsidR="00CA3ADC">
        <w:rPr>
          <w:rFonts w:cstheme="minorHAnsi"/>
        </w:rPr>
        <w:t xml:space="preserve"> </w:t>
      </w:r>
      <w:r w:rsidRPr="00F702FF">
        <w:rPr>
          <w:rFonts w:cstheme="minorHAnsi"/>
        </w:rPr>
        <w:t>a neuropsychological test battery. DNA was extracted from whole blood</w:t>
      </w:r>
      <w:r>
        <w:rPr>
          <w:rFonts w:cstheme="minorHAnsi"/>
        </w:rPr>
        <w:t xml:space="preserve"> or brain</w:t>
      </w:r>
      <w:r w:rsidRPr="00F702FF">
        <w:rPr>
          <w:rFonts w:cstheme="minorHAnsi"/>
        </w:rPr>
        <w:t>. Genotyping was performed at the Broad Institute’s Center for Genotyping and the Translational Genomics Research Institute.</w:t>
      </w:r>
    </w:p>
    <w:p w14:paraId="66E062AE" w14:textId="77777777" w:rsidR="00962E2A" w:rsidRDefault="00962E2A" w:rsidP="00962E2A">
      <w:pPr>
        <w:spacing w:after="0" w:line="240" w:lineRule="auto"/>
        <w:rPr>
          <w:rFonts w:cstheme="minorHAnsi"/>
        </w:rPr>
      </w:pPr>
    </w:p>
    <w:p w14:paraId="49369702" w14:textId="77777777" w:rsidR="00962E2A" w:rsidRDefault="00962E2A" w:rsidP="00962E2A">
      <w:pPr>
        <w:spacing w:after="0" w:line="240" w:lineRule="auto"/>
        <w:rPr>
          <w:rFonts w:cstheme="minorHAnsi"/>
        </w:rPr>
      </w:pPr>
      <w:r>
        <w:rPr>
          <w:rFonts w:cstheme="minorHAnsi"/>
          <w:i/>
          <w:iCs/>
        </w:rPr>
        <w:t>SHIP</w:t>
      </w:r>
    </w:p>
    <w:p w14:paraId="4E4C13D9" w14:textId="77777777" w:rsidR="00962E2A" w:rsidRPr="00F702FF" w:rsidRDefault="00962E2A" w:rsidP="00962E2A">
      <w:pPr>
        <w:spacing w:after="0" w:line="240" w:lineRule="auto"/>
        <w:rPr>
          <w:rFonts w:cstheme="minorHAnsi"/>
        </w:rPr>
      </w:pPr>
      <w:r w:rsidRPr="00F702FF">
        <w:rPr>
          <w:rFonts w:cstheme="minorHAnsi"/>
        </w:rPr>
        <w:t>The Study of Health in Pomerania (SHIP) is a population-based project in West Pomerania, the north-east area of Germany</w:t>
      </w:r>
      <w:r>
        <w:rPr>
          <w:rFonts w:cstheme="minorHAnsi"/>
        </w:rPr>
        <w:fldChar w:fldCharType="begin"/>
      </w:r>
      <w:r>
        <w:rPr>
          <w:rFonts w:cstheme="minorHAnsi"/>
        </w:rPr>
        <w:instrText xml:space="preserve"> ADDIN ZOTERO_ITEM CSL_CITATION {"citationID":"3oqxUhR6","properties":{"formattedCitation":"\\super 8,9\\nosupersub{}","plainCitation":"8,9","noteIndex":0},"citationItems":[{"id":"XE2wRhtC/DtPJbvIe","uris":["http://zotero.org/users/4514930/items/2FYXNKMW"],"uri":["http://zotero.org/users/4514930/items/2FYXNKMW"],"itemData":{"id":29,"type":"article-journal","abstract":"OBJECTIVES: The reason for the Study of Health in Pomerania (SHIP) is the lack of epidemiological studies with a broad range of health indicators. Furthermore, in Germany there is a need for studies that take into account the particular situation of life after the reunification. One objective of SHIP is to provide prevalence estimates on a broad range of diseases, risk and health factors for a defined region in the former GDR.\nMETHODS: A sample of 7008 women and men aged 20 to 79 years in a north-east region of Germany, 4900 expected participants. The sample was drawn in two steps: First, 32 communities in the region were selected. Second, within the communities a simple random sample was drawn from residence registries, stratified by gender and age. The data collection and instruments include four parts: oral health examination, medical examination, health-related interview, and a health- and risk-factor-related questionnaire. The oral health examination includes the teeth, periodontium, oral mucosa, craniomandibular system, and prosthodontics. The medical examination includes blood pressure measurements, electrocardiography, echocardiography, carotid, thyroid and liver ultrasounds, neurological screening, blood and urine sampling. The computer-aided health-related interview includes cardiovascular symptoms, utilisation of medical services, health-related behaviours, and socioeconomic variables. The self-administered questionnaire comprises housing conditions, social network, work conditions, subjective well-being and individual consequences from the German reunification.","container-title":"Sozial- Und Praventivmedizin","ISSN":"0303-8408","issue":"3","journalAbbreviation":"Soz Praventivmed","language":"eng","note":"PMID: 11565448","page":"186-194","source":"PubMed","title":"Study of Health In Pomerania (SHIP): a health examination survey in an east German region: objectives and design","title-short":"Study of Health In Pomerania (SHIP)","volume":"46","author":[{"family":"John","given":"U."},{"family":"Greiner","given":"B."},{"family":"Hensel","given":"E."},{"family":"Lüdemann","given":"J."},{"family":"Piek","given":"M."},{"family":"Sauer","given":"S."},{"family":"Adam","given":"C."},{"family":"Born","given":"G."},{"family":"Alte","given":"D."},{"family":"Greiser","given":"E."},{"family":"Haertel","given":"U."},{"family":"Hense","given":"H. W."},{"family":"Haerting","given":"J."},{"family":"Willich","given":"S."},{"family":"Kessler","given":"C."}],"issued":{"date-parts":[["2001"]]}}},{"id":"XE2wRhtC/t30xyY9z","uris":["http://zotero.org/users/4514930/items/78MRLJBG"],"uri":["http://zotero.org/users/4514930/items/78MRLJBG"],"itemData":{"id":30,"type":"article-journal","container-title":"International Journal of Epidemiology","DOI":"10.1093/ije/dyp394","ISSN":"1464-3685","issue":"2","journalAbbreviation":"Int J Epidemiol","language":"eng","note":"PMID: 20167617","page":"294-307","source":"PubMed","title":"Cohort profile: the study of health in Pomerania","title-short":"Cohort profile","volume":"40","author":[{"family":"Völzke","given":"Henry"},{"family":"Alte","given":"Dietrich"},{"family":"Schmidt","given":"Carsten Oliver"},{"family":"Radke","given":"Dörte"},{"family":"Lorbeer","given":"Roberto"},{"family":"Friedrich","given":"Nele"},{"family":"Aumann","given":"Nicole"},{"family":"Lau","given":"Katharina"},{"family":"Piontek","given":"Michael"},{"family":"Born","given":"Gabriele"},{"family":"Havemann","given":"Christoph"},{"family":"Ittermann","given":"Till"},{"family":"Schipf","given":"Sabine"},{"family":"Haring","given":"Robin"},{"family":"Baumeister","given":"Sebastian E."},{"family":"Wallaschofski","given":"Henri"},{"family":"Nauck","given":"Matthias"},{"family":"Frick","given":"Stephanie"},{"family":"Arnold","given":"Andreas"},{"family":"Jünger","given":"Michael"},{"family":"Mayerle","given":"Julia"},{"family":"Kraft","given":"Matthias"},{"family":"Lerch","given":"Markus M."},{"family":"Dörr","given":"Marcus"},{"family":"Reffelmann","given":"Thorsten"},{"family":"Empen","given":"Klaus"},{"family":"Felix","given":"Stephan B."},{"family":"Obst","given":"Anne"},{"family":"Koch","given":"Beate"},{"family":"Gläser","given":"Sven"},{"family":"Ewert","given":"Ralf"},{"family":"Fietze","given":"Ingo"},{"family":"Penzel","given":"Thomas"},{"family":"Dören","given":"Martina"},{"family":"Rathmann","given":"Wolfgang"},{"family":"Haerting","given":"Johannes"},{"family":"Hannemann","given":"Mario"},{"family":"Röpcke","given":"Jürgen"},{"family":"Schminke","given":"Ulf"},{"family":"Jürgens","given":"Clemens"},{"family":"Tost","given":"Frank"},{"family":"Rettig","given":"Rainer"},{"family":"Kors","given":"Jan A."},{"family":"Ungerer","given":"Saskia"},{"family":"Hegenscheid","given":"Katrin"},{"family":"Kühn","given":"Jens-Peter"},{"family":"Kühn","given":"Julia"},{"family":"Hosten","given":"Norbert"},{"family":"Puls","given":"Ralf"},{"family":"Henke","given":"Jörg"},{"family":"Gloger","given":"Oliver"},{"family":"Teumer","given":"Alexander"},{"family":"Homuth","given":"Georg"},{"family":"Völker","given":"Uwe"},{"family":"Schwahn","given":"Christian"},{"family":"Holtfreter","given":"Birte"},{"family":"Polzer","given":"Ines"},{"family":"Kohlmann","given":"Thomas"},{"family":"Grabe","given":"Hans J."},{"family":"Rosskopf","given":"Dieter"},{"family":"Kroemer","given":"Heyo K."},{"family":"Kocher","given":"Thomas"},{"family":"Biffar","given":"Reiner"},{"family":"John","given":"Ulrich"},{"family":"Hoffmann","given":"Wolfgang"}],"issued":{"date-parts":[["2011",4]]}}}],"schema":"https://github.com/citation-style-language/schema/raw/master/csl-citation.json"} </w:instrText>
      </w:r>
      <w:r>
        <w:rPr>
          <w:rFonts w:cstheme="minorHAnsi"/>
        </w:rPr>
        <w:fldChar w:fldCharType="separate"/>
      </w:r>
      <w:r w:rsidRPr="006B3BF7">
        <w:rPr>
          <w:rFonts w:ascii="Calibri" w:hAnsi="Calibri" w:cs="Calibri"/>
          <w:szCs w:val="24"/>
          <w:vertAlign w:val="superscript"/>
        </w:rPr>
        <w:t>8,9</w:t>
      </w:r>
      <w:r>
        <w:rPr>
          <w:rFonts w:cstheme="minorHAnsi"/>
        </w:rPr>
        <w:fldChar w:fldCharType="end"/>
      </w:r>
      <w:r w:rsidRPr="00F702FF">
        <w:rPr>
          <w:rFonts w:cstheme="minorHAnsi"/>
        </w:rPr>
        <w:t>. A sample from the population aged 20 to 79 years was drawn from population registries. First, the three cities of the region (with 17,076 to 65,977 inhabitants) and the 12 towns (with 1,516 to 3,044 inhabitants) were selected, and then 17 out of 97 smaller towns (with less than 1,500 inhabitants), were drawn at random. Second, from each of the selected communities, subjects were drawn at random, proportional to the population size of each community and stratified by age and gender. Only individuals with German citizenship and main residency in the study area were included. Finally, 7,008 subjects were sampled, with 292 persons of each gender in each of the twelve five-year age strata. In order to minimize drop-outs by migration or death, subjects were selected in two waves. The net sample (without migrated or deceased persons) comprised 6,267 eligible subjects. Selected persons received a maximum of three written invitations. In case of non-response, letters were followed by a phone call or by home visits if contact by phone was not possible. The SHIP population finally comprised 4,308 participants (corresponding to a final response of 68.8%).</w:t>
      </w:r>
    </w:p>
    <w:p w14:paraId="57A249CA" w14:textId="77777777" w:rsidR="00962E2A" w:rsidRDefault="00962E2A" w:rsidP="00962E2A">
      <w:pPr>
        <w:spacing w:after="0" w:line="240" w:lineRule="auto"/>
        <w:rPr>
          <w:rFonts w:cstheme="minorHAnsi"/>
        </w:rPr>
      </w:pPr>
    </w:p>
    <w:p w14:paraId="07F5C20C" w14:textId="77777777" w:rsidR="00962E2A" w:rsidRPr="00F702FF" w:rsidRDefault="00962E2A" w:rsidP="00962E2A">
      <w:pPr>
        <w:spacing w:after="0" w:line="240" w:lineRule="auto"/>
        <w:rPr>
          <w:rFonts w:cstheme="minorHAnsi"/>
          <w:i/>
          <w:iCs/>
        </w:rPr>
      </w:pPr>
      <w:r>
        <w:rPr>
          <w:rFonts w:cstheme="minorHAnsi"/>
          <w:i/>
          <w:iCs/>
        </w:rPr>
        <w:t>UK Biobank</w:t>
      </w:r>
    </w:p>
    <w:p w14:paraId="7A21FCE7" w14:textId="7321EA0B" w:rsidR="00962E2A" w:rsidRDefault="00962E2A" w:rsidP="00962E2A">
      <w:pPr>
        <w:spacing w:after="0" w:line="240" w:lineRule="auto"/>
      </w:pPr>
      <w:r w:rsidRPr="7F587BE9">
        <w:t>The UK Biobank is a prospective cohort of over 500,000 individuals originating from 22 centers within the United Kingdom aged between 40 and 69</w:t>
      </w:r>
      <w:r>
        <w:t>.</w:t>
      </w:r>
      <w:r>
        <w:fldChar w:fldCharType="begin"/>
      </w:r>
      <w:r>
        <w:instrText xml:space="preserve"> ADDIN ZOTERO_ITEM CSL_CITATION {"citationID":"rbSdJkEB","properties":{"formattedCitation":"\\super 10\\nosupersub{}","plainCitation":"10","noteIndex":0},"citationItems":[{"id":5519,"uris":["http://zotero.org/users/27763/items/U8VKPES5"],"uri":["http://zotero.org/users/27763/items/U8VKPES5"],"itemData":{"id":5519,"type":"article-journal","abstract":"The UK Biobank project is a prospective cohort study with deep genetic and phenotypic data collected on approximately 500,000 individuals from across the United Kingdom, aged between 40 and 69 at recruitment. The open resource is unique in its size and scope. A rich variety of phenotypic and health-related information is available on each participant, including biological measurements, lifestyle indicators, biomarkers in blood and urine, and imaging of the body and brain. Follow-up information is provided by linking health and medical records. Genome-wide genotype data have been collected on all participants, providing many opportunities for the discovery of new genetic associations and the genetic bases of complex traits. Here we describe the centralized analysis of the genetic data, including genotype quality, properties of population structure and relatedness of the genetic data, and efficient phasing and genotype imputation that increases the number of testable variants to around 96 million. Classical allelic variation at 11 human leukocyte antigen genes was imputed, resulting in the recovery of signals with known associations between human leukocyte antigen alleles and many diseases.","container-title":"Nature","DOI":"10.1038/s41586-018-0579-z","ISSN":"1476-4687","issue":"7726","journalAbbreviation":"Nature","language":"eng","note":"PMID: 30305743","page":"203-209","source":"PubMed","title":"The UK Biobank resource with deep phenotyping and genomic data","volume":"562","author":[{"family":"Bycroft","given":"Clare"},{"family":"Freeman","given":"Colin"},{"family":"Petkova","given":"Desislava"},{"family":"Band","given":"Gavin"},{"family":"Elliott","given":"Lloyd T."},{"family":"Sharp","given":"Kevin"},{"family":"Motyer","given":"Allan"},{"family":"Vukcevic","given":"Damjan"},{"family":"Delaneau","given":"Olivier"},{"family":"O'Connell","given":"Jared"},{"family":"Cortes","given":"Adrian"},{"family":"Welsh","given":"Samantha"},{"family":"Young","given":"Alan"},{"family":"Effingham","given":"Mark"},{"family":"McVean","given":"Gil"},{"family":"Leslie","given":"Stephen"},{"family":"Allen","given":"Naomi"},{"family":"Donnelly","given":"Peter"},{"family":"Marchini","given":"Jonathan"}],"issued":{"date-parts":[["2018"]]}}}],"schema":"https://github.com/citation-style-language/schema/raw/master/csl-citation.json"} </w:instrText>
      </w:r>
      <w:r>
        <w:fldChar w:fldCharType="separate"/>
      </w:r>
      <w:r w:rsidRPr="006F56ED">
        <w:rPr>
          <w:rFonts w:ascii="Calibri" w:hAnsi="Calibri" w:cs="Calibri"/>
          <w:szCs w:val="24"/>
          <w:vertAlign w:val="superscript"/>
        </w:rPr>
        <w:t>10</w:t>
      </w:r>
      <w:r>
        <w:fldChar w:fldCharType="end"/>
      </w:r>
      <w:r w:rsidRPr="7F587BE9">
        <w:t xml:space="preserve"> Biological samples and physical measurements were collected and participants answered extensive questionnaires on health. </w:t>
      </w:r>
      <w:r w:rsidR="00AD0700">
        <w:t xml:space="preserve">Systolic and diastolic blood pressures are the average of two measurements taken at baseline. </w:t>
      </w:r>
      <w:r>
        <w:t xml:space="preserve">Genotyping was performed with the Affymetrix Axiom array. </w:t>
      </w:r>
    </w:p>
    <w:p w14:paraId="04F0331E" w14:textId="77777777" w:rsidR="00962E2A" w:rsidRDefault="00962E2A" w:rsidP="00962E2A">
      <w:pPr>
        <w:spacing w:after="0" w:line="240" w:lineRule="auto"/>
        <w:rPr>
          <w:rFonts w:cstheme="minorHAnsi"/>
        </w:rPr>
      </w:pPr>
    </w:p>
    <w:p w14:paraId="0DE5A97E" w14:textId="77777777" w:rsidR="00962E2A" w:rsidRDefault="00962E2A" w:rsidP="00962E2A">
      <w:pPr>
        <w:spacing w:after="0" w:line="240" w:lineRule="auto"/>
        <w:rPr>
          <w:rFonts w:cstheme="minorHAnsi"/>
        </w:rPr>
      </w:pPr>
      <w:r>
        <w:rPr>
          <w:rFonts w:cstheme="minorHAnsi"/>
          <w:b/>
          <w:bCs/>
        </w:rPr>
        <w:t>Cohort Specific QC and GWAS</w:t>
      </w:r>
    </w:p>
    <w:p w14:paraId="3EA404F7" w14:textId="77777777" w:rsidR="00962E2A" w:rsidRPr="008E0F58" w:rsidRDefault="00962E2A" w:rsidP="00962E2A">
      <w:pPr>
        <w:spacing w:after="0" w:line="240" w:lineRule="auto"/>
        <w:rPr>
          <w:rFonts w:cstheme="minorHAnsi"/>
          <w:i/>
          <w:iCs/>
        </w:rPr>
      </w:pPr>
      <w:r>
        <w:rPr>
          <w:rFonts w:cstheme="minorHAnsi"/>
          <w:i/>
          <w:iCs/>
        </w:rPr>
        <w:t>ALSPAC</w:t>
      </w:r>
    </w:p>
    <w:p w14:paraId="355F486E" w14:textId="77777777" w:rsidR="00962E2A" w:rsidRDefault="00962E2A" w:rsidP="00962E2A">
      <w:pPr>
        <w:spacing w:after="0" w:line="240" w:lineRule="auto"/>
        <w:rPr>
          <w:rFonts w:eastAsia="Times New Roman" w:cstheme="minorHAnsi"/>
        </w:rPr>
      </w:pPr>
      <w:r>
        <w:rPr>
          <w:rFonts w:cstheme="minorHAnsi"/>
        </w:rPr>
        <w:t xml:space="preserve">Genotypes derived from the Illumina Human660W-Quad array. Individuals were dropped if they had &gt; 5% missing, outliers for autosomal heterozygosity, indeterminate X chromosome, cryptic relatedness &gt; 0.125, ID mismatch or non-European ancestry. SNPs were dropped if they had missingness &gt; 5%, minor allele frequency &lt; 0.01, or an imputation INFO score &lt; 0.8. </w:t>
      </w:r>
      <w:r w:rsidRPr="00771BCE">
        <w:rPr>
          <w:rFonts w:eastAsia="Times New Roman" w:cstheme="minorHAnsi"/>
        </w:rPr>
        <w:t>Haplotypes were estimated using ShapeIT (v2.r644), and relatedness was utili</w:t>
      </w:r>
      <w:r>
        <w:rPr>
          <w:rFonts w:eastAsia="Times New Roman" w:cstheme="minorHAnsi"/>
        </w:rPr>
        <w:t>z</w:t>
      </w:r>
      <w:r w:rsidRPr="00771BCE">
        <w:rPr>
          <w:rFonts w:eastAsia="Times New Roman" w:cstheme="minorHAnsi"/>
        </w:rPr>
        <w:t xml:space="preserve">ed during phasing. Phased haplotypes were imputed to the </w:t>
      </w:r>
      <w:r w:rsidRPr="00771BCE">
        <w:rPr>
          <w:rFonts w:eastAsia="Times New Roman" w:cstheme="minorHAnsi"/>
        </w:rPr>
        <w:lastRenderedPageBreak/>
        <w:t>Haplotype Reference Consortium (HRC)</w:t>
      </w:r>
      <w:r>
        <w:rPr>
          <w:rFonts w:eastAsia="Times New Roman" w:cstheme="minorHAnsi"/>
        </w:rPr>
        <w:t>.</w:t>
      </w:r>
      <w:r w:rsidRPr="00771BCE">
        <w:rPr>
          <w:rFonts w:eastAsia="Times New Roman" w:cstheme="minorHAnsi"/>
        </w:rPr>
        <w:t xml:space="preserve"> </w:t>
      </w:r>
      <w:r>
        <w:rPr>
          <w:rFonts w:eastAsia="Times New Roman" w:cstheme="minorHAnsi"/>
        </w:rPr>
        <w:t>T</w:t>
      </w:r>
      <w:r w:rsidRPr="00771BCE">
        <w:rPr>
          <w:rFonts w:eastAsia="Times New Roman" w:cstheme="minorHAnsi"/>
        </w:rPr>
        <w:t>he HRC panel itself was phased using ShapeIT (v2), with imputation performed using IMPUTE (v3)</w:t>
      </w:r>
      <w:r>
        <w:rPr>
          <w:rFonts w:eastAsia="Times New Roman" w:cstheme="minorHAnsi"/>
        </w:rPr>
        <w:t>.</w:t>
      </w:r>
    </w:p>
    <w:p w14:paraId="236A6F7E" w14:textId="77777777" w:rsidR="00962E2A" w:rsidRDefault="00962E2A" w:rsidP="00962E2A">
      <w:pPr>
        <w:spacing w:after="0" w:line="240" w:lineRule="auto"/>
        <w:rPr>
          <w:rFonts w:eastAsia="Times New Roman" w:cstheme="minorHAnsi"/>
        </w:rPr>
      </w:pPr>
    </w:p>
    <w:p w14:paraId="4543EBD9" w14:textId="77A4A8F1" w:rsidR="00962E2A" w:rsidRDefault="00962E2A" w:rsidP="00962E2A">
      <w:pPr>
        <w:spacing w:after="0" w:line="240" w:lineRule="auto"/>
        <w:rPr>
          <w:rFonts w:eastAsia="Times New Roman" w:cstheme="minorHAnsi"/>
        </w:rPr>
      </w:pPr>
      <w:r>
        <w:rPr>
          <w:rFonts w:eastAsia="Times New Roman" w:cstheme="minorHAnsi"/>
        </w:rPr>
        <w:t xml:space="preserve">GWAS was additionally adjusted for 2 </w:t>
      </w:r>
      <w:r w:rsidR="002C0FCA">
        <w:rPr>
          <w:rFonts w:eastAsia="Times New Roman" w:cstheme="minorHAnsi"/>
        </w:rPr>
        <w:t>genotyping principal components</w:t>
      </w:r>
      <w:r>
        <w:rPr>
          <w:rFonts w:eastAsia="Times New Roman" w:cstheme="minorHAnsi"/>
        </w:rPr>
        <w:t>.</w:t>
      </w:r>
    </w:p>
    <w:p w14:paraId="59BBAAB7" w14:textId="77777777" w:rsidR="00962E2A" w:rsidRDefault="00962E2A" w:rsidP="00962E2A">
      <w:pPr>
        <w:spacing w:after="0" w:line="240" w:lineRule="auto"/>
        <w:rPr>
          <w:rFonts w:eastAsia="Times New Roman" w:cstheme="minorHAnsi"/>
        </w:rPr>
      </w:pPr>
    </w:p>
    <w:p w14:paraId="0F9101E1" w14:textId="77777777" w:rsidR="00962E2A" w:rsidRDefault="00962E2A" w:rsidP="00962E2A">
      <w:pPr>
        <w:spacing w:after="0" w:line="240" w:lineRule="auto"/>
        <w:rPr>
          <w:rFonts w:cstheme="minorHAnsi"/>
        </w:rPr>
      </w:pPr>
      <w:r>
        <w:rPr>
          <w:rFonts w:cstheme="minorHAnsi"/>
          <w:i/>
          <w:iCs/>
        </w:rPr>
        <w:t>ARIC</w:t>
      </w:r>
    </w:p>
    <w:p w14:paraId="4901CE95" w14:textId="729C9634" w:rsidR="00962E2A" w:rsidRDefault="00962E2A" w:rsidP="00962E2A">
      <w:pPr>
        <w:spacing w:after="0" w:line="240" w:lineRule="auto"/>
        <w:rPr>
          <w:rFonts w:cstheme="minorHAnsi"/>
        </w:rPr>
      </w:pPr>
      <w:r w:rsidRPr="00164DC4">
        <w:rPr>
          <w:rFonts w:cstheme="minorHAnsi"/>
        </w:rPr>
        <w:t xml:space="preserve">Genotypes derived from the Affymetrix Genome-Wide Human SNP Array 6.0. </w:t>
      </w:r>
      <w:r>
        <w:rPr>
          <w:rFonts w:cstheme="minorHAnsi"/>
        </w:rPr>
        <w:t xml:space="preserve">Individuals were dropped if they refused DNA testing, &gt; 5% missingness, or were identified as genetic outliers. Monomorphic SNPs, and SNPs with &gt; 5% missingness were dropped. </w:t>
      </w:r>
      <w:r w:rsidR="0073081A">
        <w:rPr>
          <w:rFonts w:cstheme="minorHAnsi"/>
        </w:rPr>
        <w:t xml:space="preserve">Whites </w:t>
      </w:r>
      <w:r>
        <w:rPr>
          <w:rFonts w:cstheme="minorHAnsi"/>
        </w:rPr>
        <w:t xml:space="preserve">were imputed to the Haplotype Reference Consortium while </w:t>
      </w:r>
      <w:r w:rsidR="00977AF4">
        <w:rPr>
          <w:rFonts w:cstheme="minorHAnsi"/>
        </w:rPr>
        <w:t>Black</w:t>
      </w:r>
      <w:r w:rsidR="0073081A">
        <w:rPr>
          <w:rFonts w:cstheme="minorHAnsi"/>
        </w:rPr>
        <w:t>s</w:t>
      </w:r>
      <w:r w:rsidR="00977AF4">
        <w:rPr>
          <w:rFonts w:cstheme="minorHAnsi"/>
        </w:rPr>
        <w:t xml:space="preserve"> </w:t>
      </w:r>
      <w:r>
        <w:rPr>
          <w:rFonts w:cstheme="minorHAnsi"/>
        </w:rPr>
        <w:t xml:space="preserve">were imputed to 1000G (March 2012). </w:t>
      </w:r>
    </w:p>
    <w:p w14:paraId="655F0CA8" w14:textId="77777777" w:rsidR="00962E2A" w:rsidRDefault="00962E2A" w:rsidP="00962E2A">
      <w:pPr>
        <w:spacing w:after="0" w:line="240" w:lineRule="auto"/>
        <w:rPr>
          <w:rFonts w:cstheme="minorHAnsi"/>
        </w:rPr>
      </w:pPr>
    </w:p>
    <w:p w14:paraId="0A7583C4" w14:textId="1F2648DC" w:rsidR="00962E2A" w:rsidRDefault="00962E2A" w:rsidP="00962E2A">
      <w:pPr>
        <w:spacing w:after="0" w:line="240" w:lineRule="auto"/>
        <w:rPr>
          <w:rFonts w:cstheme="minorHAnsi"/>
        </w:rPr>
      </w:pPr>
      <w:r>
        <w:rPr>
          <w:rFonts w:cstheme="minorHAnsi"/>
        </w:rPr>
        <w:t xml:space="preserve">GWAS was additionally adjusted for 10 </w:t>
      </w:r>
      <w:r w:rsidR="002C0FCA">
        <w:rPr>
          <w:rFonts w:cstheme="minorHAnsi"/>
        </w:rPr>
        <w:t>genotyping principal components</w:t>
      </w:r>
      <w:r>
        <w:rPr>
          <w:rFonts w:cstheme="minorHAnsi"/>
        </w:rPr>
        <w:t>.</w:t>
      </w:r>
    </w:p>
    <w:p w14:paraId="594CBDE9" w14:textId="77777777" w:rsidR="00962E2A" w:rsidRDefault="00962E2A" w:rsidP="00962E2A">
      <w:pPr>
        <w:spacing w:after="0" w:line="240" w:lineRule="auto"/>
        <w:rPr>
          <w:rFonts w:cstheme="minorHAnsi"/>
        </w:rPr>
      </w:pPr>
    </w:p>
    <w:p w14:paraId="701E66F6" w14:textId="77777777" w:rsidR="00962E2A" w:rsidRDefault="00962E2A" w:rsidP="00962E2A">
      <w:pPr>
        <w:spacing w:after="0" w:line="240" w:lineRule="auto"/>
        <w:rPr>
          <w:rFonts w:cstheme="minorHAnsi"/>
        </w:rPr>
      </w:pPr>
      <w:r>
        <w:rPr>
          <w:rFonts w:cstheme="minorHAnsi"/>
          <w:i/>
          <w:iCs/>
        </w:rPr>
        <w:t>CHS</w:t>
      </w:r>
    </w:p>
    <w:p w14:paraId="5960EAF8" w14:textId="123A1378" w:rsidR="00962E2A" w:rsidRDefault="00A70E6D" w:rsidP="00962E2A">
      <w:pPr>
        <w:spacing w:after="0" w:line="240" w:lineRule="auto"/>
        <w:rPr>
          <w:rFonts w:cstheme="minorHAnsi"/>
        </w:rPr>
      </w:pPr>
      <w:r>
        <w:rPr>
          <w:rFonts w:cstheme="minorHAnsi"/>
        </w:rPr>
        <w:t>G</w:t>
      </w:r>
      <w:r w:rsidR="00962E2A">
        <w:rPr>
          <w:rFonts w:cstheme="minorHAnsi"/>
        </w:rPr>
        <w:t xml:space="preserve">enotypes </w:t>
      </w:r>
      <w:r>
        <w:rPr>
          <w:rFonts w:cstheme="minorHAnsi"/>
        </w:rPr>
        <w:t xml:space="preserve">for Whites were </w:t>
      </w:r>
      <w:r w:rsidR="00962E2A">
        <w:rPr>
          <w:rFonts w:cstheme="minorHAnsi"/>
        </w:rPr>
        <w:t xml:space="preserve">derived from the </w:t>
      </w:r>
      <w:r w:rsidR="00962E2A" w:rsidRPr="00310D4C">
        <w:rPr>
          <w:rFonts w:cstheme="minorHAnsi"/>
        </w:rPr>
        <w:t>Illumina 370CNV chip, ITMAT-Broad-CARe Illumina iSELECT chip</w:t>
      </w:r>
      <w:r w:rsidR="00962E2A">
        <w:rPr>
          <w:rFonts w:cstheme="minorHAnsi"/>
        </w:rPr>
        <w:t xml:space="preserve">. </w:t>
      </w:r>
      <w:r w:rsidR="00962E2A" w:rsidRPr="00310D4C">
        <w:rPr>
          <w:rFonts w:cstheme="minorHAnsi"/>
        </w:rPr>
        <w:t>Individuals were excluded from the sample due to the presence of baseline CHD, CHF, peripheral vascular disease, valvular heart disease, stroke or TIA, or lack of available DNA.</w:t>
      </w:r>
      <w:r w:rsidR="00962E2A">
        <w:rPr>
          <w:rFonts w:cstheme="minorHAnsi"/>
        </w:rPr>
        <w:t xml:space="preserve"> </w:t>
      </w:r>
      <w:r w:rsidR="00962E2A" w:rsidRPr="00310D4C">
        <w:rPr>
          <w:rFonts w:cstheme="minorHAnsi"/>
        </w:rPr>
        <w:t>After genotyping, individuals were excluded if they had a call rate &lt;=95% or if their genotype was discordant with known sex or prior genotyping.</w:t>
      </w:r>
      <w:r w:rsidR="00962E2A">
        <w:rPr>
          <w:rFonts w:cstheme="minorHAnsi"/>
        </w:rPr>
        <w:t xml:space="preserve"> </w:t>
      </w:r>
      <w:r w:rsidR="00962E2A" w:rsidRPr="00310D4C">
        <w:rPr>
          <w:rFonts w:cstheme="minorHAnsi"/>
        </w:rPr>
        <w:t>SNPs were excluded if they had a call rate &lt;97%, HWE P &lt; 10-5, &gt;2 duplicate errors or Mendelian inconsistencies, or heterozygote frequency = 0.</w:t>
      </w:r>
    </w:p>
    <w:p w14:paraId="762312D1" w14:textId="77777777" w:rsidR="00962E2A" w:rsidRDefault="00962E2A" w:rsidP="00962E2A">
      <w:pPr>
        <w:spacing w:after="0" w:line="240" w:lineRule="auto"/>
        <w:rPr>
          <w:rFonts w:cstheme="minorHAnsi"/>
        </w:rPr>
      </w:pPr>
    </w:p>
    <w:p w14:paraId="3A95DD41" w14:textId="37349C4A" w:rsidR="00962E2A" w:rsidRDefault="00977AF4" w:rsidP="00962E2A">
      <w:pPr>
        <w:spacing w:after="0" w:line="240" w:lineRule="auto"/>
        <w:rPr>
          <w:rFonts w:cstheme="minorHAnsi"/>
        </w:rPr>
      </w:pPr>
      <w:r>
        <w:rPr>
          <w:rFonts w:cstheme="minorHAnsi"/>
        </w:rPr>
        <w:t>G</w:t>
      </w:r>
      <w:r w:rsidR="00962E2A">
        <w:rPr>
          <w:rFonts w:cstheme="minorHAnsi"/>
        </w:rPr>
        <w:t>enotypes</w:t>
      </w:r>
      <w:r>
        <w:rPr>
          <w:rFonts w:cstheme="minorHAnsi"/>
        </w:rPr>
        <w:t xml:space="preserve"> for Black individuals</w:t>
      </w:r>
      <w:r w:rsidR="00962E2A">
        <w:rPr>
          <w:rFonts w:cstheme="minorHAnsi"/>
        </w:rPr>
        <w:t xml:space="preserve"> were derived from the </w:t>
      </w:r>
      <w:r w:rsidR="00962E2A" w:rsidRPr="00310D4C">
        <w:rPr>
          <w:rFonts w:cstheme="minorHAnsi"/>
        </w:rPr>
        <w:t>Illumina HumanOmni1-Quad_v1 BeadChip system</w:t>
      </w:r>
      <w:r w:rsidR="00962E2A">
        <w:rPr>
          <w:rFonts w:cstheme="minorHAnsi"/>
        </w:rPr>
        <w:t xml:space="preserve">. </w:t>
      </w:r>
      <w:r w:rsidR="00962E2A" w:rsidRPr="00310D4C">
        <w:rPr>
          <w:rFonts w:cstheme="minorHAnsi"/>
        </w:rPr>
        <w:t>Individuals were excluded from the sample due to lack of available DNA.</w:t>
      </w:r>
      <w:r w:rsidR="00962E2A">
        <w:rPr>
          <w:rFonts w:cstheme="minorHAnsi"/>
        </w:rPr>
        <w:t xml:space="preserve"> </w:t>
      </w:r>
      <w:r w:rsidR="00962E2A" w:rsidRPr="00310D4C">
        <w:rPr>
          <w:rFonts w:cstheme="minorHAnsi"/>
        </w:rPr>
        <w:t>After genotyping, individuals were excluded if they had a call rate &lt;=95% or if their genotype was discordant with known sex or prior genotyping.</w:t>
      </w:r>
      <w:r w:rsidR="00962E2A">
        <w:rPr>
          <w:rFonts w:cstheme="minorHAnsi"/>
        </w:rPr>
        <w:t xml:space="preserve"> </w:t>
      </w:r>
      <w:r w:rsidR="00962E2A" w:rsidRPr="00310D4C">
        <w:rPr>
          <w:rFonts w:cstheme="minorHAnsi"/>
        </w:rPr>
        <w:t>SNPs were excluded if they had a call rate &lt;97%, HWE P &lt; 10-5, &gt;1 duplicate error or Mendelian inconsistency, or heterozygote frequency = 0.</w:t>
      </w:r>
    </w:p>
    <w:p w14:paraId="2255CDDF" w14:textId="77777777" w:rsidR="00962E2A" w:rsidRDefault="00962E2A" w:rsidP="00962E2A">
      <w:pPr>
        <w:spacing w:after="0" w:line="240" w:lineRule="auto"/>
        <w:rPr>
          <w:rFonts w:cstheme="minorHAnsi"/>
        </w:rPr>
      </w:pPr>
    </w:p>
    <w:p w14:paraId="50C7B3E2" w14:textId="340964AF" w:rsidR="00962E2A" w:rsidRPr="00310D4C" w:rsidRDefault="007D0DF5" w:rsidP="00962E2A">
      <w:pPr>
        <w:spacing w:after="0" w:line="240" w:lineRule="auto"/>
        <w:rPr>
          <w:rFonts w:cstheme="minorHAnsi"/>
        </w:rPr>
      </w:pPr>
      <w:r>
        <w:rPr>
          <w:rFonts w:cstheme="minorHAnsi"/>
        </w:rPr>
        <w:t xml:space="preserve">Blacks-only </w:t>
      </w:r>
      <w:r w:rsidR="00962E2A">
        <w:rPr>
          <w:rFonts w:cstheme="minorHAnsi"/>
        </w:rPr>
        <w:t xml:space="preserve">GWAS was additionally adjusted for 5 </w:t>
      </w:r>
      <w:r w:rsidR="002C0FCA">
        <w:rPr>
          <w:rFonts w:cstheme="minorHAnsi"/>
        </w:rPr>
        <w:t>genotyping principal components</w:t>
      </w:r>
      <w:r w:rsidR="00962E2A">
        <w:rPr>
          <w:rFonts w:cstheme="minorHAnsi"/>
        </w:rPr>
        <w:t>.</w:t>
      </w:r>
    </w:p>
    <w:p w14:paraId="184CD712" w14:textId="77777777" w:rsidR="00962E2A" w:rsidRDefault="00962E2A" w:rsidP="00962E2A">
      <w:pPr>
        <w:spacing w:after="0" w:line="240" w:lineRule="auto"/>
        <w:rPr>
          <w:rFonts w:cstheme="minorHAnsi"/>
        </w:rPr>
      </w:pPr>
    </w:p>
    <w:p w14:paraId="56E38B94" w14:textId="77777777" w:rsidR="00962E2A" w:rsidRDefault="00962E2A" w:rsidP="00962E2A">
      <w:pPr>
        <w:spacing w:after="0" w:line="240" w:lineRule="auto"/>
        <w:rPr>
          <w:rFonts w:cstheme="minorHAnsi"/>
        </w:rPr>
      </w:pPr>
      <w:r>
        <w:rPr>
          <w:rFonts w:cstheme="minorHAnsi"/>
          <w:i/>
          <w:iCs/>
        </w:rPr>
        <w:t>FHS</w:t>
      </w:r>
    </w:p>
    <w:p w14:paraId="726E95E3" w14:textId="77777777" w:rsidR="00962E2A" w:rsidRDefault="00962E2A" w:rsidP="00962E2A">
      <w:pPr>
        <w:spacing w:after="0" w:line="240" w:lineRule="auto"/>
        <w:rPr>
          <w:rFonts w:cstheme="minorHAnsi"/>
        </w:rPr>
      </w:pPr>
      <w:r>
        <w:rPr>
          <w:rFonts w:cstheme="minorHAnsi"/>
        </w:rPr>
        <w:t xml:space="preserve">Genotyping derived from the Affymetrix 500K mapping array plus Affymetrix 50K supplemental array.  </w:t>
      </w:r>
      <w:r w:rsidRPr="003607B7">
        <w:rPr>
          <w:rFonts w:cstheme="minorHAnsi"/>
        </w:rPr>
        <w:t>Genotyped SNPs removed based on: HWE p-value of less than 0.000001, call rate of less than 96.9%, MAF of less than 0.01, no mapping correctly from Build 36 to Build 37 locations, missing a physical location, Mendelian errors greater than 1000, not being on chromosomes 1-22 or X, duplicates.</w:t>
      </w:r>
      <w:r>
        <w:rPr>
          <w:rFonts w:cstheme="minorHAnsi"/>
        </w:rPr>
        <w:t xml:space="preserve"> Imputed to 1000G (March 2012).</w:t>
      </w:r>
    </w:p>
    <w:p w14:paraId="17791F9A" w14:textId="77777777" w:rsidR="00962E2A" w:rsidRDefault="00962E2A" w:rsidP="00962E2A">
      <w:pPr>
        <w:spacing w:after="0" w:line="240" w:lineRule="auto"/>
        <w:rPr>
          <w:rFonts w:cstheme="minorHAnsi"/>
        </w:rPr>
      </w:pPr>
    </w:p>
    <w:p w14:paraId="1CBE0D6C" w14:textId="77777777" w:rsidR="00962E2A" w:rsidRDefault="00962E2A" w:rsidP="00962E2A">
      <w:pPr>
        <w:spacing w:after="0" w:line="240" w:lineRule="auto"/>
        <w:rPr>
          <w:rFonts w:cstheme="minorHAnsi"/>
        </w:rPr>
      </w:pPr>
      <w:r>
        <w:rPr>
          <w:rFonts w:cstheme="minorHAnsi"/>
        </w:rPr>
        <w:t>Due to family structure, a linear mixed effects model with fixed polygenic variance was used to account for family relationship during the GWAS.</w:t>
      </w:r>
    </w:p>
    <w:p w14:paraId="42159DBC" w14:textId="77777777" w:rsidR="00962E2A" w:rsidRDefault="00962E2A" w:rsidP="00962E2A">
      <w:pPr>
        <w:spacing w:after="0" w:line="240" w:lineRule="auto"/>
        <w:rPr>
          <w:rFonts w:cstheme="minorHAnsi"/>
        </w:rPr>
      </w:pPr>
    </w:p>
    <w:p w14:paraId="5251034C" w14:textId="77777777" w:rsidR="00962E2A" w:rsidRDefault="00962E2A" w:rsidP="00962E2A">
      <w:pPr>
        <w:spacing w:after="0" w:line="240" w:lineRule="auto"/>
        <w:rPr>
          <w:rFonts w:cstheme="minorHAnsi"/>
        </w:rPr>
      </w:pPr>
      <w:r>
        <w:rPr>
          <w:rFonts w:cstheme="minorHAnsi"/>
          <w:i/>
          <w:iCs/>
        </w:rPr>
        <w:t>MESA</w:t>
      </w:r>
    </w:p>
    <w:p w14:paraId="08F857D3" w14:textId="77777777" w:rsidR="00962E2A" w:rsidRDefault="00962E2A" w:rsidP="00962E2A">
      <w:pPr>
        <w:spacing w:after="0" w:line="240" w:lineRule="auto"/>
        <w:rPr>
          <w:rFonts w:cstheme="minorHAnsi"/>
        </w:rPr>
      </w:pPr>
      <w:r w:rsidRPr="00164DC4">
        <w:rPr>
          <w:rFonts w:cstheme="minorHAnsi"/>
        </w:rPr>
        <w:t xml:space="preserve">Genotypes derived from the Affymetrix Genome-Wide Human SNP Array 6.0. </w:t>
      </w:r>
      <w:r>
        <w:rPr>
          <w:rFonts w:cstheme="minorHAnsi"/>
        </w:rPr>
        <w:t>Individuals with &lt; 95% genotyping success rate were excluded while SNPs with &lt; 90% genotyping success rate were excluded.</w:t>
      </w:r>
    </w:p>
    <w:p w14:paraId="3A4DEBA1" w14:textId="77777777" w:rsidR="00962E2A" w:rsidRDefault="00962E2A" w:rsidP="00962E2A">
      <w:pPr>
        <w:spacing w:after="0" w:line="240" w:lineRule="auto"/>
        <w:rPr>
          <w:rFonts w:cstheme="minorHAnsi"/>
        </w:rPr>
      </w:pPr>
      <w:r>
        <w:rPr>
          <w:rFonts w:cstheme="minorHAnsi"/>
        </w:rPr>
        <w:t>Imputation was performed to 1000G (March 2012).</w:t>
      </w:r>
    </w:p>
    <w:p w14:paraId="5A555F3F" w14:textId="77777777" w:rsidR="00962E2A" w:rsidRDefault="00962E2A" w:rsidP="00962E2A">
      <w:pPr>
        <w:spacing w:after="0" w:line="240" w:lineRule="auto"/>
        <w:rPr>
          <w:rFonts w:cstheme="minorHAnsi"/>
        </w:rPr>
      </w:pPr>
    </w:p>
    <w:p w14:paraId="1833D2F9" w14:textId="2BE99875" w:rsidR="00962E2A" w:rsidRDefault="00962E2A" w:rsidP="00962E2A">
      <w:pPr>
        <w:spacing w:after="0" w:line="240" w:lineRule="auto"/>
        <w:rPr>
          <w:rFonts w:cstheme="minorHAnsi"/>
        </w:rPr>
      </w:pPr>
      <w:r>
        <w:rPr>
          <w:rFonts w:cstheme="minorHAnsi"/>
        </w:rPr>
        <w:t xml:space="preserve">GWAS was additionally adjusted for 4 </w:t>
      </w:r>
      <w:r w:rsidR="002C0FCA">
        <w:rPr>
          <w:rFonts w:cstheme="minorHAnsi"/>
        </w:rPr>
        <w:t>genotyping principal components</w:t>
      </w:r>
      <w:r>
        <w:rPr>
          <w:rFonts w:cstheme="minorHAnsi"/>
        </w:rPr>
        <w:t>.</w:t>
      </w:r>
    </w:p>
    <w:p w14:paraId="17316131" w14:textId="77777777" w:rsidR="00962E2A" w:rsidRDefault="00962E2A" w:rsidP="00962E2A">
      <w:pPr>
        <w:spacing w:after="0" w:line="240" w:lineRule="auto"/>
        <w:rPr>
          <w:rFonts w:cstheme="minorHAnsi"/>
        </w:rPr>
      </w:pPr>
    </w:p>
    <w:p w14:paraId="5C6A5A42" w14:textId="77777777" w:rsidR="00962E2A" w:rsidRDefault="00962E2A" w:rsidP="00962E2A">
      <w:pPr>
        <w:spacing w:after="0" w:line="240" w:lineRule="auto"/>
        <w:rPr>
          <w:rFonts w:cstheme="minorHAnsi"/>
        </w:rPr>
      </w:pPr>
      <w:r>
        <w:rPr>
          <w:rFonts w:cstheme="minorHAnsi"/>
          <w:i/>
          <w:iCs/>
        </w:rPr>
        <w:t>ROS/MAP</w:t>
      </w:r>
    </w:p>
    <w:p w14:paraId="77157E6C" w14:textId="77777777" w:rsidR="00962E2A" w:rsidRPr="003607B7" w:rsidRDefault="00962E2A" w:rsidP="00962E2A">
      <w:pPr>
        <w:pStyle w:val="Heading1"/>
        <w:shd w:val="clear" w:color="auto" w:fill="FFFFFF"/>
        <w:spacing w:before="0" w:beforeAutospacing="0" w:after="0" w:afterAutospacing="0"/>
        <w:rPr>
          <w:rFonts w:asciiTheme="minorHAnsi" w:hAnsiTheme="minorHAnsi" w:cstheme="minorHAnsi"/>
          <w:b w:val="0"/>
          <w:bCs w:val="0"/>
          <w:spacing w:val="15"/>
          <w:sz w:val="22"/>
          <w:szCs w:val="22"/>
        </w:rPr>
      </w:pPr>
      <w:r>
        <w:rPr>
          <w:rFonts w:asciiTheme="minorHAnsi" w:hAnsiTheme="minorHAnsi" w:cstheme="minorHAnsi"/>
          <w:b w:val="0"/>
          <w:bCs w:val="0"/>
          <w:sz w:val="22"/>
          <w:szCs w:val="22"/>
        </w:rPr>
        <w:lastRenderedPageBreak/>
        <w:t>Genotypes derived from the Affymetrix Genome-Wide Human SNP Array 6.0. Sample</w:t>
      </w:r>
      <w:r w:rsidRPr="003607B7">
        <w:rPr>
          <w:rFonts w:asciiTheme="minorHAnsi" w:hAnsiTheme="minorHAnsi" w:cstheme="minorHAnsi"/>
          <w:b w:val="0"/>
          <w:bCs w:val="0"/>
          <w:sz w:val="22"/>
          <w:szCs w:val="22"/>
        </w:rPr>
        <w:t>-level quality control assessment included exclusion of samples with genotype success rate &lt;95%, discordance between inferred and reported gender, and excess inter/intraheterozygosity. SNP-level quality control assessment included exclusion of SNPs with Hardy-Weighberg equilibrium (p&lt;0.001), MAF &lt; 0.01, genotype call rate &lt; 0.95, misshap test &lt; 1x10</w:t>
      </w:r>
      <w:r w:rsidRPr="00CA3ADC">
        <w:rPr>
          <w:rFonts w:asciiTheme="minorHAnsi" w:hAnsiTheme="minorHAnsi" w:cstheme="minorHAnsi"/>
          <w:b w:val="0"/>
          <w:bCs w:val="0"/>
          <w:sz w:val="22"/>
          <w:szCs w:val="22"/>
          <w:vertAlign w:val="superscript"/>
        </w:rPr>
        <w:t>-9</w:t>
      </w:r>
      <w:r w:rsidRPr="003607B7">
        <w:rPr>
          <w:rFonts w:asciiTheme="minorHAnsi" w:hAnsiTheme="minorHAnsi" w:cstheme="minorHAnsi"/>
          <w:b w:val="0"/>
          <w:bCs w:val="0"/>
          <w:sz w:val="22"/>
          <w:szCs w:val="22"/>
        </w:rPr>
        <w:t>. Subsequently, EIGENSTRAT was used to identify and remove population outliers using default parameters</w:t>
      </w:r>
    </w:p>
    <w:p w14:paraId="0E9FFD62" w14:textId="77777777" w:rsidR="00962E2A" w:rsidRPr="003607B7" w:rsidRDefault="00962E2A" w:rsidP="00962E2A">
      <w:pPr>
        <w:spacing w:after="0" w:line="240" w:lineRule="auto"/>
        <w:rPr>
          <w:rFonts w:cstheme="minorHAnsi"/>
        </w:rPr>
      </w:pPr>
    </w:p>
    <w:p w14:paraId="2AC84DBA" w14:textId="77777777" w:rsidR="00962E2A" w:rsidRDefault="00962E2A" w:rsidP="00962E2A">
      <w:pPr>
        <w:spacing w:after="0" w:line="240" w:lineRule="auto"/>
        <w:rPr>
          <w:rFonts w:cstheme="minorHAnsi"/>
        </w:rPr>
      </w:pPr>
      <w:r>
        <w:rPr>
          <w:rFonts w:cstheme="minorHAnsi"/>
          <w:i/>
          <w:iCs/>
        </w:rPr>
        <w:t>SHIP</w:t>
      </w:r>
    </w:p>
    <w:p w14:paraId="615AAA17" w14:textId="77777777" w:rsidR="00962E2A" w:rsidRDefault="00962E2A" w:rsidP="00962E2A">
      <w:pPr>
        <w:spacing w:after="0" w:line="240" w:lineRule="auto"/>
        <w:rPr>
          <w:rFonts w:cstheme="minorHAnsi"/>
        </w:rPr>
      </w:pPr>
      <w:r w:rsidRPr="00310D4C">
        <w:rPr>
          <w:rFonts w:cstheme="minorHAnsi"/>
        </w:rPr>
        <w:t>Genotypes derived from the Affymetrix Genome-Wide Human SNP Array 6.0.</w:t>
      </w:r>
      <w:r>
        <w:rPr>
          <w:rFonts w:cstheme="minorHAnsi"/>
        </w:rPr>
        <w:t xml:space="preserve"> </w:t>
      </w:r>
      <w:r w:rsidRPr="00310D4C">
        <w:rPr>
          <w:rFonts w:cstheme="minorHAnsi"/>
        </w:rPr>
        <w:t>Arrays with a call rate below 94%, duplicate samples as identified by estimated IBD as well as individuals with reported and genotyped gender mismatch were excluded. The final sample call rate was 99.51%</w:t>
      </w:r>
      <w:r>
        <w:rPr>
          <w:rFonts w:cstheme="minorHAnsi"/>
        </w:rPr>
        <w:t xml:space="preserve">. </w:t>
      </w:r>
    </w:p>
    <w:p w14:paraId="6E3C262B" w14:textId="77777777" w:rsidR="00962E2A" w:rsidRDefault="00962E2A" w:rsidP="00962E2A">
      <w:pPr>
        <w:spacing w:after="0" w:line="240" w:lineRule="auto"/>
        <w:rPr>
          <w:rFonts w:cstheme="minorHAnsi"/>
        </w:rPr>
      </w:pPr>
    </w:p>
    <w:p w14:paraId="14913C74" w14:textId="77777777" w:rsidR="00962E2A" w:rsidRPr="00310D4C" w:rsidRDefault="00962E2A" w:rsidP="00962E2A">
      <w:pPr>
        <w:spacing w:after="0" w:line="240" w:lineRule="auto"/>
        <w:rPr>
          <w:rFonts w:cstheme="minorHAnsi"/>
        </w:rPr>
      </w:pPr>
      <w:r>
        <w:rPr>
          <w:rFonts w:cstheme="minorHAnsi"/>
        </w:rPr>
        <w:t>GWAS was additionally adjusted for 10 PCs to account for population substructure.</w:t>
      </w:r>
    </w:p>
    <w:p w14:paraId="22C8F94C" w14:textId="77777777" w:rsidR="00962E2A" w:rsidRDefault="00962E2A" w:rsidP="00962E2A">
      <w:pPr>
        <w:spacing w:after="0" w:line="240" w:lineRule="auto"/>
        <w:rPr>
          <w:rFonts w:cstheme="minorHAnsi"/>
        </w:rPr>
      </w:pPr>
    </w:p>
    <w:p w14:paraId="13109335" w14:textId="77777777" w:rsidR="00962E2A" w:rsidRPr="00310D4C" w:rsidRDefault="00962E2A" w:rsidP="00962E2A">
      <w:pPr>
        <w:spacing w:after="0" w:line="240" w:lineRule="auto"/>
        <w:rPr>
          <w:rFonts w:cstheme="minorHAnsi"/>
        </w:rPr>
      </w:pPr>
      <w:r>
        <w:rPr>
          <w:rFonts w:cstheme="minorHAnsi"/>
          <w:i/>
          <w:iCs/>
        </w:rPr>
        <w:t>UK Biobank</w:t>
      </w:r>
    </w:p>
    <w:p w14:paraId="7DEC0D60" w14:textId="77777777" w:rsidR="00962E2A" w:rsidRPr="00577A80" w:rsidRDefault="00962E2A" w:rsidP="00962E2A">
      <w:pPr>
        <w:spacing w:after="0" w:line="240" w:lineRule="auto"/>
        <w:rPr>
          <w:rFonts w:cstheme="minorHAnsi"/>
        </w:rPr>
      </w:pPr>
      <w:r>
        <w:rPr>
          <w:rFonts w:cstheme="minorHAnsi"/>
        </w:rPr>
        <w:t>Whole exome sequencing, sequencing alignment and variant identification was performed as previously described</w:t>
      </w:r>
      <w:r>
        <w:rPr>
          <w:rFonts w:cstheme="minorHAnsi"/>
        </w:rPr>
        <w:fldChar w:fldCharType="begin"/>
      </w:r>
      <w:r>
        <w:rPr>
          <w:rFonts w:cstheme="minorHAnsi"/>
        </w:rPr>
        <w:instrText xml:space="preserve"> ADDIN ZOTERO_ITEM CSL_CITATION {"citationID":"vhl56RGR","properties":{"formattedCitation":"\\super 11\\nosupersub{}","plainCitation":"11","noteIndex":0},"citationItems":[{"id":"XE2wRhtC/0CQzvXei","uris":["http://zotero.org/users/4514930/items/9XG7XJ7B"],"uri":["http://zotero.org/users/4514930/items/9XG7XJ7B"],"itemData":{"id":2,"type":"webpage","title":"Whole exome sequencing and characterization of coding variation in 49,960 individuals in the UK Biobank | bioRxiv","URL":"https://www.biorxiv.org/content/10.1101/572347v1.supplementary-material","accessed":{"date-parts":[["2019",8,14]]}}}],"schema":"https://github.com/citation-style-language/schema/raw/master/csl-citation.json"} </w:instrText>
      </w:r>
      <w:r>
        <w:rPr>
          <w:rFonts w:cstheme="minorHAnsi"/>
        </w:rPr>
        <w:fldChar w:fldCharType="separate"/>
      </w:r>
      <w:r w:rsidRPr="006F56ED">
        <w:rPr>
          <w:rFonts w:ascii="Calibri" w:hAnsi="Calibri" w:cs="Calibri"/>
          <w:szCs w:val="24"/>
          <w:vertAlign w:val="superscript"/>
        </w:rPr>
        <w:t>11</w:t>
      </w:r>
      <w:r>
        <w:rPr>
          <w:rFonts w:cstheme="minorHAnsi"/>
        </w:rPr>
        <w:fldChar w:fldCharType="end"/>
      </w:r>
      <w:r>
        <w:rPr>
          <w:rFonts w:cstheme="minorHAnsi"/>
        </w:rPr>
        <w:t xml:space="preserve">. Genotypes were available through the Affymetrix UK Biobank Axiom array and the Affymetrix UK BiLEVE Axiom array. Quality control, phasing and imputation information have been described previously </w:t>
      </w:r>
      <w:r>
        <w:rPr>
          <w:color w:val="000000"/>
          <w:shd w:val="clear" w:color="auto" w:fill="FFFFFF"/>
        </w:rPr>
        <w:t>(</w:t>
      </w:r>
      <w:hyperlink r:id="rId12" w:tgtFrame="_blank" w:history="1">
        <w:r>
          <w:rPr>
            <w:rStyle w:val="Hyperlink"/>
            <w:color w:val="642A8F"/>
            <w:shd w:val="clear" w:color="auto" w:fill="FFFFFF"/>
          </w:rPr>
          <w:t>http://biobank.ctsu.ox.ac.uk/crystal/refer.cgi?id=155580</w:t>
        </w:r>
      </w:hyperlink>
      <w:r>
        <w:rPr>
          <w:color w:val="000000"/>
          <w:shd w:val="clear" w:color="auto" w:fill="FFFFFF"/>
        </w:rPr>
        <w:t xml:space="preserve"> , (</w:t>
      </w:r>
      <w:hyperlink r:id="rId13" w:tgtFrame="_blank" w:history="1">
        <w:r>
          <w:rPr>
            <w:rStyle w:val="Hyperlink"/>
            <w:color w:val="642A8F"/>
            <w:shd w:val="clear" w:color="auto" w:fill="FFFFFF"/>
          </w:rPr>
          <w:t>http://biobank.ctsu.ox.ac.uk/crystal/refer.cgi?id=157020</w:t>
        </w:r>
      </w:hyperlink>
      <w:r>
        <w:rPr>
          <w:color w:val="000000"/>
          <w:shd w:val="clear" w:color="auto" w:fill="FFFFFF"/>
        </w:rPr>
        <w:t>)</w:t>
      </w:r>
      <w:r>
        <w:rPr>
          <w:rFonts w:cstheme="minorHAnsi"/>
        </w:rPr>
        <w:t>.</w:t>
      </w:r>
    </w:p>
    <w:p w14:paraId="63CA13C2" w14:textId="77777777" w:rsidR="00962E2A" w:rsidRDefault="00962E2A" w:rsidP="00962E2A">
      <w:pPr>
        <w:spacing w:after="0" w:line="240" w:lineRule="auto"/>
        <w:rPr>
          <w:rFonts w:cstheme="minorHAnsi"/>
          <w:b/>
          <w:bCs/>
          <w:color w:val="FF0000"/>
        </w:rPr>
      </w:pPr>
    </w:p>
    <w:p w14:paraId="5A64EB4B" w14:textId="77777777" w:rsidR="00962E2A" w:rsidRPr="008E0F58" w:rsidRDefault="00962E2A" w:rsidP="00962E2A">
      <w:r w:rsidRPr="7F587BE9">
        <w:t>Due to its recruitment method and extremely large sample size, as much as 30% of the UK Biobank dataset would need to be filtered due to typical relatedness or genetic ancestry filters</w:t>
      </w:r>
      <w:r w:rsidRPr="7F587BE9">
        <w:fldChar w:fldCharType="begin"/>
      </w:r>
      <w:r>
        <w:instrText xml:space="preserve"> ADDIN ZOTERO_ITEM CSL_CITATION {"citationID":"AZ7N3GrM","properties":{"formattedCitation":"\\super 12\\nosupersub{}","plainCitation":"12","noteIndex":0},"citationItems":[{"id":"XE2wRhtC/aFcUAIhJ","uris":["http://zotero.org/users/4514930/items/HVIPU58E"],"uri":["http://zotero.org/users/4514930/items/HVIPU58E"],"itemData":{"id":954,"type":"article-journal","abstract":"Biobank-based genome-wide association studies are enabling exciting insights in complex trait genetics, but much uncertainty remains over best practices for optimizing statistical power and computational efficiency in GWAS while controlling confounders. Here, we introduce a much faster version of our BOLT-LMM Bayesian mixed model association method—capable of running analyses of the full UK Biobank cohort in a few days on a single compute node—and show that it produces highly powered, robust test statistics when run on all 459K European samples (retaining related individuals). When used to conduct a GWAS for height in UK Biobank, BOLT-LMM achieved power equivalent to linear regression on 650K samples—a 93% increase in effective sample size versus the common practice of analyzing unrelated British samples using linear regression (UK Biobank documentation; Bycroft et al. bioRxiv). Across a broader set of 23 highly heritable traits, the total number of independent GWAS loci detected increased from 5,839 to 10,759, an 84% increase. We recommend the use of BOLT-LMM (retaining related individuals) for biobank-scale analyses, and we have publicly released BOLT-LMM summary association statistics for the 23 traits analyzed as a resource for all researchers.","container-title":"Nature genetics","DOI":"10.1038/s41588-018-0144-6","ISSN":"1061-4036","issue":"7","journalAbbreviation":"Nat Genet","note":"PMID: 29892013\nPMCID: PMC6309610","page":"906-908","source":"PubMed Central","title":"Mixed model association for biobank-scale data sets","volume":"50","author":[{"family":"Loh","given":"Po-Ru"},{"family":"Kichaev","given":"Gleb"},{"family":"Gazal","given":"Steven"},{"family":"Schoech","given":"Armin P"},{"family":"Price","given":"Alkes L"}],"issued":{"date-parts":[["2018",7]]}}}],"schema":"https://github.com/citation-style-language/schema/raw/master/csl-citation.json"} </w:instrText>
      </w:r>
      <w:r w:rsidRPr="7F587BE9">
        <w:fldChar w:fldCharType="separate"/>
      </w:r>
      <w:r w:rsidRPr="006F56ED">
        <w:rPr>
          <w:rFonts w:ascii="Calibri" w:hAnsi="Calibri" w:cs="Calibri"/>
          <w:szCs w:val="24"/>
          <w:vertAlign w:val="superscript"/>
        </w:rPr>
        <w:t>12</w:t>
      </w:r>
      <w:r w:rsidRPr="7F587BE9">
        <w:fldChar w:fldCharType="end"/>
      </w:r>
      <w:r w:rsidRPr="7F587BE9">
        <w:t>. To account for this, GWAS was performed using BOLT-LMM (v2.3.2) with the addition of a kinship matrix to control for related individuals</w:t>
      </w:r>
      <w:r w:rsidRPr="7F587BE9">
        <w:fldChar w:fldCharType="begin"/>
      </w:r>
      <w:r>
        <w:instrText xml:space="preserve"> ADDIN ZOTERO_ITEM CSL_CITATION {"citationID":"1CHu0SEp","properties":{"formattedCitation":"\\super 13\\nosupersub{}","plainCitation":"13","noteIndex":0},"citationItems":[{"id":"XE2wRhtC/XiZQL27u","uris":["http://zotero.org/users/4514930/items/J3WTCNN5"],"uri":["http://zotero.org/users/4514930/items/J3WTCNN5"],"itemData":{"id":957,"type":"article-journal","abstract":"Linear mixed models are a powerful statistical tool for identifying genetic associations and avoiding confounding. However, existing methods are computationally intractable in large cohorts, and may not optimize power. All existing methods require time cost O(MN2) (where N = #samples and M = #SNPs) and implicitly assume an infinitesimal genetic architecture in which effect sizes are normally distributed, which can limit power. Here, we present a far more efficient mixed model association method, BOLT-LMM, which requires only a small number of O(MN)-time iterations and increases power by modeling more realistic, non-infinitesimal genetic architectures via a Bayesian mixture prior on marker effect sizes. We applied BOLT-LMM to nine quantitative traits in 23,294 samples from the Women’s Genome Health Study (WGHS) and observed significant increases in power, consistent with simulations. Theory and simulations show that the boost in power increases with cohort size, making BOLT-LMM appealing for GWAS in large cohorts.","container-title":"Nature genetics","DOI":"10.1038/ng.3190","ISSN":"1061-4036","issue":"3","journalAbbreviation":"Nat Genet","note":"PMID: 25642633\nPMCID: PMC4342297","page":"284-290","source":"PubMed Central","title":"Efficient Bayesian mixed model analysis increases association power in large cohorts","volume":"47","author":[{"family":"Loh","given":"Po-Ru"},{"family":"Tucker","given":"George"},{"family":"Bulik-Sullivan","given":"Brendan K"},{"family":"Vilhjálmsson","given":"Bjarni J"},{"family":"Finucane","given":"Hilary K"},{"family":"Salem","given":"Rany M"},{"family":"Chasman","given":"Daniel I"},{"family":"Ridker","given":"Paul M"},{"family":"Neale","given":"Benjamin M"},{"family":"Berger","given":"Bonnie"},{"family":"Patterson","given":"Nick"},{"family":"Price","given":"Alkes L"}],"issued":{"date-parts":[["2015",3]]}}}],"schema":"https://github.com/citation-style-language/schema/raw/master/csl-citation.json"} </w:instrText>
      </w:r>
      <w:r w:rsidRPr="7F587BE9">
        <w:fldChar w:fldCharType="separate"/>
      </w:r>
      <w:r w:rsidRPr="006F56ED">
        <w:rPr>
          <w:rFonts w:ascii="Calibri" w:hAnsi="Calibri" w:cs="Calibri"/>
          <w:szCs w:val="24"/>
          <w:vertAlign w:val="superscript"/>
        </w:rPr>
        <w:t>13</w:t>
      </w:r>
      <w:r w:rsidRPr="7F587BE9">
        <w:fldChar w:fldCharType="end"/>
      </w:r>
      <w:r w:rsidRPr="7F587BE9">
        <w:t>. GWAS was performed on all self-identified white individuals, excluding individuals who were cell count outliers as described above.</w:t>
      </w:r>
    </w:p>
    <w:p w14:paraId="6CA372B6" w14:textId="77777777" w:rsidR="00962E2A" w:rsidRDefault="00962E2A" w:rsidP="00962E2A">
      <w:pPr>
        <w:spacing w:after="0" w:line="240" w:lineRule="auto"/>
        <w:rPr>
          <w:rFonts w:cstheme="minorHAnsi"/>
        </w:rPr>
      </w:pPr>
    </w:p>
    <w:p w14:paraId="5574A17C" w14:textId="77777777" w:rsidR="00962E2A" w:rsidRDefault="00962E2A" w:rsidP="00962E2A">
      <w:pPr>
        <w:spacing w:after="0" w:line="240" w:lineRule="auto"/>
        <w:rPr>
          <w:rFonts w:cstheme="minorHAnsi"/>
          <w:b/>
          <w:bCs/>
        </w:rPr>
      </w:pPr>
      <w:r w:rsidRPr="00F702FF">
        <w:rPr>
          <w:rFonts w:cstheme="minorHAnsi"/>
          <w:b/>
          <w:bCs/>
        </w:rPr>
        <w:t>Ethics Statements</w:t>
      </w:r>
    </w:p>
    <w:p w14:paraId="7663E524" w14:textId="77777777" w:rsidR="00962E2A" w:rsidRPr="008E0F58" w:rsidRDefault="00962E2A" w:rsidP="00962E2A">
      <w:pPr>
        <w:spacing w:after="0" w:line="240" w:lineRule="auto"/>
        <w:rPr>
          <w:rFonts w:cstheme="minorHAnsi"/>
          <w:i/>
          <w:iCs/>
        </w:rPr>
      </w:pPr>
      <w:r>
        <w:rPr>
          <w:rFonts w:cstheme="minorHAnsi"/>
          <w:i/>
          <w:iCs/>
        </w:rPr>
        <w:t>ALSPAC</w:t>
      </w:r>
    </w:p>
    <w:p w14:paraId="715A80C6" w14:textId="77777777" w:rsidR="00962E2A" w:rsidRDefault="00962E2A" w:rsidP="00962E2A">
      <w:pPr>
        <w:spacing w:after="0" w:line="240" w:lineRule="auto"/>
        <w:rPr>
          <w:rFonts w:cstheme="minorHAnsi"/>
        </w:rPr>
      </w:pPr>
      <w:r w:rsidRPr="00675743">
        <w:rPr>
          <w:rFonts w:cstheme="minorHAnsi"/>
        </w:rPr>
        <w:t>Ethical approval for the study was obtained from the ALSPAC Ethics and Law Committee and the Local Research Ethics Committees. Informed consent for the use of data collected via questionnaires and clinics was obtained from participants following the recommendations of the ALSPAC Ethics and Law Committee at the time</w:t>
      </w:r>
    </w:p>
    <w:p w14:paraId="380B1EF2" w14:textId="77777777" w:rsidR="00962E2A" w:rsidRPr="008E0F58" w:rsidRDefault="00962E2A" w:rsidP="00962E2A">
      <w:pPr>
        <w:spacing w:after="0" w:line="240" w:lineRule="auto"/>
        <w:rPr>
          <w:rFonts w:cstheme="minorHAnsi"/>
        </w:rPr>
      </w:pPr>
    </w:p>
    <w:p w14:paraId="1DAEFCDD" w14:textId="77777777" w:rsidR="00962E2A" w:rsidRDefault="00962E2A" w:rsidP="00962E2A">
      <w:pPr>
        <w:spacing w:after="0" w:line="240" w:lineRule="auto"/>
        <w:rPr>
          <w:rFonts w:cstheme="minorHAnsi"/>
          <w:i/>
          <w:iCs/>
        </w:rPr>
      </w:pPr>
      <w:r>
        <w:rPr>
          <w:rFonts w:cstheme="minorHAnsi"/>
          <w:i/>
          <w:iCs/>
        </w:rPr>
        <w:t>ARIC</w:t>
      </w:r>
    </w:p>
    <w:p w14:paraId="5D2760AF" w14:textId="77777777" w:rsidR="00962E2A" w:rsidRPr="00BC516A" w:rsidRDefault="00962E2A" w:rsidP="00962E2A">
      <w:pPr>
        <w:spacing w:after="0" w:line="240" w:lineRule="auto"/>
      </w:pPr>
      <w:r>
        <w:t>Institutional Review Board approvals were obtained by the coordinating center and each ARIC study center. The research was conducted in accordance with the principles described in the Helsinki Declaration. All subjects in the ARIC study gave informed consent.</w:t>
      </w:r>
    </w:p>
    <w:p w14:paraId="4AB4EE78" w14:textId="77777777" w:rsidR="00962E2A" w:rsidRDefault="00962E2A" w:rsidP="00962E2A">
      <w:pPr>
        <w:spacing w:after="0" w:line="240" w:lineRule="auto"/>
        <w:rPr>
          <w:rFonts w:cstheme="minorHAnsi"/>
          <w:i/>
          <w:iCs/>
        </w:rPr>
      </w:pPr>
    </w:p>
    <w:p w14:paraId="1A2D43B8" w14:textId="77777777" w:rsidR="00962E2A" w:rsidRDefault="00962E2A" w:rsidP="00962E2A">
      <w:pPr>
        <w:spacing w:after="0" w:line="240" w:lineRule="auto"/>
        <w:rPr>
          <w:rFonts w:cstheme="minorHAnsi"/>
          <w:i/>
          <w:iCs/>
        </w:rPr>
      </w:pPr>
      <w:r>
        <w:rPr>
          <w:rFonts w:cstheme="minorHAnsi"/>
          <w:i/>
          <w:iCs/>
        </w:rPr>
        <w:t>CHS</w:t>
      </w:r>
    </w:p>
    <w:p w14:paraId="558BA051" w14:textId="77777777" w:rsidR="00962E2A" w:rsidRDefault="00962E2A" w:rsidP="00962E2A">
      <w:pPr>
        <w:spacing w:after="0" w:line="240" w:lineRule="auto"/>
        <w:rPr>
          <w:rFonts w:eastAsia="Times New Roman" w:cstheme="minorHAnsi"/>
        </w:rPr>
      </w:pPr>
      <w:r w:rsidRPr="00F702FF">
        <w:rPr>
          <w:rFonts w:eastAsia="Times New Roman" w:cstheme="minorHAnsi"/>
        </w:rPr>
        <w:t>CHS was approved by institutional review committees at each field center and individuals in the present analysis had available DNA and gave informed consent including consent to use of genetic information for the study of cardiovascular disease.</w:t>
      </w:r>
    </w:p>
    <w:p w14:paraId="68921F49" w14:textId="77777777" w:rsidR="00962E2A" w:rsidRDefault="00962E2A" w:rsidP="00962E2A">
      <w:pPr>
        <w:spacing w:after="0" w:line="240" w:lineRule="auto"/>
        <w:rPr>
          <w:rFonts w:eastAsia="Times New Roman" w:cstheme="minorHAnsi"/>
        </w:rPr>
      </w:pPr>
    </w:p>
    <w:p w14:paraId="48C727E2" w14:textId="77777777" w:rsidR="00962E2A" w:rsidRPr="00F702FF" w:rsidRDefault="00962E2A" w:rsidP="00962E2A">
      <w:pPr>
        <w:spacing w:after="0" w:line="240" w:lineRule="auto"/>
        <w:rPr>
          <w:rFonts w:eastAsia="Times New Roman" w:cstheme="minorHAnsi"/>
        </w:rPr>
      </w:pPr>
      <w:r>
        <w:rPr>
          <w:rFonts w:eastAsia="Times New Roman" w:cstheme="minorHAnsi"/>
          <w:i/>
          <w:iCs/>
        </w:rPr>
        <w:t>FHS</w:t>
      </w:r>
    </w:p>
    <w:p w14:paraId="1B51E651" w14:textId="77777777" w:rsidR="00962E2A" w:rsidRDefault="00962E2A" w:rsidP="00962E2A">
      <w:pPr>
        <w:spacing w:after="0" w:line="240" w:lineRule="auto"/>
        <w:rPr>
          <w:rFonts w:eastAsia="Times New Roman" w:cstheme="minorHAnsi"/>
        </w:rPr>
      </w:pPr>
      <w:r>
        <w:t>The Boston University Medical Campus Institutional Review Board approved the FHS genome-wide genotyping.</w:t>
      </w:r>
    </w:p>
    <w:p w14:paraId="2FFD6367" w14:textId="77777777" w:rsidR="00962E2A" w:rsidRDefault="00962E2A" w:rsidP="00962E2A">
      <w:pPr>
        <w:spacing w:after="0" w:line="240" w:lineRule="auto"/>
        <w:rPr>
          <w:rFonts w:eastAsia="Times New Roman" w:cstheme="minorHAnsi"/>
        </w:rPr>
      </w:pPr>
    </w:p>
    <w:p w14:paraId="26DB462E" w14:textId="77777777" w:rsidR="00962E2A" w:rsidRPr="00F702FF" w:rsidRDefault="00962E2A" w:rsidP="00962E2A">
      <w:pPr>
        <w:spacing w:after="0" w:line="240" w:lineRule="auto"/>
        <w:rPr>
          <w:rFonts w:eastAsia="Times New Roman" w:cstheme="minorHAnsi"/>
        </w:rPr>
      </w:pPr>
      <w:r>
        <w:rPr>
          <w:rFonts w:eastAsia="Times New Roman" w:cstheme="minorHAnsi"/>
          <w:i/>
          <w:iCs/>
        </w:rPr>
        <w:t>MESA</w:t>
      </w:r>
    </w:p>
    <w:p w14:paraId="45200B6F" w14:textId="11D2F8BF" w:rsidR="00962E2A" w:rsidRDefault="00962E2A" w:rsidP="00962E2A">
      <w:pPr>
        <w:spacing w:after="0" w:line="240" w:lineRule="auto"/>
        <w:rPr>
          <w:rFonts w:eastAsia="Times New Roman" w:cstheme="minorHAnsi"/>
        </w:rPr>
      </w:pPr>
      <w:r>
        <w:t>All MESA participants provided written and informed consent to participate in genetic studies. All study sites received approval to conduct this research from local Institutional Review Boards.</w:t>
      </w:r>
    </w:p>
    <w:p w14:paraId="7963680E" w14:textId="77777777" w:rsidR="00962E2A" w:rsidRDefault="00962E2A" w:rsidP="00962E2A">
      <w:pPr>
        <w:spacing w:after="0" w:line="240" w:lineRule="auto"/>
        <w:rPr>
          <w:rFonts w:eastAsia="Times New Roman" w:cstheme="minorHAnsi"/>
        </w:rPr>
      </w:pPr>
    </w:p>
    <w:p w14:paraId="759BCCE8" w14:textId="77777777" w:rsidR="00962E2A" w:rsidRPr="00E042A3" w:rsidRDefault="00962E2A" w:rsidP="00962E2A">
      <w:pPr>
        <w:spacing w:after="0" w:line="240" w:lineRule="auto"/>
        <w:rPr>
          <w:rFonts w:eastAsia="Times New Roman" w:cstheme="minorHAnsi"/>
        </w:rPr>
      </w:pPr>
      <w:r w:rsidRPr="00E042A3">
        <w:rPr>
          <w:rFonts w:eastAsia="Times New Roman" w:cstheme="minorHAnsi"/>
          <w:i/>
          <w:iCs/>
        </w:rPr>
        <w:t>ROS</w:t>
      </w:r>
      <w:r>
        <w:rPr>
          <w:rFonts w:eastAsia="Times New Roman" w:cstheme="minorHAnsi"/>
          <w:i/>
          <w:iCs/>
        </w:rPr>
        <w:t>/</w:t>
      </w:r>
      <w:r w:rsidRPr="00E042A3">
        <w:rPr>
          <w:rFonts w:eastAsia="Times New Roman" w:cstheme="minorHAnsi"/>
          <w:i/>
          <w:iCs/>
        </w:rPr>
        <w:t>MAP</w:t>
      </w:r>
    </w:p>
    <w:p w14:paraId="7510C8CE" w14:textId="77777777" w:rsidR="00962E2A" w:rsidRPr="00E042A3" w:rsidRDefault="00962E2A" w:rsidP="00962E2A">
      <w:pPr>
        <w:spacing w:after="0" w:line="240" w:lineRule="auto"/>
        <w:rPr>
          <w:rFonts w:eastAsia="Times New Roman" w:cstheme="minorHAnsi"/>
        </w:rPr>
      </w:pPr>
      <w:r w:rsidRPr="00E042A3">
        <w:rPr>
          <w:rFonts w:cstheme="minorHAnsi"/>
        </w:rPr>
        <w:t xml:space="preserve">All participants provided written informed consent and approval </w:t>
      </w:r>
      <w:r>
        <w:rPr>
          <w:rFonts w:cstheme="minorHAnsi"/>
        </w:rPr>
        <w:t>was obtained from an</w:t>
      </w:r>
      <w:r w:rsidRPr="00E042A3">
        <w:rPr>
          <w:rFonts w:cstheme="minorHAnsi"/>
        </w:rPr>
        <w:t xml:space="preserve"> institutional review board</w:t>
      </w:r>
      <w:r>
        <w:rPr>
          <w:rFonts w:cstheme="minorHAnsi"/>
        </w:rPr>
        <w:t xml:space="preserve">. Participants also signed a repository consent to allow their data to be shared. </w:t>
      </w:r>
    </w:p>
    <w:p w14:paraId="1FF46FAA" w14:textId="77777777" w:rsidR="00962E2A" w:rsidRDefault="00962E2A" w:rsidP="00962E2A">
      <w:pPr>
        <w:spacing w:after="0" w:line="240" w:lineRule="auto"/>
        <w:rPr>
          <w:rFonts w:eastAsia="Times New Roman" w:cstheme="minorHAnsi"/>
        </w:rPr>
      </w:pPr>
    </w:p>
    <w:p w14:paraId="7F6C84BA" w14:textId="77777777" w:rsidR="00962E2A" w:rsidRDefault="00962E2A" w:rsidP="00962E2A">
      <w:pPr>
        <w:spacing w:after="0" w:line="240" w:lineRule="auto"/>
        <w:rPr>
          <w:rFonts w:eastAsia="Times New Roman" w:cstheme="minorHAnsi"/>
        </w:rPr>
      </w:pPr>
      <w:r>
        <w:rPr>
          <w:rFonts w:eastAsia="Times New Roman" w:cstheme="minorHAnsi"/>
          <w:i/>
          <w:iCs/>
        </w:rPr>
        <w:t>SHIP</w:t>
      </w:r>
    </w:p>
    <w:p w14:paraId="012CC7B7" w14:textId="77777777" w:rsidR="00962E2A" w:rsidRDefault="00962E2A" w:rsidP="00962E2A">
      <w:pPr>
        <w:spacing w:after="0" w:line="240" w:lineRule="auto"/>
        <w:rPr>
          <w:rFonts w:cstheme="minorHAnsi"/>
        </w:rPr>
      </w:pPr>
      <w:r w:rsidRPr="00F702FF">
        <w:rPr>
          <w:rFonts w:cstheme="minorHAnsi"/>
        </w:rPr>
        <w:t>The study has been conducted according to the recommendations of the Declaration of Helsinki. The</w:t>
      </w:r>
      <w:r>
        <w:rPr>
          <w:rFonts w:cstheme="minorHAnsi"/>
        </w:rPr>
        <w:t xml:space="preserve"> </w:t>
      </w:r>
      <w:r w:rsidRPr="00F702FF">
        <w:rPr>
          <w:rFonts w:cstheme="minorHAnsi"/>
        </w:rPr>
        <w:t>study protocol of SHIP was approved by the medical ethics committee of the University of Greifswald. Written informed consent was obtained from each of the study participants.</w:t>
      </w:r>
    </w:p>
    <w:p w14:paraId="2DF65993" w14:textId="77777777" w:rsidR="00962E2A" w:rsidRDefault="00962E2A" w:rsidP="00962E2A">
      <w:pPr>
        <w:spacing w:after="0" w:line="240" w:lineRule="auto"/>
        <w:rPr>
          <w:rFonts w:cstheme="minorHAnsi"/>
        </w:rPr>
      </w:pPr>
    </w:p>
    <w:p w14:paraId="5ED728AE" w14:textId="77777777" w:rsidR="00962E2A" w:rsidRDefault="00962E2A" w:rsidP="00962E2A">
      <w:pPr>
        <w:spacing w:after="0" w:line="240" w:lineRule="auto"/>
        <w:rPr>
          <w:rFonts w:cstheme="minorHAnsi"/>
        </w:rPr>
      </w:pPr>
      <w:r>
        <w:rPr>
          <w:rFonts w:cstheme="minorHAnsi"/>
          <w:i/>
          <w:iCs/>
        </w:rPr>
        <w:t>UK Biobank</w:t>
      </w:r>
    </w:p>
    <w:p w14:paraId="7F407D1A" w14:textId="77777777" w:rsidR="00962E2A" w:rsidRDefault="00962E2A" w:rsidP="00962E2A">
      <w:pPr>
        <w:spacing w:after="0" w:line="240" w:lineRule="auto"/>
        <w:rPr>
          <w:rFonts w:cstheme="minorHAnsi"/>
        </w:rPr>
      </w:pPr>
      <w:r>
        <w:rPr>
          <w:rFonts w:cstheme="minorHAnsi"/>
        </w:rPr>
        <w:t>Research was approved by UK Biobank to ensure consistent with participant’s consent and framework of data access.</w:t>
      </w:r>
    </w:p>
    <w:p w14:paraId="680C4787" w14:textId="77777777" w:rsidR="00962E2A" w:rsidRDefault="00962E2A" w:rsidP="00962E2A">
      <w:pPr>
        <w:spacing w:after="0" w:line="240" w:lineRule="auto"/>
        <w:rPr>
          <w:rFonts w:cstheme="minorHAnsi"/>
        </w:rPr>
      </w:pPr>
    </w:p>
    <w:p w14:paraId="3A20F443" w14:textId="77777777" w:rsidR="00962E2A" w:rsidRDefault="00962E2A" w:rsidP="00962E2A">
      <w:pPr>
        <w:spacing w:after="0" w:line="240" w:lineRule="auto"/>
        <w:rPr>
          <w:rFonts w:cstheme="minorHAnsi"/>
        </w:rPr>
      </w:pPr>
    </w:p>
    <w:p w14:paraId="1D478F99" w14:textId="77777777" w:rsidR="00962E2A" w:rsidRDefault="00962E2A" w:rsidP="00962E2A">
      <w:pPr>
        <w:spacing w:after="0" w:line="240" w:lineRule="auto"/>
        <w:rPr>
          <w:rFonts w:cstheme="minorHAnsi"/>
          <w:b/>
          <w:bCs/>
        </w:rPr>
      </w:pPr>
      <w:r>
        <w:rPr>
          <w:rFonts w:cstheme="minorHAnsi"/>
          <w:b/>
          <w:bCs/>
        </w:rPr>
        <w:t>Supplemental References</w:t>
      </w:r>
    </w:p>
    <w:p w14:paraId="5D5CB194" w14:textId="77777777" w:rsidR="00962E2A" w:rsidRPr="000741BD" w:rsidRDefault="00962E2A" w:rsidP="00962E2A">
      <w:pPr>
        <w:spacing w:after="0" w:line="240" w:lineRule="auto"/>
        <w:rPr>
          <w:rFonts w:cstheme="minorHAnsi"/>
          <w:b/>
          <w:bCs/>
        </w:rPr>
      </w:pPr>
    </w:p>
    <w:p w14:paraId="4815622B" w14:textId="77777777" w:rsidR="00962E2A" w:rsidRPr="006F56ED" w:rsidRDefault="00962E2A" w:rsidP="00962E2A">
      <w:pPr>
        <w:pStyle w:val="Bibliography"/>
        <w:rPr>
          <w:rFonts w:ascii="Calibri" w:hAnsi="Calibri" w:cs="Calibri"/>
        </w:rPr>
      </w:pPr>
      <w:r>
        <w:fldChar w:fldCharType="begin"/>
      </w:r>
      <w:r>
        <w:instrText xml:space="preserve"> ADDIN ZOTERO_BIBL {"uncited":[],"omitted":[],"custom":[]} CSL_BIBLIOGRAPHY </w:instrText>
      </w:r>
      <w:r>
        <w:fldChar w:fldCharType="separate"/>
      </w:r>
      <w:r w:rsidRPr="006F56ED">
        <w:rPr>
          <w:rFonts w:ascii="Calibri" w:hAnsi="Calibri" w:cs="Calibri"/>
        </w:rPr>
        <w:t xml:space="preserve">1. </w:t>
      </w:r>
      <w:r w:rsidRPr="006F56ED">
        <w:rPr>
          <w:rFonts w:ascii="Calibri" w:hAnsi="Calibri" w:cs="Calibri"/>
        </w:rPr>
        <w:tab/>
        <w:t xml:space="preserve">Boyd A, Golding J, Macleod J, et al. Cohort Profile: the ’children of the 90s’--the index offspring of the Avon Longitudinal Study of Parents and Children. </w:t>
      </w:r>
      <w:r w:rsidRPr="006F56ED">
        <w:rPr>
          <w:rFonts w:ascii="Calibri" w:hAnsi="Calibri" w:cs="Calibri"/>
          <w:i/>
          <w:iCs/>
        </w:rPr>
        <w:t>Int J Epidemiol</w:t>
      </w:r>
      <w:r w:rsidRPr="006F56ED">
        <w:rPr>
          <w:rFonts w:ascii="Calibri" w:hAnsi="Calibri" w:cs="Calibri"/>
        </w:rPr>
        <w:t>. 2013;42(1):111-127. doi:10.1093/ije/dys064</w:t>
      </w:r>
    </w:p>
    <w:p w14:paraId="7763D892" w14:textId="77777777" w:rsidR="00962E2A" w:rsidRPr="006F56ED" w:rsidRDefault="00962E2A" w:rsidP="00962E2A">
      <w:pPr>
        <w:pStyle w:val="Bibliography"/>
        <w:rPr>
          <w:rFonts w:ascii="Calibri" w:hAnsi="Calibri" w:cs="Calibri"/>
        </w:rPr>
      </w:pPr>
      <w:r w:rsidRPr="006F56ED">
        <w:rPr>
          <w:rFonts w:ascii="Calibri" w:hAnsi="Calibri" w:cs="Calibri"/>
        </w:rPr>
        <w:t xml:space="preserve">2. </w:t>
      </w:r>
      <w:r w:rsidRPr="006F56ED">
        <w:rPr>
          <w:rFonts w:ascii="Calibri" w:hAnsi="Calibri" w:cs="Calibri"/>
        </w:rPr>
        <w:tab/>
        <w:t xml:space="preserve">Fraser A, Macdonald-Wallis C, Tilling K, et al. Cohort Profile: the Avon Longitudinal Study of Parents and Children: ALSPAC mothers cohort. </w:t>
      </w:r>
      <w:r w:rsidRPr="006F56ED">
        <w:rPr>
          <w:rFonts w:ascii="Calibri" w:hAnsi="Calibri" w:cs="Calibri"/>
          <w:i/>
          <w:iCs/>
        </w:rPr>
        <w:t>Int J Epidemiol</w:t>
      </w:r>
      <w:r w:rsidRPr="006F56ED">
        <w:rPr>
          <w:rFonts w:ascii="Calibri" w:hAnsi="Calibri" w:cs="Calibri"/>
        </w:rPr>
        <w:t>. 2013;42(1):97-110. doi:10.1093/ije/dys066</w:t>
      </w:r>
    </w:p>
    <w:p w14:paraId="4C7847C8" w14:textId="77777777" w:rsidR="00962E2A" w:rsidRPr="006F56ED" w:rsidRDefault="00962E2A" w:rsidP="00962E2A">
      <w:pPr>
        <w:pStyle w:val="Bibliography"/>
        <w:rPr>
          <w:rFonts w:ascii="Calibri" w:hAnsi="Calibri" w:cs="Calibri"/>
        </w:rPr>
      </w:pPr>
      <w:r w:rsidRPr="006F56ED">
        <w:rPr>
          <w:rFonts w:ascii="Calibri" w:hAnsi="Calibri" w:cs="Calibri"/>
        </w:rPr>
        <w:t xml:space="preserve">3. </w:t>
      </w:r>
      <w:r w:rsidRPr="006F56ED">
        <w:rPr>
          <w:rFonts w:ascii="Calibri" w:hAnsi="Calibri" w:cs="Calibri"/>
        </w:rPr>
        <w:tab/>
        <w:t xml:space="preserve">The Atherosclerosis Risk in Communities (ARIC) Study: design and objectives. The ARIC investigators. </w:t>
      </w:r>
      <w:r w:rsidRPr="006F56ED">
        <w:rPr>
          <w:rFonts w:ascii="Calibri" w:hAnsi="Calibri" w:cs="Calibri"/>
          <w:i/>
          <w:iCs/>
        </w:rPr>
        <w:t>Am J Epidemiol</w:t>
      </w:r>
      <w:r w:rsidRPr="006F56ED">
        <w:rPr>
          <w:rFonts w:ascii="Calibri" w:hAnsi="Calibri" w:cs="Calibri"/>
        </w:rPr>
        <w:t>. 1989;129(4):687-702.</w:t>
      </w:r>
    </w:p>
    <w:p w14:paraId="3D66AF7B" w14:textId="77777777" w:rsidR="00962E2A" w:rsidRPr="006F56ED" w:rsidRDefault="00962E2A" w:rsidP="00962E2A">
      <w:pPr>
        <w:pStyle w:val="Bibliography"/>
        <w:rPr>
          <w:rFonts w:ascii="Calibri" w:hAnsi="Calibri" w:cs="Calibri"/>
        </w:rPr>
      </w:pPr>
      <w:r w:rsidRPr="006F56ED">
        <w:rPr>
          <w:rFonts w:ascii="Calibri" w:hAnsi="Calibri" w:cs="Calibri"/>
        </w:rPr>
        <w:t xml:space="preserve">4. </w:t>
      </w:r>
      <w:r w:rsidRPr="006F56ED">
        <w:rPr>
          <w:rFonts w:ascii="Calibri" w:hAnsi="Calibri" w:cs="Calibri"/>
        </w:rPr>
        <w:tab/>
        <w:t xml:space="preserve">Longchamps RJ, Castellani CA, Yang SY, et al. Evaluation of mitochondrial DNA copy number estimation techniques. </w:t>
      </w:r>
      <w:r w:rsidRPr="006F56ED">
        <w:rPr>
          <w:rFonts w:ascii="Calibri" w:hAnsi="Calibri" w:cs="Calibri"/>
          <w:i/>
          <w:iCs/>
        </w:rPr>
        <w:t>PLOS ONE</w:t>
      </w:r>
      <w:r w:rsidRPr="006F56ED">
        <w:rPr>
          <w:rFonts w:ascii="Calibri" w:hAnsi="Calibri" w:cs="Calibri"/>
        </w:rPr>
        <w:t>. 2020;15(1):e0228166. doi:10.1371/journal.pone.0228166</w:t>
      </w:r>
    </w:p>
    <w:p w14:paraId="2766C3C6" w14:textId="77777777" w:rsidR="00962E2A" w:rsidRPr="006F56ED" w:rsidRDefault="00962E2A" w:rsidP="00962E2A">
      <w:pPr>
        <w:pStyle w:val="Bibliography"/>
        <w:rPr>
          <w:rFonts w:ascii="Calibri" w:hAnsi="Calibri" w:cs="Calibri"/>
        </w:rPr>
      </w:pPr>
      <w:r w:rsidRPr="006F56ED">
        <w:rPr>
          <w:rFonts w:ascii="Calibri" w:hAnsi="Calibri" w:cs="Calibri"/>
        </w:rPr>
        <w:t xml:space="preserve">5. </w:t>
      </w:r>
      <w:r w:rsidRPr="006F56ED">
        <w:rPr>
          <w:rFonts w:ascii="Calibri" w:hAnsi="Calibri" w:cs="Calibri"/>
        </w:rPr>
        <w:tab/>
        <w:t xml:space="preserve">Fried LP, Borhani NO, Enright P, et al. The Cardiovascular Health Study: design and rationale. </w:t>
      </w:r>
      <w:r w:rsidRPr="006F56ED">
        <w:rPr>
          <w:rFonts w:ascii="Calibri" w:hAnsi="Calibri" w:cs="Calibri"/>
          <w:i/>
          <w:iCs/>
        </w:rPr>
        <w:t>Ann Epidemiol</w:t>
      </w:r>
      <w:r w:rsidRPr="006F56ED">
        <w:rPr>
          <w:rFonts w:ascii="Calibri" w:hAnsi="Calibri" w:cs="Calibri"/>
        </w:rPr>
        <w:t>. 1991;1(3):263-276.</w:t>
      </w:r>
    </w:p>
    <w:p w14:paraId="2C713E59" w14:textId="77777777" w:rsidR="00962E2A" w:rsidRPr="006F56ED" w:rsidRDefault="00962E2A" w:rsidP="00962E2A">
      <w:pPr>
        <w:pStyle w:val="Bibliography"/>
        <w:rPr>
          <w:rFonts w:ascii="Calibri" w:hAnsi="Calibri" w:cs="Calibri"/>
        </w:rPr>
      </w:pPr>
      <w:r w:rsidRPr="006F56ED">
        <w:rPr>
          <w:rFonts w:ascii="Calibri" w:hAnsi="Calibri" w:cs="Calibri"/>
        </w:rPr>
        <w:t xml:space="preserve">6. </w:t>
      </w:r>
      <w:r w:rsidRPr="006F56ED">
        <w:rPr>
          <w:rFonts w:ascii="Calibri" w:hAnsi="Calibri" w:cs="Calibri"/>
        </w:rPr>
        <w:tab/>
        <w:t xml:space="preserve">Bennett DA, Schneider JA, Arvanitakis Z, Wilson RS. OVERVIEW AND FINDINGS FROM THE RELIGIOUS ORDERS STUDY. </w:t>
      </w:r>
      <w:r w:rsidRPr="006F56ED">
        <w:rPr>
          <w:rFonts w:ascii="Calibri" w:hAnsi="Calibri" w:cs="Calibri"/>
          <w:i/>
          <w:iCs/>
        </w:rPr>
        <w:t>Curr Alzheimer Res</w:t>
      </w:r>
      <w:r w:rsidRPr="006F56ED">
        <w:rPr>
          <w:rFonts w:ascii="Calibri" w:hAnsi="Calibri" w:cs="Calibri"/>
        </w:rPr>
        <w:t>. 2012;9(6):628-645.</w:t>
      </w:r>
    </w:p>
    <w:p w14:paraId="0F71B7BF" w14:textId="77777777" w:rsidR="00962E2A" w:rsidRPr="006F56ED" w:rsidRDefault="00962E2A" w:rsidP="00962E2A">
      <w:pPr>
        <w:pStyle w:val="Bibliography"/>
        <w:rPr>
          <w:rFonts w:ascii="Calibri" w:hAnsi="Calibri" w:cs="Calibri"/>
        </w:rPr>
      </w:pPr>
      <w:r w:rsidRPr="006F56ED">
        <w:rPr>
          <w:rFonts w:ascii="Calibri" w:hAnsi="Calibri" w:cs="Calibri"/>
        </w:rPr>
        <w:t xml:space="preserve">7. </w:t>
      </w:r>
      <w:r w:rsidRPr="006F56ED">
        <w:rPr>
          <w:rFonts w:ascii="Calibri" w:hAnsi="Calibri" w:cs="Calibri"/>
        </w:rPr>
        <w:tab/>
        <w:t xml:space="preserve">Bennett DA, Schneider JA, Buchman AS, Barnes LL, Boyle PA, Wilson RS. Overview and Findings from the Rush Memory and Aging Project. </w:t>
      </w:r>
      <w:r w:rsidRPr="006F56ED">
        <w:rPr>
          <w:rFonts w:ascii="Calibri" w:hAnsi="Calibri" w:cs="Calibri"/>
          <w:i/>
          <w:iCs/>
        </w:rPr>
        <w:t>Curr Alzheimer Res</w:t>
      </w:r>
      <w:r w:rsidRPr="006F56ED">
        <w:rPr>
          <w:rFonts w:ascii="Calibri" w:hAnsi="Calibri" w:cs="Calibri"/>
        </w:rPr>
        <w:t>. 2012;9(6):646-663.</w:t>
      </w:r>
    </w:p>
    <w:p w14:paraId="18A2E4F1" w14:textId="77777777" w:rsidR="00962E2A" w:rsidRPr="006F56ED" w:rsidRDefault="00962E2A" w:rsidP="00962E2A">
      <w:pPr>
        <w:pStyle w:val="Bibliography"/>
        <w:rPr>
          <w:rFonts w:ascii="Calibri" w:hAnsi="Calibri" w:cs="Calibri"/>
        </w:rPr>
      </w:pPr>
      <w:r w:rsidRPr="006F56ED">
        <w:rPr>
          <w:rFonts w:ascii="Calibri" w:hAnsi="Calibri" w:cs="Calibri"/>
        </w:rPr>
        <w:t xml:space="preserve">8. </w:t>
      </w:r>
      <w:r w:rsidRPr="006F56ED">
        <w:rPr>
          <w:rFonts w:ascii="Calibri" w:hAnsi="Calibri" w:cs="Calibri"/>
        </w:rPr>
        <w:tab/>
        <w:t xml:space="preserve">John U, Greiner B, Hensel E, et al. Study of Health In Pomerania (SHIP): a health examination survey in an east German region: objectives and design. </w:t>
      </w:r>
      <w:r w:rsidRPr="006F56ED">
        <w:rPr>
          <w:rFonts w:ascii="Calibri" w:hAnsi="Calibri" w:cs="Calibri"/>
          <w:i/>
          <w:iCs/>
        </w:rPr>
        <w:t>Soz Praventivmed</w:t>
      </w:r>
      <w:r w:rsidRPr="006F56ED">
        <w:rPr>
          <w:rFonts w:ascii="Calibri" w:hAnsi="Calibri" w:cs="Calibri"/>
        </w:rPr>
        <w:t>. 2001;46(3):186-194.</w:t>
      </w:r>
    </w:p>
    <w:p w14:paraId="3C35C120" w14:textId="77777777" w:rsidR="00962E2A" w:rsidRPr="006F56ED" w:rsidRDefault="00962E2A" w:rsidP="00962E2A">
      <w:pPr>
        <w:pStyle w:val="Bibliography"/>
        <w:rPr>
          <w:rFonts w:ascii="Calibri" w:hAnsi="Calibri" w:cs="Calibri"/>
        </w:rPr>
      </w:pPr>
      <w:r w:rsidRPr="006F56ED">
        <w:rPr>
          <w:rFonts w:ascii="Calibri" w:hAnsi="Calibri" w:cs="Calibri"/>
        </w:rPr>
        <w:t xml:space="preserve">9. </w:t>
      </w:r>
      <w:r w:rsidRPr="006F56ED">
        <w:rPr>
          <w:rFonts w:ascii="Calibri" w:hAnsi="Calibri" w:cs="Calibri"/>
        </w:rPr>
        <w:tab/>
        <w:t xml:space="preserve">Völzke H, Alte D, Schmidt CO, et al. Cohort profile: the study of health in Pomerania. </w:t>
      </w:r>
      <w:r w:rsidRPr="006F56ED">
        <w:rPr>
          <w:rFonts w:ascii="Calibri" w:hAnsi="Calibri" w:cs="Calibri"/>
          <w:i/>
          <w:iCs/>
        </w:rPr>
        <w:t>Int J Epidemiol</w:t>
      </w:r>
      <w:r w:rsidRPr="006F56ED">
        <w:rPr>
          <w:rFonts w:ascii="Calibri" w:hAnsi="Calibri" w:cs="Calibri"/>
        </w:rPr>
        <w:t>. 2011;40(2):294-307. doi:10.1093/ije/dyp394</w:t>
      </w:r>
    </w:p>
    <w:p w14:paraId="753EBEB7" w14:textId="77777777" w:rsidR="00962E2A" w:rsidRPr="006F56ED" w:rsidRDefault="00962E2A" w:rsidP="00962E2A">
      <w:pPr>
        <w:pStyle w:val="Bibliography"/>
        <w:rPr>
          <w:rFonts w:ascii="Calibri" w:hAnsi="Calibri" w:cs="Calibri"/>
        </w:rPr>
      </w:pPr>
      <w:r w:rsidRPr="006F56ED">
        <w:rPr>
          <w:rFonts w:ascii="Calibri" w:hAnsi="Calibri" w:cs="Calibri"/>
        </w:rPr>
        <w:lastRenderedPageBreak/>
        <w:t xml:space="preserve">10. </w:t>
      </w:r>
      <w:r w:rsidRPr="006F56ED">
        <w:rPr>
          <w:rFonts w:ascii="Calibri" w:hAnsi="Calibri" w:cs="Calibri"/>
        </w:rPr>
        <w:tab/>
        <w:t xml:space="preserve">Bycroft C, Freeman C, Petkova D, et al. The UK Biobank resource with deep phenotyping and genomic data. </w:t>
      </w:r>
      <w:r w:rsidRPr="006F56ED">
        <w:rPr>
          <w:rFonts w:ascii="Calibri" w:hAnsi="Calibri" w:cs="Calibri"/>
          <w:i/>
          <w:iCs/>
        </w:rPr>
        <w:t>Nature</w:t>
      </w:r>
      <w:r w:rsidRPr="006F56ED">
        <w:rPr>
          <w:rFonts w:ascii="Calibri" w:hAnsi="Calibri" w:cs="Calibri"/>
        </w:rPr>
        <w:t>. 2018;562(7726):203-209. doi:10.1038/s41586-018-0579-z</w:t>
      </w:r>
    </w:p>
    <w:p w14:paraId="0327675F" w14:textId="77777777" w:rsidR="00962E2A" w:rsidRPr="006F56ED" w:rsidRDefault="00962E2A" w:rsidP="00962E2A">
      <w:pPr>
        <w:pStyle w:val="Bibliography"/>
        <w:rPr>
          <w:rFonts w:ascii="Calibri" w:hAnsi="Calibri" w:cs="Calibri"/>
        </w:rPr>
      </w:pPr>
      <w:r w:rsidRPr="006F56ED">
        <w:rPr>
          <w:rFonts w:ascii="Calibri" w:hAnsi="Calibri" w:cs="Calibri"/>
        </w:rPr>
        <w:t xml:space="preserve">11. </w:t>
      </w:r>
      <w:r w:rsidRPr="006F56ED">
        <w:rPr>
          <w:rFonts w:ascii="Calibri" w:hAnsi="Calibri" w:cs="Calibri"/>
        </w:rPr>
        <w:tab/>
        <w:t>Whole exome sequencing and characterization of coding variation in 49,960 individuals in the UK Biobank | bioRxiv. Accessed August 14, 2019. https://www.biorxiv.org/content/10.1101/572347v1.supplementary-material</w:t>
      </w:r>
    </w:p>
    <w:p w14:paraId="19B568C7" w14:textId="77777777" w:rsidR="00962E2A" w:rsidRPr="006F56ED" w:rsidRDefault="00962E2A" w:rsidP="00962E2A">
      <w:pPr>
        <w:pStyle w:val="Bibliography"/>
        <w:rPr>
          <w:rFonts w:ascii="Calibri" w:hAnsi="Calibri" w:cs="Calibri"/>
        </w:rPr>
      </w:pPr>
      <w:r w:rsidRPr="006F56ED">
        <w:rPr>
          <w:rFonts w:ascii="Calibri" w:hAnsi="Calibri" w:cs="Calibri"/>
        </w:rPr>
        <w:t xml:space="preserve">12. </w:t>
      </w:r>
      <w:r w:rsidRPr="006F56ED">
        <w:rPr>
          <w:rFonts w:ascii="Calibri" w:hAnsi="Calibri" w:cs="Calibri"/>
        </w:rPr>
        <w:tab/>
        <w:t xml:space="preserve">Loh P-R, Kichaev G, Gazal S, Schoech AP, Price AL. Mixed model association for biobank-scale data sets. </w:t>
      </w:r>
      <w:r w:rsidRPr="006F56ED">
        <w:rPr>
          <w:rFonts w:ascii="Calibri" w:hAnsi="Calibri" w:cs="Calibri"/>
          <w:i/>
          <w:iCs/>
        </w:rPr>
        <w:t>Nat Genet</w:t>
      </w:r>
      <w:r w:rsidRPr="006F56ED">
        <w:rPr>
          <w:rFonts w:ascii="Calibri" w:hAnsi="Calibri" w:cs="Calibri"/>
        </w:rPr>
        <w:t>. 2018;50(7):906-908. doi:10.1038/s41588-018-0144-6</w:t>
      </w:r>
    </w:p>
    <w:p w14:paraId="5F8155C9" w14:textId="77777777" w:rsidR="00962E2A" w:rsidRPr="006F56ED" w:rsidRDefault="00962E2A" w:rsidP="00962E2A">
      <w:pPr>
        <w:pStyle w:val="Bibliography"/>
        <w:rPr>
          <w:rFonts w:ascii="Calibri" w:hAnsi="Calibri" w:cs="Calibri"/>
        </w:rPr>
      </w:pPr>
      <w:r w:rsidRPr="006F56ED">
        <w:rPr>
          <w:rFonts w:ascii="Calibri" w:hAnsi="Calibri" w:cs="Calibri"/>
        </w:rPr>
        <w:t xml:space="preserve">13. </w:t>
      </w:r>
      <w:r w:rsidRPr="006F56ED">
        <w:rPr>
          <w:rFonts w:ascii="Calibri" w:hAnsi="Calibri" w:cs="Calibri"/>
        </w:rPr>
        <w:tab/>
        <w:t xml:space="preserve">Loh P-R, Tucker G, Bulik-Sullivan BK, et al. Efficient Bayesian mixed model analysis increases association power in large cohorts. </w:t>
      </w:r>
      <w:r w:rsidRPr="006F56ED">
        <w:rPr>
          <w:rFonts w:ascii="Calibri" w:hAnsi="Calibri" w:cs="Calibri"/>
          <w:i/>
          <w:iCs/>
        </w:rPr>
        <w:t>Nat Genet</w:t>
      </w:r>
      <w:r w:rsidRPr="006F56ED">
        <w:rPr>
          <w:rFonts w:ascii="Calibri" w:hAnsi="Calibri" w:cs="Calibri"/>
        </w:rPr>
        <w:t>. 2015;47(3):284-290. doi:10.1038/ng.3190</w:t>
      </w:r>
    </w:p>
    <w:p w14:paraId="7FC4F966" w14:textId="77777777" w:rsidR="00962E2A" w:rsidRDefault="00962E2A" w:rsidP="00962E2A">
      <w:pPr>
        <w:tabs>
          <w:tab w:val="left" w:pos="360"/>
        </w:tabs>
        <w:ind w:left="360" w:hanging="360"/>
      </w:pPr>
      <w:r>
        <w:fldChar w:fldCharType="end"/>
      </w:r>
    </w:p>
    <w:p w14:paraId="5D869899" w14:textId="77777777" w:rsidR="007A0612" w:rsidRPr="007B4086" w:rsidRDefault="007A0612" w:rsidP="007A0612">
      <w:pPr>
        <w:pStyle w:val="paragraph"/>
        <w:spacing w:before="0" w:beforeAutospacing="0" w:after="0" w:afterAutospacing="0"/>
        <w:rPr>
          <w:b/>
          <w:bCs/>
        </w:rPr>
      </w:pPr>
      <w:r w:rsidRPr="007B4086">
        <w:rPr>
          <w:rFonts w:ascii="Calibri" w:eastAsiaTheme="minorEastAsia" w:hAnsi="Calibri" w:cs="Calibri"/>
          <w:b/>
          <w:bCs/>
          <w:sz w:val="22"/>
          <w:szCs w:val="22"/>
        </w:rPr>
        <w:t xml:space="preserve"> </w:t>
      </w:r>
    </w:p>
    <w:p w14:paraId="0F991EAB" w14:textId="77777777" w:rsidR="007A0612" w:rsidRDefault="007A0612" w:rsidP="007A0612"/>
    <w:p w14:paraId="2C078E63" w14:textId="0D1E2913" w:rsidR="00E20A65" w:rsidRPr="007A0612" w:rsidRDefault="00E20A65" w:rsidP="007A0612"/>
    <w:sectPr w:rsidR="00E20A65" w:rsidRPr="007A06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
    <w:panose1 w:val="00000500000000020000"/>
    <w:charset w:val="00"/>
    <w:family w:val="auto"/>
    <w:pitch w:val="variable"/>
    <w:sig w:usb0="E00002FF" w:usb1="5000205A"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68C64C6"/>
    <w:rsid w:val="00006930"/>
    <w:rsid w:val="000175B3"/>
    <w:rsid w:val="000B2FA1"/>
    <w:rsid w:val="000B5A3E"/>
    <w:rsid w:val="000D0C26"/>
    <w:rsid w:val="001260D1"/>
    <w:rsid w:val="001A64D0"/>
    <w:rsid w:val="0025662E"/>
    <w:rsid w:val="00273C58"/>
    <w:rsid w:val="002B3875"/>
    <w:rsid w:val="002C0FCA"/>
    <w:rsid w:val="002C1D73"/>
    <w:rsid w:val="002E3156"/>
    <w:rsid w:val="002F4FA1"/>
    <w:rsid w:val="00367056"/>
    <w:rsid w:val="003838FF"/>
    <w:rsid w:val="004014D8"/>
    <w:rsid w:val="00486B2C"/>
    <w:rsid w:val="00496154"/>
    <w:rsid w:val="004C017F"/>
    <w:rsid w:val="004E268E"/>
    <w:rsid w:val="0050237B"/>
    <w:rsid w:val="00547787"/>
    <w:rsid w:val="005554F5"/>
    <w:rsid w:val="00565329"/>
    <w:rsid w:val="005954E0"/>
    <w:rsid w:val="005E3351"/>
    <w:rsid w:val="005E41D2"/>
    <w:rsid w:val="00680528"/>
    <w:rsid w:val="006D0CCB"/>
    <w:rsid w:val="00721859"/>
    <w:rsid w:val="0073081A"/>
    <w:rsid w:val="00731C12"/>
    <w:rsid w:val="00746BE4"/>
    <w:rsid w:val="00763C81"/>
    <w:rsid w:val="00786C8E"/>
    <w:rsid w:val="007A0612"/>
    <w:rsid w:val="007B428D"/>
    <w:rsid w:val="007D0DF5"/>
    <w:rsid w:val="007E7600"/>
    <w:rsid w:val="008C0897"/>
    <w:rsid w:val="008E3A0D"/>
    <w:rsid w:val="009230C1"/>
    <w:rsid w:val="009507AC"/>
    <w:rsid w:val="00962E2A"/>
    <w:rsid w:val="00977AF4"/>
    <w:rsid w:val="009C239E"/>
    <w:rsid w:val="009C4BA1"/>
    <w:rsid w:val="009F4691"/>
    <w:rsid w:val="00A26B8C"/>
    <w:rsid w:val="00A428CD"/>
    <w:rsid w:val="00A70E6D"/>
    <w:rsid w:val="00AD0700"/>
    <w:rsid w:val="00B22286"/>
    <w:rsid w:val="00B30C40"/>
    <w:rsid w:val="00B53FC2"/>
    <w:rsid w:val="00B54EF4"/>
    <w:rsid w:val="00B632D4"/>
    <w:rsid w:val="00BA0C83"/>
    <w:rsid w:val="00BA3CCA"/>
    <w:rsid w:val="00BC36AE"/>
    <w:rsid w:val="00BE7CC3"/>
    <w:rsid w:val="00C1206B"/>
    <w:rsid w:val="00C23793"/>
    <w:rsid w:val="00C248EB"/>
    <w:rsid w:val="00C504AF"/>
    <w:rsid w:val="00C9726A"/>
    <w:rsid w:val="00CA3ADC"/>
    <w:rsid w:val="00CC7084"/>
    <w:rsid w:val="00CD0A71"/>
    <w:rsid w:val="00D02BD7"/>
    <w:rsid w:val="00D068D8"/>
    <w:rsid w:val="00D462CF"/>
    <w:rsid w:val="00D5166E"/>
    <w:rsid w:val="00D529B4"/>
    <w:rsid w:val="00E20A65"/>
    <w:rsid w:val="00E43DC5"/>
    <w:rsid w:val="00EA20E7"/>
    <w:rsid w:val="00F377E1"/>
    <w:rsid w:val="00F9132B"/>
    <w:rsid w:val="168C64C6"/>
    <w:rsid w:val="225A9FB6"/>
    <w:rsid w:val="7237428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C64C6"/>
  <w15:chartTrackingRefBased/>
  <w15:docId w15:val="{69CE7895-553E-EE44-99FE-76DD0ED0B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62E2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7A061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7A0612"/>
  </w:style>
  <w:style w:type="character" w:customStyle="1" w:styleId="normaltextrun">
    <w:name w:val="normaltextrun"/>
    <w:basedOn w:val="DefaultParagraphFont"/>
    <w:rsid w:val="007A0612"/>
  </w:style>
  <w:style w:type="paragraph" w:styleId="Bibliography">
    <w:name w:val="Bibliography"/>
    <w:basedOn w:val="Normal"/>
    <w:next w:val="Normal"/>
    <w:uiPriority w:val="37"/>
    <w:semiHidden/>
    <w:unhideWhenUsed/>
    <w:rsid w:val="00962E2A"/>
  </w:style>
  <w:style w:type="character" w:customStyle="1" w:styleId="Heading1Char">
    <w:name w:val="Heading 1 Char"/>
    <w:basedOn w:val="DefaultParagraphFont"/>
    <w:link w:val="Heading1"/>
    <w:uiPriority w:val="9"/>
    <w:rsid w:val="00962E2A"/>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962E2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hyperlink" Target="http://biobank.ctsu.ox.ac.uk/crystal/refer.cgi?id=157020" TargetMode="External"/><Relationship Id="rId3" Type="http://schemas.openxmlformats.org/officeDocument/2006/relationships/webSettings" Target="webSettings.xml"/><Relationship Id="rId7" Type="http://schemas.openxmlformats.org/officeDocument/2006/relationships/image" Target="media/image4.jpg"/><Relationship Id="rId12" Type="http://schemas.openxmlformats.org/officeDocument/2006/relationships/hyperlink" Target="http://biobank.ctsu.ox.ac.uk/crystal/refer.cgi?id=15558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theme" Target="theme/theme1.xml"/><Relationship Id="rId10" Type="http://schemas.openxmlformats.org/officeDocument/2006/relationships/image" Target="media/image7.emf"/><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16</Pages>
  <Words>8208</Words>
  <Characters>46789</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Yang</dc:creator>
  <cp:keywords/>
  <dc:description/>
  <cp:lastModifiedBy>Stephanie Yang</cp:lastModifiedBy>
  <cp:revision>31</cp:revision>
  <dcterms:created xsi:type="dcterms:W3CDTF">2021-04-22T23:38:00Z</dcterms:created>
  <dcterms:modified xsi:type="dcterms:W3CDTF">2021-10-21T14:41:00Z</dcterms:modified>
</cp:coreProperties>
</file>