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2A" w:rsidRPr="00066D4C" w:rsidRDefault="005A7E2A" w:rsidP="005A7E2A">
      <w:pPr>
        <w:pStyle w:val="NoSpacing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066D4C">
        <w:rPr>
          <w:rFonts w:ascii="Times New Roman" w:hAnsi="Times New Roman" w:cs="Times New Roman"/>
          <w:b/>
          <w:bCs/>
          <w:lang w:val="en-US"/>
        </w:rPr>
        <w:t xml:space="preserve">Supplemental table </w:t>
      </w:r>
      <w:r w:rsidR="00CB52D9" w:rsidRPr="00066D4C">
        <w:rPr>
          <w:rFonts w:ascii="Times New Roman" w:hAnsi="Times New Roman" w:cs="Times New Roman"/>
          <w:b/>
          <w:bCs/>
          <w:lang w:val="en-US"/>
        </w:rPr>
        <w:t>3</w:t>
      </w:r>
      <w:r w:rsidRPr="00066D4C">
        <w:rPr>
          <w:rFonts w:ascii="Times New Roman" w:hAnsi="Times New Roman" w:cs="Times New Roman"/>
          <w:b/>
          <w:bCs/>
          <w:lang w:val="en-US"/>
        </w:rPr>
        <w:t>: Overview of ophthalmic phenotype of (recruited) subjects.</w:t>
      </w:r>
    </w:p>
    <w:tbl>
      <w:tblPr>
        <w:tblStyle w:val="TableGrid"/>
        <w:tblW w:w="14230" w:type="dxa"/>
        <w:tblLook w:val="04A0" w:firstRow="1" w:lastRow="0" w:firstColumn="1" w:lastColumn="0" w:noHBand="0" w:noVBand="1"/>
      </w:tblPr>
      <w:tblGrid>
        <w:gridCol w:w="1413"/>
        <w:gridCol w:w="850"/>
        <w:gridCol w:w="851"/>
        <w:gridCol w:w="1559"/>
        <w:gridCol w:w="2126"/>
        <w:gridCol w:w="2410"/>
        <w:gridCol w:w="1418"/>
        <w:gridCol w:w="1275"/>
        <w:gridCol w:w="1164"/>
        <w:gridCol w:w="1164"/>
      </w:tblGrid>
      <w:tr w:rsidR="005A7E2A" w:rsidRPr="00066D4C" w:rsidTr="003731B9">
        <w:tc>
          <w:tcPr>
            <w:tcW w:w="1413" w:type="dxa"/>
            <w:vMerge w:val="restart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Patient ID</w:t>
            </w:r>
          </w:p>
        </w:tc>
        <w:tc>
          <w:tcPr>
            <w:tcW w:w="850" w:type="dxa"/>
            <w:vMerge w:val="restart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Sex 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(age at last exam)</w:t>
            </w:r>
          </w:p>
        </w:tc>
        <w:tc>
          <w:tcPr>
            <w:tcW w:w="851" w:type="dxa"/>
            <w:vMerge w:val="restart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RP 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Age of onset</w:t>
            </w:r>
          </w:p>
        </w:tc>
        <w:tc>
          <w:tcPr>
            <w:tcW w:w="1559" w:type="dxa"/>
            <w:vMerge w:val="restart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Visual acuity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(age at exam)</w:t>
            </w:r>
          </w:p>
        </w:tc>
        <w:tc>
          <w:tcPr>
            <w:tcW w:w="2126" w:type="dxa"/>
            <w:vMerge w:val="restart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Visual fields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br/>
              <w:t>Age at and type of exam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Central scotoma; ring scotoma; peripheral visual field loss</w:t>
            </w:r>
          </w:p>
        </w:tc>
        <w:tc>
          <w:tcPr>
            <w:tcW w:w="2410" w:type="dxa"/>
            <w:vMerge w:val="restart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Retina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br/>
              <w:t>Macula; Mid-periphery; Periphery</w:t>
            </w:r>
          </w:p>
        </w:tc>
        <w:tc>
          <w:tcPr>
            <w:tcW w:w="2693" w:type="dxa"/>
            <w:gridSpan w:val="2"/>
          </w:tcPr>
          <w:p w:rsidR="005A7E2A" w:rsidRPr="00066D4C" w:rsidRDefault="005A7E2A" w:rsidP="00C00167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Autofluorescence (AF)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28" w:type="dxa"/>
            <w:gridSpan w:val="2"/>
          </w:tcPr>
          <w:p w:rsidR="005A7E2A" w:rsidRPr="00066D4C" w:rsidRDefault="005A7E2A" w:rsidP="003731B9">
            <w:pPr>
              <w:spacing w:line="276" w:lineRule="auto"/>
              <w:rPr>
                <w:lang w:val="en-US"/>
              </w:rPr>
            </w:pPr>
            <w:r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E</w:t>
            </w:r>
            <w:r w:rsidR="00821293" w:rsidRPr="00066D4C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lectroretinography (ERG)</w:t>
            </w:r>
          </w:p>
        </w:tc>
      </w:tr>
      <w:tr w:rsidR="00821293" w:rsidRPr="00066D4C" w:rsidTr="003731B9">
        <w:tc>
          <w:tcPr>
            <w:tcW w:w="1413" w:type="dxa"/>
            <w:vMerge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vMerge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  <w:vMerge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Merge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vMerge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  <w:vMerge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HyperAF</w:t>
            </w:r>
            <w:proofErr w:type="spellEnd"/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 ring surrounding macular area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HypoAF</w:t>
            </w:r>
            <w:proofErr w:type="spellEnd"/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 at the level of the vascular arcades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Scotopic responses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Photopic responses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 (51y)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46y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20/25, OS 20/32 (49y)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49y, GP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No; Yes; No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Paramacular atrophy;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Moderate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lang w:val="en-US"/>
              </w:rPr>
              <w:t xml:space="preserve">Moderate decrease 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</w:t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(72y)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40y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HM, OS HM (71y)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lang w:val="en-US"/>
              </w:rPr>
              <w:t>62y, GP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lang w:val="en-US"/>
              </w:rPr>
              <w:t>Yes; Yes; Yes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Atrophy;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Severe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Severe decrease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 (86y)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51-60y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LP+, OS LP- (86y)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Self-reported peripheral visual field loss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Atrophy;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MOL0120 III:1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(Khateb 2018)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 (70y)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60y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LP+, OS LP+ (70y)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Para macular atrophy; Atrophy, dense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MOL0120 III:2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(Khateb 2018)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 (69y)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55y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20/100, OS HM (69y)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65y, GP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No; Yes; No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Para macular atrophy; Atrophy, dense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Severe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Moderate decrease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MOL0737 II:1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(Khateb 2018)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(59y)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45y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20/100, OS 20/50 (59y)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59y, GP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No; Yes; No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Preserved; Atrophy,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pgNum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cares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Moderate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Mild decrease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MOL0737 II:2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(Khateb 2018)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(55y)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47y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0.60, OS 20/25 (55y)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55y, GP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No; Yes; No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Preserved; Atrophy,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pgNum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cares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Mild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WNL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TB55 II:1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(Khateb 2018)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(57y)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Late 40s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Severe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Moderate decrease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 xml:space="preserve">Abad-Morales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&lt;EndNote&gt;&lt;Cite&gt;&lt;Author&gt;Abad-Morales&lt;/Author&gt;&lt;Year&gt;2020&lt;/Year&gt;&lt;RecNum&gt;2&lt;/RecNum&gt;&lt;DisplayText&gt;(Abad-Morales 2020)&lt;/DisplayText&gt;&lt;record&gt;&lt;rec-number&gt;2&lt;/rec-number&gt;&lt;foreign-keys&gt;&lt;key app="EN" db-id="tv0s22r22fzdp7e99x6v9asrtvv0229vdr09" timestamp="1617104027"&gt;2&lt;/key&gt;&lt;key app="ENWeb" db-id=""&gt;0&lt;/key&gt;&lt;/foreign-keys&gt;&lt;ref-type name="Journal Article"&gt;17&lt;/ref-type&gt;&lt;contributors&gt;&lt;authors&gt;&lt;author&gt;Abad-Morales, V.&lt;/author&gt;&lt;author&gt;Navarro, R.&lt;/author&gt;&lt;author&gt;Bures-Jelstrup, A.&lt;/author&gt;&lt;author&gt;Pomares, E.&lt;/author&gt;&lt;/authors&gt;&lt;/contributors&gt;&lt;auth-address&gt;Fundacio de Recerca de l&amp;apos;Institut de Microcirurgia Ocular, 08035, Barcelona, Spain.&amp;#xD;Department of Genetics, Institut de Microcirurgia Ocular (IMO), 08035, Barcelona, Spain.&amp;#xD;Department of Retina, Institut de Microcirurgia Ocular (IMO), 08035, Barcelona, Spain.&lt;/auth-address&gt;&lt;titles&gt;&lt;title&gt;Identification of a novel homozygous ARSG mutation as the second cause of Usher syndrome type 4&lt;/title&gt;&lt;secondary-title&gt;Am J Ophthalmol Case Rep&lt;/secondary-title&gt;&lt;/titles&gt;&lt;periodical&gt;&lt;full-title&gt;Am J Ophthalmol Case Rep&lt;/full-title&gt;&lt;/periodical&gt;&lt;pages&gt;100736&lt;/pages&gt;&lt;volume&gt;19&lt;/volume&gt;&lt;edition&gt;2020/05/27&lt;/edition&gt;&lt;keywords&gt;&lt;keyword&gt;Arsg&lt;/keyword&gt;&lt;keyword&gt;Gene mutation&lt;/keyword&gt;&lt;keyword&gt;Retinitis pigmentosa&lt;/keyword&gt;&lt;keyword&gt;Sensorineural hearing loss&lt;/keyword&gt;&lt;keyword&gt;Usher syndrome type 4&lt;/keyword&gt;&lt;keyword&gt;Whole exome sequencing&lt;/keyword&gt;&lt;/keywords&gt;&lt;dates&gt;&lt;year&gt;2020&lt;/year&gt;&lt;pub-dates&gt;&lt;date&gt;Sep&lt;/date&gt;&lt;/pub-dates&gt;&lt;/dates&gt;&lt;isbn&gt;2451-9936 (Electronic)&amp;#xD;2451-9936 (Linking)&lt;/isbn&gt;&lt;accession-num&gt;32455177&lt;/accession-num&gt;&lt;urls&gt;&lt;related-urls&gt;&lt;url&gt;https://www.ncbi.nlm.nih.gov/pubmed/32455177&lt;/url&gt;&lt;/related-urls&gt;&lt;/urls&gt;&lt;custom2&gt;PMC7235610&lt;/custom2&gt;&lt;electronic-resource-num&gt;10.1016/j.ajoc.2020.100736&lt;/electronic-resource-num&gt;&lt;/record&gt;&lt;/Cite&gt;&lt;/EndNote&gt;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(Abad-Morales 2020)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(40y)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40y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20/25, OS 20/25 (40y)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40y, HFA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No; Yes; N/a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Preserved; Atrophy,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pgNum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cares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LL64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(Peter 2020)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(72y)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45y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0.6, OS 20/40 (72y)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69y, HFA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No; Yes; No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Preserved; Atrophy,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pgNum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cares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Severe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Mild decrease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LL197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(Peter 2020)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(59y)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35y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HM, OS HM (59y)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46y, GP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No; Yes; No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Para macular atrophy; Atrophy, scar</w:t>
            </w:r>
            <w:r w:rsidR="00F738A4" w:rsidRPr="00066D4C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e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Severe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Mild decrease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Fowler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&lt;EndNote&gt;&lt;Cite&gt;&lt;Author&gt;Fowler&lt;/Author&gt;&lt;Year&gt;2021&lt;/Year&gt;&lt;RecNum&gt;3&lt;/RecNum&gt;&lt;DisplayText&gt;(Fowler 2021)&lt;/DisplayText&gt;&lt;record&gt;&lt;rec-number&gt;3&lt;/rec-number&gt;&lt;foreign-keys&gt;&lt;key app="EN" db-id="tv0s22r22fzdp7e99x6v9asrtvv0229vdr09" timestamp="1617104029"&gt;3&lt;/key&gt;&lt;key app="ENWeb" db-id=""&gt;0&lt;/key&gt;&lt;/foreign-keys&gt;&lt;ref-type name="Journal Article"&gt;17&lt;/ref-type&gt;&lt;contributors&gt;&lt;authors&gt;&lt;author&gt;Fowler, N. H.&lt;/author&gt;&lt;author&gt;El-Rashedy, M. I.&lt;/author&gt;&lt;author&gt;Chishti, E. A.&lt;/author&gt;&lt;author&gt;Vander Kooi, C. W.&lt;/author&gt;&lt;author&gt;Maldonado, R. S.&lt;/author&gt;&lt;/authors&gt;&lt;/contributors&gt;&lt;auth-address&gt;Department of Ophthalmology and Visual Sciences, University of Kentucky, Lexington, Kentucky, USA.&amp;#xD;Molecular and Cellular Biochemistry Center for Structural Biology, University of Kentucky, Lexington, Kentucky, USA.&lt;/auth-address&gt;&lt;titles&gt;&lt;title&gt;Multimodal imaging and genetic findings in a case of ARSG-related atypical Usher syndrome&lt;/title&gt;&lt;secondary-title&gt;Ophthalmic Genet&lt;/secondary-title&gt;&lt;/titles&gt;&lt;periodical&gt;&lt;full-title&gt;Ophthalmic Genet&lt;/full-title&gt;&lt;/periodical&gt;&lt;pages&gt;1-6&lt;/pages&gt;&lt;edition&gt;2021/02/26&lt;/edition&gt;&lt;keywords&gt;&lt;keyword&gt;Arsg&lt;/keyword&gt;&lt;keyword&gt;Arylsulfatase G&lt;/keyword&gt;&lt;keyword&gt;Rp&lt;/keyword&gt;&lt;keyword&gt;Ush4&lt;/keyword&gt;&lt;keyword&gt;Usher syndrome&lt;/keyword&gt;&lt;keyword&gt;Usher syndrome type 4&lt;/keyword&gt;&lt;keyword&gt;atypical Usher syndrome&lt;/keyword&gt;&lt;keyword&gt;retinitis pigmentosa&lt;/keyword&gt;&lt;/keywords&gt;&lt;dates&gt;&lt;year&gt;2021&lt;/year&gt;&lt;pub-dates&gt;&lt;date&gt;Feb 25&lt;/date&gt;&lt;/pub-dates&gt;&lt;/dates&gt;&lt;isbn&gt;1744-5094 (Electronic)&amp;#xD;1381-6810 (Linking)&lt;/isbn&gt;&lt;accession-num&gt;33629623&lt;/accession-num&gt;&lt;urls&gt;&lt;related-urls&gt;&lt;url&gt;https://www.ncbi.nlm.nih.gov/pubmed/33629623&lt;/url&gt;&lt;/related-urls&gt;&lt;/urls&gt;&lt;electronic-resource-num&gt;10.1080/13816810.2021.1891552&lt;/electronic-resource-num&gt;&lt;/record&gt;&lt;/Cite&gt;&lt;/EndNote&gt;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(Fowler 2021)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 (60y)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50y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20/20, OS 20/25 (60y)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60y, GP; </w:t>
            </w:r>
          </w:p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NR; Yes; No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66D4C">
              <w:rPr>
                <w:rFonts w:ascii="Times New Roman" w:hAnsi="Times New Roman" w:cs="Times New Roman"/>
                <w:lang w:val="en-US"/>
              </w:rPr>
              <w:t>Perimacular</w:t>
            </w:r>
            <w:proofErr w:type="spellEnd"/>
            <w:r w:rsidRPr="00066D4C">
              <w:rPr>
                <w:rFonts w:ascii="Times New Roman" w:hAnsi="Times New Roman" w:cs="Times New Roman"/>
                <w:lang w:val="en-US"/>
              </w:rPr>
              <w:t xml:space="preserve"> atrophy; Pigmentation; Preserved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ARSG-1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(Igelman 2021)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 (48y)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Early 30s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OD 20/20, OS 20/25 (40y) 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lang w:val="en-US"/>
              </w:rPr>
              <w:t>No findings; N/a; N/a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ARSG-2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(Igelman 2021)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(65y)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65y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20/30, OS 20/25 (65y)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lang w:val="en-US"/>
              </w:rPr>
              <w:t>Foveal sparing atrophy; N/a; N/a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Moderate decrease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Moderate decrease</w:t>
            </w:r>
          </w:p>
        </w:tc>
      </w:tr>
      <w:tr w:rsidR="00821293" w:rsidRPr="00066D4C" w:rsidTr="003731B9">
        <w:tc>
          <w:tcPr>
            <w:tcW w:w="1413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 xml:space="preserve">ARSG-29692 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066D4C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(Igelman 2021)</w:t>
            </w: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85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F (69y)</w:t>
            </w:r>
          </w:p>
        </w:tc>
        <w:tc>
          <w:tcPr>
            <w:tcW w:w="851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40y</w:t>
            </w:r>
          </w:p>
        </w:tc>
        <w:tc>
          <w:tcPr>
            <w:tcW w:w="1559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OD 20/1000, OS 20/800 (69y)</w:t>
            </w:r>
          </w:p>
        </w:tc>
        <w:tc>
          <w:tcPr>
            <w:tcW w:w="2126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410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066D4C">
              <w:rPr>
                <w:rFonts w:ascii="Times New Roman" w:hAnsi="Times New Roman" w:cs="Times New Roman"/>
                <w:lang w:val="en-US"/>
              </w:rPr>
              <w:t>Atrophy; N/a; N/a</w:t>
            </w:r>
          </w:p>
        </w:tc>
        <w:tc>
          <w:tcPr>
            <w:tcW w:w="1418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275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1164" w:type="dxa"/>
          </w:tcPr>
          <w:p w:rsidR="005A7E2A" w:rsidRPr="00066D4C" w:rsidRDefault="005A7E2A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66D4C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</w:tr>
    </w:tbl>
    <w:p w:rsidR="005A7E2A" w:rsidRPr="004E51C6" w:rsidRDefault="005A7E2A" w:rsidP="005A7E2A">
      <w:pPr>
        <w:pStyle w:val="NoSpacing"/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066D4C">
        <w:rPr>
          <w:rFonts w:ascii="Times New Roman" w:hAnsi="Times New Roman" w:cs="Times New Roman"/>
          <w:lang w:val="en-US"/>
        </w:rPr>
        <w:t xml:space="preserve">GP, </w:t>
      </w:r>
      <w:proofErr w:type="spellStart"/>
      <w:r w:rsidRPr="00066D4C">
        <w:rPr>
          <w:rFonts w:ascii="Times New Roman" w:hAnsi="Times New Roman" w:cs="Times New Roman"/>
          <w:lang w:val="en-US"/>
        </w:rPr>
        <w:t>Goldmann</w:t>
      </w:r>
      <w:proofErr w:type="spellEnd"/>
      <w:r w:rsidRPr="00066D4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66D4C">
        <w:rPr>
          <w:rFonts w:ascii="Times New Roman" w:hAnsi="Times New Roman" w:cs="Times New Roman"/>
          <w:lang w:val="en-US"/>
        </w:rPr>
        <w:t>perimetry</w:t>
      </w:r>
      <w:proofErr w:type="spellEnd"/>
      <w:r w:rsidRPr="00066D4C">
        <w:rPr>
          <w:rFonts w:ascii="Times New Roman" w:hAnsi="Times New Roman" w:cs="Times New Roman"/>
          <w:lang w:val="en-US"/>
        </w:rPr>
        <w:t>; HFA, Humphrey field analyzer; HM, hand motion; LP, light perception; N/a, not applicable</w:t>
      </w:r>
      <w:r w:rsidR="004F2F82" w:rsidRPr="00066D4C">
        <w:rPr>
          <w:rFonts w:ascii="Times New Roman" w:hAnsi="Times New Roman" w:cs="Times New Roman"/>
          <w:lang w:val="en-US"/>
        </w:rPr>
        <w:t>; NR, not reported</w:t>
      </w:r>
      <w:r w:rsidRPr="00066D4C">
        <w:rPr>
          <w:rFonts w:ascii="Times New Roman" w:hAnsi="Times New Roman" w:cs="Times New Roman"/>
          <w:lang w:val="en-US"/>
        </w:rPr>
        <w:t xml:space="preserve">; OD; right eye; </w:t>
      </w:r>
      <w:r w:rsidR="0059329B" w:rsidRPr="00066D4C">
        <w:rPr>
          <w:rFonts w:ascii="Times New Roman" w:hAnsi="Times New Roman" w:cs="Times New Roman"/>
          <w:lang w:val="en-US"/>
        </w:rPr>
        <w:t xml:space="preserve">OS; left eye; </w:t>
      </w:r>
      <w:r w:rsidRPr="00066D4C">
        <w:rPr>
          <w:rFonts w:ascii="Times New Roman" w:hAnsi="Times New Roman" w:cs="Times New Roman"/>
          <w:lang w:val="en-US"/>
        </w:rPr>
        <w:t>y, years.</w:t>
      </w:r>
      <w:bookmarkStart w:id="0" w:name="_GoBack"/>
      <w:bookmarkEnd w:id="0"/>
    </w:p>
    <w:sectPr w:rsidR="005A7E2A" w:rsidRPr="004E51C6" w:rsidSect="005A7E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2A"/>
    <w:rsid w:val="00066D4C"/>
    <w:rsid w:val="000D706B"/>
    <w:rsid w:val="003731B9"/>
    <w:rsid w:val="004F2F82"/>
    <w:rsid w:val="00581334"/>
    <w:rsid w:val="0059329B"/>
    <w:rsid w:val="005A7E2A"/>
    <w:rsid w:val="00821293"/>
    <w:rsid w:val="00CB52D9"/>
    <w:rsid w:val="00F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3027B-0A6B-4B5B-8B51-DA032300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7E2A"/>
    <w:pPr>
      <w:spacing w:after="0" w:line="240" w:lineRule="auto"/>
    </w:pPr>
  </w:style>
  <w:style w:type="table" w:styleId="TableGrid">
    <w:name w:val="Table Grid"/>
    <w:basedOn w:val="TableNormal"/>
    <w:uiPriority w:val="39"/>
    <w:rsid w:val="005A7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5A7E2A"/>
  </w:style>
  <w:style w:type="paragraph" w:styleId="BalloonText">
    <w:name w:val="Balloon Text"/>
    <w:basedOn w:val="Normal"/>
    <w:link w:val="BalloonTextChar"/>
    <w:uiPriority w:val="99"/>
    <w:semiHidden/>
    <w:unhideWhenUsed/>
    <w:rsid w:val="00821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Velde, Hedwig</dc:creator>
  <cp:keywords/>
  <dc:description/>
  <cp:lastModifiedBy>Karpaga Sankari</cp:lastModifiedBy>
  <cp:revision>4</cp:revision>
  <dcterms:created xsi:type="dcterms:W3CDTF">2022-02-02T13:57:00Z</dcterms:created>
  <dcterms:modified xsi:type="dcterms:W3CDTF">2022-02-16T08:48:00Z</dcterms:modified>
</cp:coreProperties>
</file>