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DF672" w14:textId="76AE7704" w:rsidR="00062B04" w:rsidRPr="00736F6A" w:rsidRDefault="00062B04" w:rsidP="002C4D2F">
      <w:pPr>
        <w:pStyle w:val="Heading1"/>
        <w:rPr>
          <w:rFonts w:ascii="Times New Roman" w:eastAsia="DengXian" w:hAnsi="Times New Roman" w:cs="Times New Roman"/>
          <w:b/>
          <w:bCs/>
          <w:color w:val="auto"/>
          <w:sz w:val="36"/>
          <w:szCs w:val="36"/>
          <w:lang w:val="en-GB" w:eastAsia="zh-CN"/>
        </w:rPr>
      </w:pPr>
      <w:bookmarkStart w:id="0" w:name="_Hlk167784577"/>
      <w:r w:rsidRPr="00736F6A">
        <w:rPr>
          <w:rFonts w:ascii="Times New Roman" w:eastAsia="DengXian" w:hAnsi="Times New Roman" w:cs="Times New Roman"/>
          <w:b/>
          <w:bCs/>
          <w:color w:val="auto"/>
          <w:sz w:val="36"/>
          <w:szCs w:val="36"/>
          <w:lang w:val="en-GB" w:eastAsia="zh-CN"/>
        </w:rPr>
        <w:t xml:space="preserve">Supplementary </w:t>
      </w:r>
      <w:r w:rsidR="00ED52AF" w:rsidRPr="00736F6A">
        <w:rPr>
          <w:rFonts w:ascii="Times New Roman" w:eastAsia="DengXian" w:hAnsi="Times New Roman" w:cs="Times New Roman"/>
          <w:b/>
          <w:bCs/>
          <w:color w:val="auto"/>
          <w:sz w:val="36"/>
          <w:szCs w:val="36"/>
          <w:lang w:val="en-GB" w:eastAsia="zh-CN"/>
        </w:rPr>
        <w:t>M</w:t>
      </w:r>
      <w:r w:rsidRPr="00736F6A">
        <w:rPr>
          <w:rFonts w:ascii="Times New Roman" w:eastAsia="DengXian" w:hAnsi="Times New Roman" w:cs="Times New Roman"/>
          <w:b/>
          <w:bCs/>
          <w:color w:val="auto"/>
          <w:sz w:val="36"/>
          <w:szCs w:val="36"/>
          <w:lang w:val="en-GB" w:eastAsia="zh-CN"/>
        </w:rPr>
        <w:t>ethod</w:t>
      </w:r>
      <w:r w:rsidR="00ED52AF" w:rsidRPr="00736F6A">
        <w:rPr>
          <w:rFonts w:ascii="Times New Roman" w:eastAsia="DengXian" w:hAnsi="Times New Roman" w:cs="Times New Roman"/>
          <w:b/>
          <w:bCs/>
          <w:color w:val="auto"/>
          <w:sz w:val="36"/>
          <w:szCs w:val="36"/>
          <w:lang w:val="en-GB" w:eastAsia="zh-CN"/>
        </w:rPr>
        <w:t>s</w:t>
      </w:r>
    </w:p>
    <w:p w14:paraId="39DE4781" w14:textId="4F66B581" w:rsidR="00963142" w:rsidRPr="00736F6A" w:rsidRDefault="00CD1F76" w:rsidP="002C4D2F">
      <w:pPr>
        <w:pStyle w:val="Heading2"/>
        <w:rPr>
          <w:rFonts w:ascii="Times New Roman" w:eastAsia="DengXian" w:hAnsi="Times New Roman" w:cs="Times New Roman"/>
          <w:b/>
          <w:bCs/>
          <w:color w:val="auto"/>
          <w:lang w:val="en-GB" w:eastAsia="zh-CN"/>
        </w:rPr>
      </w:pPr>
      <w:r w:rsidRPr="00736F6A">
        <w:rPr>
          <w:rFonts w:ascii="Times New Roman" w:hAnsi="Times New Roman" w:cs="Times New Roman"/>
          <w:b/>
          <w:bCs/>
          <w:color w:val="auto"/>
          <w:lang w:val="en-GB"/>
        </w:rPr>
        <w:t>Short read GS and data processing</w:t>
      </w:r>
    </w:p>
    <w:bookmarkEnd w:id="0"/>
    <w:p w14:paraId="3E3AA783" w14:textId="6E20EB31" w:rsidR="00544DAF" w:rsidRPr="00736F6A" w:rsidRDefault="00544DAF" w:rsidP="00FD4DE6">
      <w:pPr>
        <w:jc w:val="both"/>
        <w:rPr>
          <w:rFonts w:ascii="Times New Roman" w:hAnsi="Times New Roman" w:cs="Times New Roman"/>
          <w:sz w:val="20"/>
          <w:szCs w:val="20"/>
        </w:rPr>
      </w:pPr>
      <w:r w:rsidRPr="00736F6A">
        <w:rPr>
          <w:rFonts w:ascii="Times New Roman" w:hAnsi="Times New Roman" w:cs="Times New Roman"/>
          <w:sz w:val="20"/>
          <w:szCs w:val="20"/>
        </w:rPr>
        <w:t xml:space="preserve">Following genomic DNA (gDNA) extraction, PCR-free </w:t>
      </w:r>
      <w:r w:rsidRPr="00736F6A">
        <w:rPr>
          <w:rFonts w:ascii="Times New Roman" w:eastAsia="DengXian" w:hAnsi="Times New Roman" w:cs="Times New Roman"/>
          <w:sz w:val="20"/>
          <w:szCs w:val="20"/>
          <w:lang w:eastAsia="zh-CN"/>
        </w:rPr>
        <w:t>GS</w:t>
      </w:r>
      <w:r w:rsidRPr="00736F6A">
        <w:rPr>
          <w:rFonts w:ascii="Times New Roman" w:hAnsi="Times New Roman" w:cs="Times New Roman"/>
          <w:sz w:val="20"/>
          <w:szCs w:val="20"/>
        </w:rPr>
        <w:t xml:space="preserve"> libraries with insert size &gt; 400 bp were prepared with KAPA </w:t>
      </w:r>
      <w:proofErr w:type="spellStart"/>
      <w:r w:rsidRPr="00736F6A">
        <w:rPr>
          <w:rFonts w:ascii="Times New Roman" w:hAnsi="Times New Roman" w:cs="Times New Roman"/>
          <w:sz w:val="20"/>
          <w:szCs w:val="20"/>
        </w:rPr>
        <w:t>HyperPlus</w:t>
      </w:r>
      <w:proofErr w:type="spellEnd"/>
      <w:r w:rsidRPr="00736F6A">
        <w:rPr>
          <w:rFonts w:ascii="Times New Roman" w:hAnsi="Times New Roman" w:cs="Times New Roman"/>
          <w:sz w:val="20"/>
          <w:szCs w:val="20"/>
        </w:rPr>
        <w:t xml:space="preserve"> Kit (Roche Diagnostics) and sequenced on an Illumina NovaSeq 6000 sequencer (Illumina Inc.)</w:t>
      </w:r>
      <w:r w:rsidRPr="00736F6A">
        <w:rPr>
          <w:rFonts w:ascii="Times New Roman" w:eastAsia="DengXian" w:hAnsi="Times New Roman" w:cs="Times New Roman"/>
          <w:sz w:val="20"/>
          <w:szCs w:val="20"/>
          <w:lang w:eastAsia="zh-CN"/>
        </w:rPr>
        <w:t xml:space="preserve">. </w:t>
      </w:r>
      <w:r w:rsidRPr="00736F6A">
        <w:rPr>
          <w:rFonts w:ascii="Times New Roman" w:hAnsi="Times New Roman" w:cs="Times New Roman"/>
          <w:sz w:val="20"/>
          <w:szCs w:val="20"/>
        </w:rPr>
        <w:t xml:space="preserve"> A median depth of 39x and coverage &gt;10x for at least 95% of the reference human genome GRCh38 wer</w:t>
      </w:r>
      <w:r w:rsidRPr="00736F6A">
        <w:rPr>
          <w:rFonts w:ascii="Times New Roman" w:eastAsia="DengXian" w:hAnsi="Times New Roman" w:cs="Times New Roman"/>
          <w:sz w:val="20"/>
          <w:szCs w:val="20"/>
          <w:lang w:eastAsia="zh-CN"/>
        </w:rPr>
        <w:t>e targeted</w:t>
      </w:r>
      <w:r w:rsidRPr="00736F6A">
        <w:rPr>
          <w:rFonts w:ascii="Times New Roman" w:hAnsi="Times New Roman" w:cs="Times New Roman"/>
          <w:sz w:val="20"/>
          <w:szCs w:val="20"/>
        </w:rPr>
        <w:t xml:space="preserve">. </w:t>
      </w:r>
      <w:r w:rsidRPr="00736F6A">
        <w:rPr>
          <w:rFonts w:ascii="Times New Roman" w:eastAsia="DengXian" w:hAnsi="Times New Roman" w:cs="Times New Roman"/>
          <w:sz w:val="20"/>
          <w:szCs w:val="20"/>
          <w:lang w:eastAsia="zh-CN"/>
        </w:rPr>
        <w:t xml:space="preserve">BCL data demultiplexing and base-calling was performed using </w:t>
      </w:r>
      <w:proofErr w:type="spellStart"/>
      <w:r w:rsidRPr="00736F6A">
        <w:rPr>
          <w:rFonts w:ascii="Times New Roman" w:eastAsia="DengXian" w:hAnsi="Times New Roman" w:cs="Times New Roman"/>
          <w:sz w:val="20"/>
          <w:szCs w:val="20"/>
          <w:lang w:eastAsia="zh-CN"/>
        </w:rPr>
        <w:t>bclconvert</w:t>
      </w:r>
      <w:proofErr w:type="spellEnd"/>
      <w:r w:rsidRPr="00736F6A">
        <w:rPr>
          <w:rFonts w:ascii="Times New Roman" w:eastAsia="DengXian" w:hAnsi="Times New Roman" w:cs="Times New Roman"/>
          <w:sz w:val="20"/>
          <w:szCs w:val="20"/>
          <w:lang w:eastAsia="zh-CN"/>
        </w:rPr>
        <w:t xml:space="preserve"> (v2.20) in Illumina DRAGEN platform. GS</w:t>
      </w:r>
      <w:r w:rsidRPr="00736F6A">
        <w:rPr>
          <w:rFonts w:ascii="Times New Roman" w:hAnsi="Times New Roman" w:cs="Times New Roman"/>
          <w:sz w:val="20"/>
          <w:szCs w:val="20"/>
        </w:rPr>
        <w:t xml:space="preserve"> reads were aligned to the reference human genome build 38 (GRCh38/hg38) using BWA (</w:t>
      </w:r>
      <w:r w:rsidRPr="00736F6A">
        <w:rPr>
          <w:rFonts w:ascii="Times New Roman" w:eastAsia="DengXian" w:hAnsi="Times New Roman" w:cs="Times New Roman"/>
          <w:sz w:val="20"/>
          <w:szCs w:val="20"/>
          <w:lang w:eastAsia="zh-CN"/>
        </w:rPr>
        <w:t>v</w:t>
      </w:r>
      <w:r w:rsidRPr="00736F6A">
        <w:rPr>
          <w:rFonts w:ascii="Times New Roman" w:hAnsi="Times New Roman" w:cs="Times New Roman"/>
          <w:sz w:val="20"/>
          <w:szCs w:val="20"/>
        </w:rPr>
        <w:t>0.7.17) with duplicates removed using Picard (</w:t>
      </w:r>
      <w:r w:rsidRPr="00736F6A">
        <w:rPr>
          <w:rFonts w:ascii="Times New Roman" w:eastAsia="DengXian" w:hAnsi="Times New Roman" w:cs="Times New Roman"/>
          <w:sz w:val="20"/>
          <w:szCs w:val="20"/>
          <w:lang w:eastAsia="zh-CN"/>
        </w:rPr>
        <w:t>v</w:t>
      </w:r>
      <w:r w:rsidRPr="00736F6A">
        <w:rPr>
          <w:rFonts w:ascii="Times New Roman" w:hAnsi="Times New Roman" w:cs="Times New Roman"/>
          <w:sz w:val="20"/>
          <w:szCs w:val="20"/>
        </w:rPr>
        <w:t>2.27.4)</w:t>
      </w:r>
      <w:sdt>
        <w:sdtPr>
          <w:rPr>
            <w:rFonts w:ascii="Times New Roman" w:hAnsi="Times New Roman" w:cs="Times New Roman"/>
            <w:sz w:val="20"/>
            <w:szCs w:val="20"/>
          </w:rPr>
          <w:alias w:val="SmartCite Citation"/>
          <w:tag w:val="9d8c8dfd-60cf-47b9-80f9-736d0561ff9b:fb7721d5-09df-48b1-9b7f-73def3151723+"/>
          <w:id w:val="-876159558"/>
          <w:placeholder>
            <w:docPart w:val="438659186CD04831B49E6D756D8CE389"/>
          </w:placeholder>
        </w:sdtPr>
        <w:sdtEndPr/>
        <w:sdtContent>
          <w:r w:rsidR="001E700F" w:rsidRPr="00736F6A">
            <w:rPr>
              <w:rFonts w:ascii="Times New Roman" w:eastAsia="Times New Roman" w:hAnsi="Times New Roman" w:cs="Times New Roman"/>
              <w:sz w:val="20"/>
              <w:szCs w:val="20"/>
            </w:rPr>
            <w:t>(Li and Durbin 2009)</w:t>
          </w:r>
        </w:sdtContent>
      </w:sdt>
      <w:r w:rsidRPr="00736F6A">
        <w:rPr>
          <w:rFonts w:ascii="Times New Roman" w:hAnsi="Times New Roman" w:cs="Times New Roman"/>
          <w:sz w:val="20"/>
          <w:szCs w:val="20"/>
        </w:rPr>
        <w:t>. Family-based variant calling for chromosomes 1 to 22, the X chromosome, and the mitochondrial genome was performed using GATK (</w:t>
      </w:r>
      <w:r w:rsidRPr="00736F6A">
        <w:rPr>
          <w:rFonts w:ascii="Times New Roman" w:eastAsia="DengXian" w:hAnsi="Times New Roman" w:cs="Times New Roman"/>
          <w:sz w:val="20"/>
          <w:szCs w:val="20"/>
          <w:lang w:eastAsia="zh-CN"/>
        </w:rPr>
        <w:t>v</w:t>
      </w:r>
      <w:r w:rsidRPr="00736F6A">
        <w:rPr>
          <w:rFonts w:ascii="Times New Roman" w:hAnsi="Times New Roman" w:cs="Times New Roman"/>
          <w:sz w:val="20"/>
          <w:szCs w:val="20"/>
        </w:rPr>
        <w:t>4.2.6.1)</w:t>
      </w:r>
      <w:sdt>
        <w:sdtPr>
          <w:rPr>
            <w:rFonts w:ascii="Times New Roman" w:hAnsi="Times New Roman" w:cs="Times New Roman"/>
            <w:sz w:val="20"/>
            <w:szCs w:val="20"/>
          </w:rPr>
          <w:alias w:val="SmartCite Citation"/>
          <w:tag w:val="9d8c8dfd-60cf-47b9-80f9-736d0561ff9b:2553bf69-07b6-4da2-939b-f1ccdcd298b4+"/>
          <w:id w:val="2146470000"/>
          <w:placeholder>
            <w:docPart w:val="438659186CD04831B49E6D756D8CE389"/>
          </w:placeholder>
        </w:sdtPr>
        <w:sdtEndPr/>
        <w:sdtContent>
          <w:r w:rsidR="001E700F" w:rsidRPr="00736F6A">
            <w:rPr>
              <w:rFonts w:ascii="Times New Roman" w:eastAsia="Times New Roman" w:hAnsi="Times New Roman" w:cs="Times New Roman"/>
              <w:sz w:val="20"/>
              <w:szCs w:val="20"/>
            </w:rPr>
            <w:t>(Poplin et al. 2018)</w:t>
          </w:r>
        </w:sdtContent>
      </w:sdt>
      <w:r w:rsidRPr="00736F6A">
        <w:rPr>
          <w:rFonts w:ascii="Times New Roman" w:hAnsi="Times New Roman" w:cs="Times New Roman"/>
          <w:sz w:val="20"/>
          <w:szCs w:val="20"/>
        </w:rPr>
        <w:t xml:space="preserve"> to identify single nucleotide variants (SNVs) and small insertion or deletions (indels).</w:t>
      </w:r>
    </w:p>
    <w:p w14:paraId="6B393377" w14:textId="77777777" w:rsidR="00544DAF" w:rsidRPr="00736F6A" w:rsidRDefault="00544DAF" w:rsidP="00FD4DE6">
      <w:pPr>
        <w:spacing w:after="0" w:line="240" w:lineRule="auto"/>
        <w:jc w:val="both"/>
        <w:rPr>
          <w:rFonts w:ascii="Times New Roman" w:eastAsia="DengXian" w:hAnsi="Times New Roman" w:cs="Times New Roman"/>
          <w:sz w:val="20"/>
          <w:szCs w:val="20"/>
          <w:lang w:eastAsia="zh-CN"/>
        </w:rPr>
      </w:pPr>
    </w:p>
    <w:p w14:paraId="0C784522" w14:textId="3543D64A" w:rsidR="00544DAF" w:rsidRPr="00736F6A" w:rsidRDefault="00544DAF" w:rsidP="00FD4DE6">
      <w:pPr>
        <w:jc w:val="both"/>
        <w:rPr>
          <w:rFonts w:ascii="Times New Roman" w:hAnsi="Times New Roman" w:cs="Times New Roman"/>
          <w:sz w:val="20"/>
          <w:szCs w:val="20"/>
          <w:lang w:eastAsia="zh-CN"/>
        </w:rPr>
      </w:pPr>
      <w:r w:rsidRPr="00736F6A">
        <w:rPr>
          <w:rFonts w:ascii="Times New Roman" w:hAnsi="Times New Roman" w:cs="Times New Roman"/>
          <w:sz w:val="20"/>
          <w:szCs w:val="20"/>
          <w:lang w:eastAsia="zh-CN"/>
        </w:rPr>
        <w:t>Variants were annotated by Variant Effect Predictor (VEP, release 104)</w:t>
      </w:r>
      <w:sdt>
        <w:sdtPr>
          <w:rPr>
            <w:rFonts w:ascii="Times New Roman" w:hAnsi="Times New Roman" w:cs="Times New Roman"/>
            <w:sz w:val="20"/>
            <w:szCs w:val="20"/>
            <w:lang w:eastAsia="zh-CN"/>
          </w:rPr>
          <w:alias w:val="SmartCite Citation"/>
          <w:tag w:val="9d8c8dfd-60cf-47b9-80f9-736d0561ff9b:6b1a17f5-57d2-4462-b012-67105397bfc9+"/>
          <w:id w:val="2082559575"/>
          <w:placeholder>
            <w:docPart w:val="426D7BF26F624E97906412EAA3EE9E98"/>
          </w:placeholder>
        </w:sdtPr>
        <w:sdtEndPr/>
        <w:sdtContent>
          <w:r w:rsidR="001E700F" w:rsidRPr="00736F6A">
            <w:rPr>
              <w:rFonts w:ascii="Times New Roman" w:eastAsia="Times New Roman" w:hAnsi="Times New Roman" w:cs="Times New Roman"/>
              <w:sz w:val="20"/>
              <w:szCs w:val="20"/>
            </w:rPr>
            <w:t>(McLaren et al. 2016)</w:t>
          </w:r>
        </w:sdtContent>
      </w:sdt>
      <w:r w:rsidRPr="00736F6A">
        <w:rPr>
          <w:rFonts w:ascii="Times New Roman" w:hAnsi="Times New Roman" w:cs="Times New Roman"/>
          <w:sz w:val="20"/>
          <w:szCs w:val="20"/>
          <w:lang w:eastAsia="zh-CN"/>
        </w:rPr>
        <w:t xml:space="preserve">. Consequences of each </w:t>
      </w:r>
      <w:bookmarkStart w:id="1" w:name="_Hlk167789213"/>
      <w:r w:rsidRPr="00736F6A">
        <w:rPr>
          <w:rFonts w:ascii="Times New Roman" w:hAnsi="Times New Roman" w:cs="Times New Roman"/>
          <w:sz w:val="20"/>
          <w:szCs w:val="20"/>
          <w:lang w:eastAsia="zh-CN"/>
        </w:rPr>
        <w:t xml:space="preserve">variant, together with other information obtained from public databases were assigned, including population frequency, related genes and transcripts and protein change impacts from </w:t>
      </w:r>
      <w:r w:rsidRPr="00736F6A">
        <w:rPr>
          <w:rFonts w:ascii="Times New Roman" w:hAnsi="Times New Roman" w:cs="Times New Roman"/>
          <w:i/>
          <w:iCs/>
          <w:sz w:val="20"/>
          <w:szCs w:val="20"/>
          <w:lang w:eastAsia="zh-CN"/>
        </w:rPr>
        <w:t xml:space="preserve">in </w:t>
      </w:r>
      <w:bookmarkEnd w:id="1"/>
      <w:r w:rsidRPr="00736F6A">
        <w:rPr>
          <w:rFonts w:ascii="Times New Roman" w:hAnsi="Times New Roman" w:cs="Times New Roman"/>
          <w:i/>
          <w:iCs/>
          <w:sz w:val="20"/>
          <w:szCs w:val="20"/>
          <w:lang w:eastAsia="zh-CN"/>
        </w:rPr>
        <w:t>silico</w:t>
      </w:r>
      <w:r w:rsidRPr="00736F6A">
        <w:rPr>
          <w:rFonts w:ascii="Times New Roman" w:hAnsi="Times New Roman" w:cs="Times New Roman"/>
          <w:sz w:val="20"/>
          <w:szCs w:val="20"/>
          <w:lang w:eastAsia="zh-CN"/>
        </w:rPr>
        <w:t xml:space="preserve"> tools. Basic filtering was applied to the SNV list for each sample, by removing variants located in intergenic regions or with all related gnomAD allele frequency higher than 0.005</w:t>
      </w:r>
      <w:sdt>
        <w:sdtPr>
          <w:rPr>
            <w:rFonts w:ascii="Times New Roman" w:hAnsi="Times New Roman" w:cs="Times New Roman"/>
            <w:sz w:val="20"/>
            <w:szCs w:val="20"/>
            <w:lang w:eastAsia="zh-CN"/>
          </w:rPr>
          <w:alias w:val="SmartCite Citation"/>
          <w:tag w:val="9d8c8dfd-60cf-47b9-80f9-736d0561ff9b:440f1f9d-4c15-4cde-a578-6d33242ed335+"/>
          <w:id w:val="-1387634628"/>
          <w:placeholder>
            <w:docPart w:val="426D7BF26F624E97906412EAA3EE9E98"/>
          </w:placeholder>
        </w:sdtPr>
        <w:sdtEndPr/>
        <w:sdtContent>
          <w:r w:rsidR="001E700F" w:rsidRPr="00736F6A">
            <w:rPr>
              <w:rFonts w:ascii="Times New Roman" w:eastAsia="Times New Roman" w:hAnsi="Times New Roman" w:cs="Times New Roman"/>
              <w:sz w:val="20"/>
              <w:szCs w:val="20"/>
            </w:rPr>
            <w:t>(Chen et al. 2024)</w:t>
          </w:r>
        </w:sdtContent>
      </w:sdt>
      <w:r w:rsidRPr="00736F6A">
        <w:rPr>
          <w:rFonts w:ascii="Times New Roman" w:hAnsi="Times New Roman" w:cs="Times New Roman"/>
          <w:sz w:val="20"/>
          <w:szCs w:val="20"/>
          <w:lang w:eastAsia="zh-CN"/>
        </w:rPr>
        <w:t>.</w:t>
      </w:r>
    </w:p>
    <w:p w14:paraId="79C2B8DB" w14:textId="77777777" w:rsidR="00544DAF" w:rsidRPr="00736F6A" w:rsidRDefault="00544DAF">
      <w:pPr>
        <w:rPr>
          <w:rFonts w:ascii="Times New Roman" w:eastAsia="DengXian" w:hAnsi="Times New Roman" w:cs="Times New Roman"/>
          <w:lang w:eastAsia="zh-CN"/>
        </w:rPr>
      </w:pPr>
    </w:p>
    <w:p w14:paraId="79DF7AC2" w14:textId="77777777" w:rsidR="000270B1" w:rsidRPr="00736F6A" w:rsidRDefault="000270B1" w:rsidP="002C4D2F">
      <w:pPr>
        <w:pStyle w:val="Heading2"/>
        <w:rPr>
          <w:rFonts w:ascii="Times New Roman" w:hAnsi="Times New Roman" w:cs="Times New Roman"/>
          <w:b/>
          <w:bCs/>
          <w:color w:val="auto"/>
          <w:lang w:val="en-GB"/>
        </w:rPr>
      </w:pPr>
      <w:r w:rsidRPr="00736F6A">
        <w:rPr>
          <w:rFonts w:ascii="Times New Roman" w:hAnsi="Times New Roman" w:cs="Times New Roman"/>
          <w:b/>
          <w:bCs/>
          <w:color w:val="auto"/>
          <w:lang w:val="en-GB"/>
        </w:rPr>
        <w:t>Selection of Gene Panels for Variant Filtering</w:t>
      </w:r>
    </w:p>
    <w:p w14:paraId="0D7558FE" w14:textId="2EC450FB" w:rsidR="000270B1" w:rsidRPr="00736F6A" w:rsidRDefault="000270B1" w:rsidP="00FD4DE6">
      <w:pPr>
        <w:jc w:val="both"/>
        <w:rPr>
          <w:rFonts w:ascii="Times New Roman" w:hAnsi="Times New Roman" w:cs="Times New Roman"/>
          <w:sz w:val="20"/>
          <w:szCs w:val="20"/>
          <w:lang w:eastAsia="zh-CN"/>
        </w:rPr>
      </w:pPr>
      <w:r w:rsidRPr="00736F6A">
        <w:rPr>
          <w:rFonts w:ascii="Times New Roman" w:hAnsi="Times New Roman" w:cs="Times New Roman"/>
          <w:sz w:val="20"/>
          <w:szCs w:val="20"/>
          <w:lang w:eastAsia="zh-CN"/>
        </w:rPr>
        <w:t xml:space="preserve">To enhance the specificity and sensitivity of our variant detection approach for RP, we initiated our variant filtering process using targeted gene panels. These panels encompass a curated list of 489 genes with established and potential links to RP and related ophthalmic conditions. The gene lists for variant filtering were sourced </w:t>
      </w:r>
      <w:bookmarkStart w:id="2" w:name="_Hlk190699739"/>
      <w:r w:rsidRPr="00736F6A">
        <w:rPr>
          <w:rFonts w:ascii="Times New Roman" w:hAnsi="Times New Roman" w:cs="Times New Roman"/>
          <w:sz w:val="20"/>
          <w:szCs w:val="20"/>
          <w:lang w:eastAsia="zh-CN"/>
        </w:rPr>
        <w:t>from the Genomics England PanelApp</w:t>
      </w:r>
      <w:r w:rsidR="00CB6C81" w:rsidRPr="00736F6A">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alias w:val="SmartCite Citation"/>
          <w:tag w:val="9d8c8dfd-60cf-47b9-80f9-736d0561ff9b:d922019b-b328-49a2-a0af-ff168c2f97cb+"/>
          <w:id w:val="874425407"/>
          <w:placeholder>
            <w:docPart w:val="DefaultPlaceholder_-1854013440"/>
          </w:placeholder>
        </w:sdtPr>
        <w:sdtEndPr/>
        <w:sdtContent>
          <w:r w:rsidR="001E700F" w:rsidRPr="00736F6A">
            <w:rPr>
              <w:rFonts w:ascii="Times New Roman" w:eastAsia="Times New Roman" w:hAnsi="Times New Roman" w:cs="Times New Roman"/>
              <w:sz w:val="20"/>
              <w:szCs w:val="20"/>
            </w:rPr>
            <w:t>(England 2024)</w:t>
          </w:r>
        </w:sdtContent>
      </w:sdt>
      <w:r w:rsidRPr="00736F6A">
        <w:rPr>
          <w:rFonts w:ascii="Times New Roman" w:hAnsi="Times New Roman" w:cs="Times New Roman"/>
          <w:sz w:val="20"/>
          <w:szCs w:val="20"/>
          <w:lang w:eastAsia="zh-CN"/>
        </w:rPr>
        <w:t xml:space="preserve"> (Cataracts:2.89; Ophthalmological ciliopathies:1.26; Retinal disorders:2.236; Structural </w:t>
      </w:r>
      <w:bookmarkEnd w:id="2"/>
      <w:r w:rsidRPr="00736F6A">
        <w:rPr>
          <w:rFonts w:ascii="Times New Roman" w:hAnsi="Times New Roman" w:cs="Times New Roman"/>
          <w:sz w:val="20"/>
          <w:szCs w:val="20"/>
          <w:lang w:eastAsia="zh-CN"/>
        </w:rPr>
        <w:t>eye disease:1.92) and PanelApp Australi</w:t>
      </w:r>
      <w:r w:rsidR="001E700F" w:rsidRPr="00736F6A">
        <w:rPr>
          <w:rFonts w:ascii="Times New Roman" w:hAnsi="Times New Roman" w:cs="Times New Roman"/>
          <w:sz w:val="20"/>
          <w:szCs w:val="20"/>
          <w:lang w:eastAsia="zh-CN"/>
        </w:rPr>
        <w:t xml:space="preserve">a </w:t>
      </w:r>
      <w:sdt>
        <w:sdtPr>
          <w:rPr>
            <w:rFonts w:ascii="Times New Roman" w:hAnsi="Times New Roman" w:cs="Times New Roman"/>
            <w:sz w:val="20"/>
            <w:szCs w:val="20"/>
            <w:lang w:eastAsia="zh-CN"/>
          </w:rPr>
          <w:alias w:val="SmartCite Citation"/>
          <w:tag w:val="9d8c8dfd-60cf-47b9-80f9-736d0561ff9b:e02ecaed-1cc3-4a5a-bdd3-6ece4af342c6+"/>
          <w:id w:val="1417439489"/>
          <w:placeholder>
            <w:docPart w:val="DefaultPlaceholder_-1854013440"/>
          </w:placeholder>
        </w:sdtPr>
        <w:sdtEndPr/>
        <w:sdtContent>
          <w:r w:rsidR="001E700F" w:rsidRPr="00736F6A">
            <w:rPr>
              <w:rFonts w:ascii="Times New Roman" w:eastAsia="Times New Roman" w:hAnsi="Times New Roman" w:cs="Times New Roman"/>
              <w:sz w:val="20"/>
              <w:szCs w:val="20"/>
            </w:rPr>
            <w:t>(Genomics 2024)</w:t>
          </w:r>
        </w:sdtContent>
      </w:sdt>
      <w:r w:rsidR="001E700F" w:rsidRPr="00736F6A">
        <w:rPr>
          <w:rFonts w:ascii="Times New Roman" w:hAnsi="Times New Roman" w:cs="Times New Roman"/>
          <w:sz w:val="20"/>
          <w:szCs w:val="20"/>
          <w:lang w:eastAsia="zh-CN"/>
        </w:rPr>
        <w:t xml:space="preserve"> </w:t>
      </w:r>
      <w:r w:rsidRPr="00736F6A">
        <w:rPr>
          <w:rFonts w:ascii="Times New Roman" w:hAnsi="Times New Roman" w:cs="Times New Roman"/>
          <w:sz w:val="20"/>
          <w:szCs w:val="20"/>
          <w:lang w:eastAsia="zh-CN"/>
        </w:rPr>
        <w:t>(Cataract:0.304; Cone-rod Dystrophy:0.31; Retinal Disorders Superpanel:6.43; Retinitis Pigmentosa Superpanel:0.137; Syndromic Retinopathy:0.182). Genes with strong evidence of association with the stated disease of the panels (i.e. “green” genes) were selected (</w:t>
      </w:r>
      <w:r w:rsidRPr="00736F6A">
        <w:rPr>
          <w:rFonts w:ascii="Times New Roman" w:hAnsi="Times New Roman" w:cs="Times New Roman"/>
          <w:b/>
          <w:bCs/>
          <w:sz w:val="20"/>
          <w:szCs w:val="20"/>
          <w:lang w:eastAsia="zh-CN"/>
        </w:rPr>
        <w:t>Supplementary Table S1</w:t>
      </w:r>
      <w:r w:rsidRPr="00736F6A">
        <w:rPr>
          <w:rFonts w:ascii="Times New Roman" w:hAnsi="Times New Roman" w:cs="Times New Roman"/>
          <w:sz w:val="20"/>
          <w:szCs w:val="20"/>
          <w:lang w:eastAsia="zh-CN"/>
        </w:rPr>
        <w:t>).</w:t>
      </w:r>
    </w:p>
    <w:p w14:paraId="133881FD" w14:textId="009E3C6E" w:rsidR="000270B1" w:rsidRPr="00736F6A" w:rsidRDefault="000270B1" w:rsidP="00196167">
      <w:pPr>
        <w:jc w:val="both"/>
        <w:rPr>
          <w:rFonts w:ascii="Times New Roman" w:eastAsia="DengXian" w:hAnsi="Times New Roman" w:cs="Times New Roman"/>
          <w:b/>
          <w:sz w:val="20"/>
          <w:szCs w:val="20"/>
          <w:lang w:eastAsia="zh-CN"/>
        </w:rPr>
      </w:pPr>
      <w:r w:rsidRPr="00736F6A">
        <w:rPr>
          <w:rFonts w:ascii="Times New Roman" w:eastAsia="DengXian" w:hAnsi="Times New Roman" w:cs="Times New Roman"/>
          <w:sz w:val="20"/>
          <w:szCs w:val="20"/>
          <w:lang w:eastAsia="zh-CN"/>
        </w:rPr>
        <w:t xml:space="preserve">Variants that </w:t>
      </w:r>
      <w:r w:rsidR="003E191C" w:rsidRPr="00736F6A">
        <w:rPr>
          <w:rFonts w:ascii="Times New Roman" w:eastAsia="DengXian" w:hAnsi="Times New Roman" w:cs="Times New Roman"/>
          <w:sz w:val="20"/>
          <w:szCs w:val="20"/>
          <w:lang w:eastAsia="zh-CN"/>
        </w:rPr>
        <w:t>applied</w:t>
      </w:r>
      <w:r w:rsidRPr="00736F6A">
        <w:rPr>
          <w:rFonts w:ascii="Times New Roman" w:eastAsia="DengXian" w:hAnsi="Times New Roman" w:cs="Times New Roman"/>
          <w:sz w:val="20"/>
          <w:szCs w:val="20"/>
          <w:lang w:eastAsia="zh-CN"/>
        </w:rPr>
        <w:t xml:space="preserve"> region and allele frequency filter, and located in the above cohort gene list were kept for each sample for curation. Every sample will be performed by individual case analysis manually by experienced variant curation reviewers and meanwhile all the variants in the same cohort will also follow a bespoke cohort analysis using semi-auto workflow </w:t>
      </w:r>
      <w:r w:rsidRPr="00736F6A">
        <w:rPr>
          <w:rFonts w:ascii="Times New Roman" w:eastAsia="DengXian" w:hAnsi="Times New Roman" w:cs="Times New Roman"/>
          <w:b/>
          <w:sz w:val="20"/>
          <w:szCs w:val="20"/>
          <w:lang w:eastAsia="zh-CN"/>
        </w:rPr>
        <w:t>(Figure 1).</w:t>
      </w:r>
    </w:p>
    <w:p w14:paraId="021ADEE4" w14:textId="77777777" w:rsidR="00E079CB" w:rsidRPr="00736F6A" w:rsidRDefault="00E079CB" w:rsidP="00196167">
      <w:pPr>
        <w:jc w:val="both"/>
        <w:rPr>
          <w:rFonts w:ascii="Times New Roman" w:eastAsia="DengXian" w:hAnsi="Times New Roman" w:cs="Times New Roman"/>
          <w:b/>
          <w:sz w:val="20"/>
          <w:szCs w:val="20"/>
          <w:lang w:eastAsia="zh-CN"/>
        </w:rPr>
      </w:pPr>
    </w:p>
    <w:p w14:paraId="1767B530" w14:textId="77777777" w:rsidR="002A369D" w:rsidRPr="00736F6A" w:rsidRDefault="002A369D" w:rsidP="00196167">
      <w:pPr>
        <w:jc w:val="both"/>
        <w:rPr>
          <w:rFonts w:ascii="Times New Roman" w:eastAsia="DengXian" w:hAnsi="Times New Roman" w:cs="Times New Roman"/>
          <w:b/>
          <w:sz w:val="20"/>
          <w:szCs w:val="20"/>
          <w:lang w:eastAsia="zh-CN"/>
        </w:rPr>
      </w:pPr>
    </w:p>
    <w:p w14:paraId="28766F59" w14:textId="77777777" w:rsidR="002A369D" w:rsidRDefault="002A369D" w:rsidP="00196167">
      <w:pPr>
        <w:jc w:val="both"/>
        <w:rPr>
          <w:rFonts w:ascii="Times New Roman" w:eastAsia="DengXian" w:hAnsi="Times New Roman" w:cs="Times New Roman"/>
          <w:b/>
          <w:sz w:val="20"/>
          <w:szCs w:val="20"/>
          <w:lang w:eastAsia="zh-CN"/>
        </w:rPr>
      </w:pPr>
    </w:p>
    <w:p w14:paraId="14C63EF2" w14:textId="77777777" w:rsidR="00900DD6" w:rsidRPr="00736F6A" w:rsidRDefault="00900DD6" w:rsidP="00196167">
      <w:pPr>
        <w:jc w:val="both"/>
        <w:rPr>
          <w:rFonts w:ascii="Times New Roman" w:eastAsia="DengXian" w:hAnsi="Times New Roman" w:cs="Times New Roman"/>
          <w:b/>
          <w:sz w:val="20"/>
          <w:szCs w:val="20"/>
          <w:lang w:eastAsia="zh-CN"/>
        </w:rPr>
      </w:pPr>
    </w:p>
    <w:p w14:paraId="0E3FADD4" w14:textId="082D447C" w:rsidR="00E079CB" w:rsidRPr="00736F6A" w:rsidRDefault="00112335" w:rsidP="00112335">
      <w:pPr>
        <w:pStyle w:val="Heading2"/>
        <w:rPr>
          <w:rFonts w:ascii="Times New Roman" w:eastAsia="DengXian" w:hAnsi="Times New Roman" w:cs="Times New Roman"/>
          <w:b/>
          <w:color w:val="000000" w:themeColor="text1"/>
          <w:lang w:eastAsia="zh-CN"/>
        </w:rPr>
      </w:pPr>
      <w:r w:rsidRPr="00736F6A">
        <w:rPr>
          <w:rFonts w:ascii="Times New Roman" w:eastAsia="DengXian" w:hAnsi="Times New Roman" w:cs="Times New Roman"/>
          <w:b/>
          <w:color w:val="000000" w:themeColor="text1"/>
          <w:lang w:eastAsia="zh-CN"/>
        </w:rPr>
        <w:lastRenderedPageBreak/>
        <w:t>S-BCAW Step 1: Automatic assignation of selected ACMG criteria</w:t>
      </w:r>
    </w:p>
    <w:p w14:paraId="499C6AE1" w14:textId="6C2E826E" w:rsidR="00B30575" w:rsidRPr="00736F6A" w:rsidRDefault="002A369D" w:rsidP="00DE6D7F">
      <w:pPr>
        <w:rPr>
          <w:rFonts w:ascii="Times New Roman" w:eastAsia="DengXian" w:hAnsi="Times New Roman" w:cs="Times New Roman"/>
          <w:b/>
          <w:sz w:val="20"/>
          <w:szCs w:val="20"/>
          <w:lang w:eastAsia="zh-CN"/>
        </w:rPr>
      </w:pPr>
      <w:r w:rsidRPr="00736F6A">
        <w:rPr>
          <w:rFonts w:ascii="Times New Roman" w:eastAsia="DengXian" w:hAnsi="Times New Roman" w:cs="Times New Roman"/>
          <w:b/>
          <w:sz w:val="20"/>
          <w:szCs w:val="20"/>
          <w:lang w:eastAsia="zh-CN"/>
        </w:rPr>
        <w:t xml:space="preserve">Details for </w:t>
      </w:r>
      <w:r w:rsidR="00DE6D7F" w:rsidRPr="00736F6A">
        <w:rPr>
          <w:rFonts w:ascii="Times New Roman" w:eastAsia="DengXian" w:hAnsi="Times New Roman" w:cs="Times New Roman"/>
          <w:b/>
          <w:sz w:val="20"/>
          <w:szCs w:val="20"/>
          <w:lang w:eastAsia="zh-CN"/>
        </w:rPr>
        <w:t xml:space="preserve">PM3: </w:t>
      </w:r>
    </w:p>
    <w:p w14:paraId="0FF42843" w14:textId="5A0EA2B7" w:rsidR="00DE6D7F" w:rsidRPr="00736F6A" w:rsidRDefault="00116758" w:rsidP="00DE6D7F">
      <w:pPr>
        <w:rPr>
          <w:rFonts w:ascii="Times New Roman" w:eastAsia="DengXian" w:hAnsi="Times New Roman" w:cs="Times New Roman"/>
          <w:bCs/>
          <w:sz w:val="20"/>
          <w:szCs w:val="20"/>
          <w:lang w:eastAsia="zh-CN"/>
        </w:rPr>
      </w:pPr>
      <w:r w:rsidRPr="00736F6A">
        <w:rPr>
          <w:rFonts w:ascii="Times New Roman" w:eastAsia="DengXian" w:hAnsi="Times New Roman" w:cs="Times New Roman"/>
          <w:bCs/>
          <w:sz w:val="20"/>
          <w:szCs w:val="20"/>
          <w:lang w:eastAsia="zh-CN"/>
        </w:rPr>
        <w:t xml:space="preserve">The automatic assignation of </w:t>
      </w:r>
      <w:r w:rsidR="00D75C76" w:rsidRPr="00736F6A">
        <w:rPr>
          <w:rFonts w:ascii="Times New Roman" w:eastAsia="DengXian" w:hAnsi="Times New Roman" w:cs="Times New Roman"/>
          <w:bCs/>
          <w:sz w:val="20"/>
          <w:szCs w:val="20"/>
          <w:lang w:eastAsia="zh-CN"/>
        </w:rPr>
        <w:t xml:space="preserve">PM3 </w:t>
      </w:r>
      <w:r w:rsidRPr="00736F6A">
        <w:rPr>
          <w:rFonts w:ascii="Times New Roman" w:eastAsia="DengXian" w:hAnsi="Times New Roman" w:cs="Times New Roman"/>
          <w:bCs/>
          <w:sz w:val="20"/>
          <w:szCs w:val="20"/>
          <w:lang w:eastAsia="zh-CN"/>
        </w:rPr>
        <w:t xml:space="preserve">in S-BCAW </w:t>
      </w:r>
      <w:r w:rsidR="00D75C76" w:rsidRPr="00736F6A">
        <w:rPr>
          <w:rFonts w:ascii="Times New Roman" w:eastAsia="DengXian" w:hAnsi="Times New Roman" w:cs="Times New Roman"/>
          <w:bCs/>
          <w:sz w:val="20"/>
          <w:szCs w:val="20"/>
          <w:lang w:eastAsia="zh-CN"/>
        </w:rPr>
        <w:t xml:space="preserve">(as with other criteria) </w:t>
      </w:r>
      <w:r w:rsidRPr="00736F6A">
        <w:rPr>
          <w:rFonts w:ascii="Times New Roman" w:eastAsia="DengXian" w:hAnsi="Times New Roman" w:cs="Times New Roman"/>
          <w:bCs/>
          <w:sz w:val="20"/>
          <w:szCs w:val="20"/>
          <w:lang w:eastAsia="zh-CN"/>
        </w:rPr>
        <w:t>was d</w:t>
      </w:r>
      <w:r w:rsidR="00884467" w:rsidRPr="00736F6A">
        <w:rPr>
          <w:rFonts w:ascii="Times New Roman" w:eastAsia="DengXian" w:hAnsi="Times New Roman" w:cs="Times New Roman"/>
          <w:bCs/>
          <w:sz w:val="20"/>
          <w:szCs w:val="20"/>
          <w:lang w:eastAsia="zh-CN"/>
        </w:rPr>
        <w:t xml:space="preserve">esigned to maximize sensitivity by flagging variants in </w:t>
      </w:r>
      <w:r w:rsidR="00884467" w:rsidRPr="00736F6A">
        <w:rPr>
          <w:rFonts w:ascii="Times New Roman" w:eastAsia="DengXian" w:hAnsi="Times New Roman" w:cs="Times New Roman"/>
          <w:bCs/>
          <w:i/>
          <w:iCs/>
          <w:sz w:val="20"/>
          <w:szCs w:val="20"/>
          <w:lang w:eastAsia="zh-CN"/>
        </w:rPr>
        <w:t>trans</w:t>
      </w:r>
      <w:r w:rsidR="00884467" w:rsidRPr="00736F6A">
        <w:rPr>
          <w:rFonts w:ascii="Times New Roman" w:eastAsia="DengXian" w:hAnsi="Times New Roman" w:cs="Times New Roman"/>
          <w:bCs/>
          <w:sz w:val="20"/>
          <w:szCs w:val="20"/>
          <w:lang w:eastAsia="zh-CN"/>
        </w:rPr>
        <w:t xml:space="preserve"> with a reported PLP variant (per ClinVar) or with a novel variant that reaches PLP classification from auto-assigned ACMG criteria, as candidates for further evaluation.</w:t>
      </w:r>
      <w:r w:rsidR="008472B7" w:rsidRPr="00736F6A">
        <w:rPr>
          <w:rFonts w:ascii="Times New Roman" w:eastAsia="DengXian" w:hAnsi="Times New Roman" w:cs="Times New Roman"/>
          <w:bCs/>
          <w:sz w:val="20"/>
          <w:szCs w:val="20"/>
          <w:lang w:eastAsia="zh-CN"/>
        </w:rPr>
        <w:t xml:space="preserve"> The pathogenicity of the concurrent variant is manually reviewed in S-BCAW step 3</w:t>
      </w:r>
      <w:r w:rsidR="006E1349" w:rsidRPr="00736F6A">
        <w:rPr>
          <w:rFonts w:ascii="Times New Roman" w:eastAsia="DengXian" w:hAnsi="Times New Roman" w:cs="Times New Roman"/>
          <w:bCs/>
          <w:sz w:val="20"/>
          <w:szCs w:val="20"/>
          <w:lang w:eastAsia="zh-CN"/>
        </w:rPr>
        <w:t>.</w:t>
      </w:r>
    </w:p>
    <w:p w14:paraId="0F36C61C" w14:textId="2474018B" w:rsidR="00B30575" w:rsidRPr="00736F6A" w:rsidRDefault="00B30575" w:rsidP="00DE6D7F">
      <w:pPr>
        <w:rPr>
          <w:rFonts w:ascii="Times New Roman" w:eastAsia="DengXian" w:hAnsi="Times New Roman" w:cs="Times New Roman"/>
          <w:bCs/>
          <w:sz w:val="20"/>
          <w:szCs w:val="20"/>
          <w:lang w:eastAsia="zh-CN"/>
        </w:rPr>
      </w:pPr>
      <w:r w:rsidRPr="00736F6A">
        <w:rPr>
          <w:rFonts w:ascii="Times New Roman" w:eastAsia="DengXian" w:hAnsi="Times New Roman" w:cs="Times New Roman"/>
          <w:bCs/>
          <w:sz w:val="20"/>
          <w:szCs w:val="20"/>
          <w:lang w:eastAsia="zh-CN"/>
        </w:rPr>
        <w:t>Homo</w:t>
      </w:r>
      <w:r w:rsidR="00174DCE" w:rsidRPr="00736F6A">
        <w:rPr>
          <w:rFonts w:ascii="Times New Roman" w:eastAsia="DengXian" w:hAnsi="Times New Roman" w:cs="Times New Roman"/>
          <w:bCs/>
          <w:sz w:val="20"/>
          <w:szCs w:val="20"/>
          <w:lang w:eastAsia="zh-CN"/>
        </w:rPr>
        <w:t>zy</w:t>
      </w:r>
      <w:r w:rsidRPr="00736F6A">
        <w:rPr>
          <w:rFonts w:ascii="Times New Roman" w:eastAsia="DengXian" w:hAnsi="Times New Roman" w:cs="Times New Roman"/>
          <w:bCs/>
          <w:sz w:val="20"/>
          <w:szCs w:val="20"/>
          <w:lang w:eastAsia="zh-CN"/>
        </w:rPr>
        <w:t>gous variant</w:t>
      </w:r>
      <w:r w:rsidR="00D91C8A" w:rsidRPr="00736F6A">
        <w:rPr>
          <w:rFonts w:ascii="Times New Roman" w:eastAsia="DengXian" w:hAnsi="Times New Roman" w:cs="Times New Roman"/>
          <w:bCs/>
          <w:sz w:val="20"/>
          <w:szCs w:val="20"/>
          <w:lang w:eastAsia="zh-CN"/>
        </w:rPr>
        <w:t>s and</w:t>
      </w:r>
      <w:r w:rsidRPr="00736F6A">
        <w:rPr>
          <w:rFonts w:ascii="Times New Roman" w:eastAsia="DengXian" w:hAnsi="Times New Roman" w:cs="Times New Roman"/>
          <w:bCs/>
          <w:sz w:val="20"/>
          <w:szCs w:val="20"/>
          <w:lang w:eastAsia="zh-CN"/>
        </w:rPr>
        <w:t xml:space="preserve"> compound heterozygous variant</w:t>
      </w:r>
      <w:r w:rsidR="00434391" w:rsidRPr="00736F6A">
        <w:rPr>
          <w:rFonts w:ascii="Times New Roman" w:eastAsia="DengXian" w:hAnsi="Times New Roman" w:cs="Times New Roman"/>
          <w:bCs/>
          <w:sz w:val="20"/>
          <w:szCs w:val="20"/>
          <w:lang w:eastAsia="zh-CN"/>
        </w:rPr>
        <w:t xml:space="preserve">s in the proband under assessment and from literature will be </w:t>
      </w:r>
      <w:r w:rsidR="00B50CDB" w:rsidRPr="00736F6A">
        <w:rPr>
          <w:rFonts w:ascii="Times New Roman" w:eastAsia="DengXian" w:hAnsi="Times New Roman" w:cs="Times New Roman"/>
          <w:bCs/>
          <w:sz w:val="20"/>
          <w:szCs w:val="20"/>
          <w:lang w:eastAsia="zh-CN"/>
        </w:rPr>
        <w:t xml:space="preserve">awarded with </w:t>
      </w:r>
      <w:r w:rsidR="0073395D" w:rsidRPr="00736F6A">
        <w:rPr>
          <w:rFonts w:ascii="Times New Roman" w:eastAsia="DengXian" w:hAnsi="Times New Roman" w:cs="Times New Roman"/>
          <w:bCs/>
          <w:sz w:val="20"/>
          <w:szCs w:val="20"/>
          <w:lang w:eastAsia="zh-CN"/>
        </w:rPr>
        <w:t>0.25</w:t>
      </w:r>
      <w:r w:rsidR="001C78EC" w:rsidRPr="00736F6A">
        <w:rPr>
          <w:rFonts w:ascii="Times New Roman" w:eastAsia="DengXian" w:hAnsi="Times New Roman" w:cs="Times New Roman"/>
          <w:bCs/>
          <w:sz w:val="20"/>
          <w:szCs w:val="20"/>
          <w:lang w:eastAsia="zh-CN"/>
        </w:rPr>
        <w:t xml:space="preserve"> points</w:t>
      </w:r>
      <w:r w:rsidR="0073395D" w:rsidRPr="00736F6A">
        <w:rPr>
          <w:rFonts w:ascii="Times New Roman" w:eastAsia="DengXian" w:hAnsi="Times New Roman" w:cs="Times New Roman"/>
          <w:bCs/>
          <w:sz w:val="20"/>
          <w:szCs w:val="20"/>
          <w:lang w:eastAsia="zh-CN"/>
        </w:rPr>
        <w:t xml:space="preserve">, 0.5 </w:t>
      </w:r>
      <w:r w:rsidR="003216E4" w:rsidRPr="00736F6A">
        <w:rPr>
          <w:rFonts w:ascii="Times New Roman" w:eastAsia="DengXian" w:hAnsi="Times New Roman" w:cs="Times New Roman"/>
          <w:bCs/>
          <w:sz w:val="20"/>
          <w:szCs w:val="20"/>
          <w:lang w:eastAsia="zh-CN"/>
        </w:rPr>
        <w:t xml:space="preserve">points </w:t>
      </w:r>
      <w:r w:rsidR="0073395D" w:rsidRPr="00736F6A">
        <w:rPr>
          <w:rFonts w:ascii="Times New Roman" w:eastAsia="DengXian" w:hAnsi="Times New Roman" w:cs="Times New Roman"/>
          <w:bCs/>
          <w:sz w:val="20"/>
          <w:szCs w:val="20"/>
          <w:lang w:eastAsia="zh-CN"/>
        </w:rPr>
        <w:t xml:space="preserve">or 1 </w:t>
      </w:r>
      <w:r w:rsidR="001C78EC" w:rsidRPr="00736F6A">
        <w:rPr>
          <w:rFonts w:ascii="Times New Roman" w:eastAsia="DengXian" w:hAnsi="Times New Roman" w:cs="Times New Roman"/>
          <w:bCs/>
          <w:sz w:val="20"/>
          <w:szCs w:val="20"/>
          <w:lang w:eastAsia="zh-CN"/>
        </w:rPr>
        <w:t>point</w:t>
      </w:r>
      <w:r w:rsidR="00A4774C" w:rsidRPr="00736F6A">
        <w:rPr>
          <w:rFonts w:ascii="Times New Roman" w:eastAsia="DengXian" w:hAnsi="Times New Roman" w:cs="Times New Roman"/>
          <w:bCs/>
          <w:sz w:val="20"/>
          <w:szCs w:val="20"/>
          <w:lang w:eastAsia="zh-CN"/>
        </w:rPr>
        <w:t xml:space="preserve"> and sum</w:t>
      </w:r>
      <w:r w:rsidR="00A61F40" w:rsidRPr="00736F6A">
        <w:rPr>
          <w:rFonts w:ascii="Times New Roman" w:eastAsia="DengXian" w:hAnsi="Times New Roman" w:cs="Times New Roman"/>
          <w:bCs/>
          <w:sz w:val="20"/>
          <w:szCs w:val="20"/>
          <w:lang w:eastAsia="zh-CN"/>
        </w:rPr>
        <w:t xml:space="preserve"> up to</w:t>
      </w:r>
      <w:r w:rsidR="00BC00CA" w:rsidRPr="00736F6A">
        <w:rPr>
          <w:rFonts w:ascii="Times New Roman" w:eastAsia="DengXian" w:hAnsi="Times New Roman" w:cs="Times New Roman"/>
          <w:bCs/>
          <w:sz w:val="20"/>
          <w:szCs w:val="20"/>
          <w:lang w:eastAsia="zh-CN"/>
        </w:rPr>
        <w:t xml:space="preserve"> determine the applicable evidence strength level</w:t>
      </w:r>
      <w:r w:rsidR="00286991" w:rsidRPr="00736F6A">
        <w:rPr>
          <w:rFonts w:ascii="Times New Roman" w:eastAsia="DengXian" w:hAnsi="Times New Roman" w:cs="Times New Roman"/>
          <w:bCs/>
          <w:sz w:val="20"/>
          <w:szCs w:val="20"/>
          <w:lang w:eastAsia="zh-CN"/>
        </w:rPr>
        <w:t xml:space="preserve"> according to </w:t>
      </w:r>
      <w:r w:rsidR="00F36958" w:rsidRPr="00736F6A">
        <w:rPr>
          <w:rFonts w:ascii="Times New Roman" w:eastAsia="DengXian" w:hAnsi="Times New Roman" w:cs="Times New Roman"/>
          <w:bCs/>
          <w:sz w:val="20"/>
          <w:szCs w:val="20"/>
          <w:lang w:eastAsia="zh-CN"/>
        </w:rPr>
        <w:t xml:space="preserve">ClinGen guideline “SVI Recommendation for in </w:t>
      </w:r>
      <w:r w:rsidR="00F36958" w:rsidRPr="00736F6A">
        <w:rPr>
          <w:rFonts w:ascii="Times New Roman" w:eastAsia="DengXian" w:hAnsi="Times New Roman" w:cs="Times New Roman"/>
          <w:bCs/>
          <w:i/>
          <w:iCs/>
          <w:sz w:val="20"/>
          <w:szCs w:val="20"/>
          <w:lang w:eastAsia="zh-CN"/>
        </w:rPr>
        <w:t>trans</w:t>
      </w:r>
      <w:r w:rsidR="00F36958" w:rsidRPr="00736F6A">
        <w:rPr>
          <w:rFonts w:ascii="Times New Roman" w:eastAsia="DengXian" w:hAnsi="Times New Roman" w:cs="Times New Roman"/>
          <w:bCs/>
          <w:sz w:val="20"/>
          <w:szCs w:val="20"/>
          <w:lang w:eastAsia="zh-CN"/>
        </w:rPr>
        <w:t xml:space="preserve"> Criterion (PM3) - Version 1.0”</w:t>
      </w:r>
      <w:r w:rsidR="00672541" w:rsidRPr="00736F6A">
        <w:rPr>
          <w:rFonts w:ascii="Times New Roman" w:eastAsia="DengXian" w:hAnsi="Times New Roman" w:cs="Times New Roman"/>
          <w:bCs/>
          <w:sz w:val="20"/>
          <w:szCs w:val="20"/>
          <w:lang w:eastAsia="zh-CN"/>
        </w:rPr>
        <w:t>.</w:t>
      </w:r>
    </w:p>
    <w:p w14:paraId="45E5454D" w14:textId="77777777" w:rsidR="009F1F3A" w:rsidRPr="00736F6A" w:rsidRDefault="009F1F3A" w:rsidP="00F36958">
      <w:pPr>
        <w:rPr>
          <w:rFonts w:ascii="Times New Roman" w:eastAsia="DengXian" w:hAnsi="Times New Roman" w:cs="Times New Roman"/>
          <w:b/>
          <w:sz w:val="20"/>
          <w:szCs w:val="20"/>
          <w:lang w:eastAsia="zh-CN"/>
        </w:rPr>
      </w:pPr>
    </w:p>
    <w:p w14:paraId="786DF699" w14:textId="177885B8" w:rsidR="009F4796" w:rsidRPr="00736F6A" w:rsidRDefault="002C4D2F" w:rsidP="00D869BE">
      <w:pPr>
        <w:pStyle w:val="Heading1"/>
        <w:rPr>
          <w:rFonts w:ascii="Times New Roman" w:eastAsia="DengXian" w:hAnsi="Times New Roman" w:cs="Times New Roman"/>
          <w:b/>
          <w:color w:val="auto"/>
          <w:lang w:eastAsia="zh-CN"/>
        </w:rPr>
      </w:pPr>
      <w:r w:rsidRPr="00736F6A">
        <w:rPr>
          <w:rFonts w:ascii="Times New Roman" w:eastAsia="DengXian" w:hAnsi="Times New Roman" w:cs="Times New Roman"/>
          <w:b/>
          <w:color w:val="auto"/>
          <w:lang w:eastAsia="zh-CN"/>
        </w:rPr>
        <w:t>Supplementary Tables</w:t>
      </w:r>
    </w:p>
    <w:p w14:paraId="7D703BF5" w14:textId="2F6C5AA2" w:rsidR="00DA0511" w:rsidRPr="00736F6A" w:rsidRDefault="00DA0511" w:rsidP="00DA0511">
      <w:pPr>
        <w:spacing w:after="0" w:line="240" w:lineRule="auto"/>
        <w:rPr>
          <w:rFonts w:ascii="Times New Roman" w:eastAsia="Times New Roman" w:hAnsi="Times New Roman" w:cs="Times New Roman"/>
          <w:color w:val="000000"/>
          <w:kern w:val="0"/>
          <w:sz w:val="20"/>
          <w:szCs w:val="20"/>
          <w:lang w:eastAsia="zh-CN"/>
          <w14:ligatures w14:val="none"/>
        </w:rPr>
      </w:pPr>
      <w:r w:rsidRPr="00736F6A">
        <w:rPr>
          <w:rFonts w:ascii="Times New Roman" w:eastAsia="Times New Roman" w:hAnsi="Times New Roman" w:cs="Times New Roman"/>
          <w:b/>
          <w:bCs/>
          <w:color w:val="000000"/>
          <w:kern w:val="0"/>
          <w:sz w:val="20"/>
          <w:szCs w:val="20"/>
          <w:lang w:eastAsia="zh-CN"/>
          <w14:ligatures w14:val="none"/>
        </w:rPr>
        <w:t>Supplementary</w:t>
      </w:r>
      <w:r w:rsidRPr="00736F6A">
        <w:rPr>
          <w:rFonts w:ascii="Times New Roman" w:eastAsia="Times New Roman" w:hAnsi="Times New Roman" w:cs="Times New Roman"/>
          <w:color w:val="000000"/>
          <w:kern w:val="0"/>
          <w:sz w:val="20"/>
          <w:szCs w:val="20"/>
          <w:lang w:eastAsia="zh-CN"/>
          <w14:ligatures w14:val="none"/>
        </w:rPr>
        <w:t xml:space="preserve"> </w:t>
      </w:r>
      <w:r w:rsidRPr="00736F6A">
        <w:rPr>
          <w:rFonts w:ascii="Times New Roman" w:eastAsia="Times New Roman" w:hAnsi="Times New Roman" w:cs="Times New Roman"/>
          <w:b/>
          <w:bCs/>
          <w:color w:val="000000"/>
          <w:kern w:val="0"/>
          <w:sz w:val="20"/>
          <w:szCs w:val="20"/>
          <w:lang w:eastAsia="zh-CN"/>
          <w14:ligatures w14:val="none"/>
        </w:rPr>
        <w:t>Table S1</w:t>
      </w:r>
      <w:r w:rsidR="00A07A95" w:rsidRPr="00736F6A">
        <w:rPr>
          <w:rFonts w:ascii="Times New Roman" w:eastAsia="DengXian" w:hAnsi="Times New Roman" w:cs="Times New Roman"/>
          <w:b/>
          <w:bCs/>
          <w:color w:val="000000"/>
          <w:kern w:val="0"/>
          <w:sz w:val="20"/>
          <w:szCs w:val="20"/>
          <w:lang w:eastAsia="zh-CN"/>
          <w14:ligatures w14:val="none"/>
        </w:rPr>
        <w:t>.</w:t>
      </w:r>
      <w:r w:rsidRPr="00736F6A">
        <w:rPr>
          <w:rFonts w:ascii="Times New Roman" w:eastAsia="Times New Roman" w:hAnsi="Times New Roman" w:cs="Times New Roman"/>
          <w:color w:val="000000"/>
          <w:kern w:val="0"/>
          <w:sz w:val="20"/>
          <w:szCs w:val="20"/>
          <w:lang w:eastAsia="zh-CN"/>
          <w14:ligatures w14:val="none"/>
        </w:rPr>
        <w:t xml:space="preserve"> Genes included in this RP study, with mode of inheritance.</w:t>
      </w:r>
    </w:p>
    <w:p w14:paraId="17DFB460" w14:textId="77777777" w:rsidR="00DA0511" w:rsidRPr="00736F6A" w:rsidRDefault="00DA0511" w:rsidP="00DA0511">
      <w:pPr>
        <w:spacing w:after="0" w:line="240" w:lineRule="auto"/>
        <w:rPr>
          <w:rFonts w:ascii="Times New Roman" w:eastAsia="DengXian" w:hAnsi="Times New Roman" w:cs="Times New Roman"/>
          <w:color w:val="000000"/>
          <w:kern w:val="0"/>
          <w:sz w:val="20"/>
          <w:szCs w:val="20"/>
          <w:lang w:eastAsia="zh-CN"/>
          <w14:ligatures w14:val="none"/>
        </w:rPr>
      </w:pPr>
      <w:r w:rsidRPr="00736F6A">
        <w:rPr>
          <w:rFonts w:ascii="Times New Roman" w:eastAsia="Times New Roman" w:hAnsi="Times New Roman" w:cs="Times New Roman"/>
          <w:b/>
          <w:bCs/>
          <w:color w:val="000000"/>
          <w:kern w:val="0"/>
          <w:sz w:val="20"/>
          <w:szCs w:val="20"/>
          <w:lang w:eastAsia="zh-CN"/>
          <w14:ligatures w14:val="none"/>
        </w:rPr>
        <w:t>Supplementary Table S2.</w:t>
      </w:r>
      <w:r w:rsidRPr="00736F6A">
        <w:rPr>
          <w:rFonts w:ascii="Times New Roman" w:eastAsia="Times New Roman" w:hAnsi="Times New Roman" w:cs="Times New Roman"/>
          <w:color w:val="000000"/>
          <w:kern w:val="0"/>
          <w:sz w:val="20"/>
          <w:szCs w:val="20"/>
          <w:lang w:eastAsia="zh-CN"/>
          <w14:ligatures w14:val="none"/>
        </w:rPr>
        <w:t xml:space="preserve"> Definition of variant classification basket used in step 2 of S-BCAW.</w:t>
      </w:r>
    </w:p>
    <w:p w14:paraId="526061E4" w14:textId="58CC3A49" w:rsidR="00EA1372" w:rsidRPr="00736F6A" w:rsidRDefault="00EA1372" w:rsidP="00DA0511">
      <w:pPr>
        <w:spacing w:after="0" w:line="240" w:lineRule="auto"/>
        <w:rPr>
          <w:rFonts w:ascii="Times New Roman" w:eastAsia="DengXian" w:hAnsi="Times New Roman" w:cs="Times New Roman"/>
          <w:color w:val="000000"/>
          <w:kern w:val="0"/>
          <w:sz w:val="20"/>
          <w:szCs w:val="20"/>
          <w:lang w:eastAsia="zh-CN"/>
          <w14:ligatures w14:val="none"/>
        </w:rPr>
      </w:pPr>
      <w:r w:rsidRPr="00736F6A">
        <w:rPr>
          <w:rFonts w:ascii="Times New Roman" w:eastAsia="DengXian" w:hAnsi="Times New Roman" w:cs="Times New Roman"/>
          <w:b/>
          <w:bCs/>
          <w:color w:val="000000"/>
          <w:kern w:val="0"/>
          <w:sz w:val="20"/>
          <w:szCs w:val="20"/>
          <w:lang w:eastAsia="zh-CN"/>
          <w14:ligatures w14:val="none"/>
        </w:rPr>
        <w:t>Supplementary Table S3</w:t>
      </w:r>
      <w:r w:rsidR="00A07A95" w:rsidRPr="00736F6A">
        <w:rPr>
          <w:rFonts w:ascii="Times New Roman" w:eastAsia="DengXian" w:hAnsi="Times New Roman" w:cs="Times New Roman"/>
          <w:color w:val="000000"/>
          <w:kern w:val="0"/>
          <w:sz w:val="20"/>
          <w:szCs w:val="20"/>
          <w:lang w:eastAsia="zh-CN"/>
          <w14:ligatures w14:val="none"/>
        </w:rPr>
        <w:t>.</w:t>
      </w:r>
      <w:r w:rsidRPr="00736F6A">
        <w:rPr>
          <w:rFonts w:ascii="Times New Roman" w:eastAsia="DengXian" w:hAnsi="Times New Roman" w:cs="Times New Roman"/>
          <w:color w:val="000000"/>
          <w:kern w:val="0"/>
          <w:sz w:val="20"/>
          <w:szCs w:val="20"/>
          <w:lang w:eastAsia="zh-CN"/>
          <w14:ligatures w14:val="none"/>
        </w:rPr>
        <w:t xml:space="preserve"> Demographics of the RP cases.</w:t>
      </w:r>
    </w:p>
    <w:p w14:paraId="798D61B9" w14:textId="40FA7AAE" w:rsidR="00DA0511" w:rsidRPr="00736F6A" w:rsidRDefault="00DA0511" w:rsidP="00DA0511">
      <w:pPr>
        <w:spacing w:after="0" w:line="240" w:lineRule="auto"/>
        <w:rPr>
          <w:rFonts w:ascii="Times New Roman" w:eastAsia="Times New Roman" w:hAnsi="Times New Roman" w:cs="Times New Roman"/>
          <w:color w:val="000000"/>
          <w:kern w:val="0"/>
          <w:sz w:val="20"/>
          <w:szCs w:val="20"/>
          <w:lang w:eastAsia="zh-CN"/>
          <w14:ligatures w14:val="none"/>
        </w:rPr>
      </w:pPr>
      <w:r w:rsidRPr="00736F6A">
        <w:rPr>
          <w:rFonts w:ascii="Times New Roman" w:eastAsia="Times New Roman" w:hAnsi="Times New Roman" w:cs="Times New Roman"/>
          <w:b/>
          <w:bCs/>
          <w:color w:val="000000"/>
          <w:kern w:val="0"/>
          <w:sz w:val="20"/>
          <w:szCs w:val="20"/>
          <w:lang w:eastAsia="zh-CN"/>
          <w14:ligatures w14:val="none"/>
        </w:rPr>
        <w:t>Supplementary Table S</w:t>
      </w:r>
      <w:r w:rsidR="00A07A95" w:rsidRPr="00736F6A">
        <w:rPr>
          <w:rFonts w:ascii="Times New Roman" w:eastAsia="DengXian" w:hAnsi="Times New Roman" w:cs="Times New Roman"/>
          <w:b/>
          <w:bCs/>
          <w:color w:val="000000"/>
          <w:kern w:val="0"/>
          <w:sz w:val="20"/>
          <w:szCs w:val="20"/>
          <w:lang w:eastAsia="zh-CN"/>
          <w14:ligatures w14:val="none"/>
        </w:rPr>
        <w:t>4</w:t>
      </w:r>
      <w:r w:rsidRPr="00736F6A">
        <w:rPr>
          <w:rFonts w:ascii="Times New Roman" w:eastAsia="Times New Roman" w:hAnsi="Times New Roman" w:cs="Times New Roman"/>
          <w:b/>
          <w:bCs/>
          <w:color w:val="000000"/>
          <w:kern w:val="0"/>
          <w:sz w:val="20"/>
          <w:szCs w:val="20"/>
          <w:lang w:eastAsia="zh-CN"/>
          <w14:ligatures w14:val="none"/>
        </w:rPr>
        <w:t>.</w:t>
      </w:r>
      <w:r w:rsidRPr="00736F6A">
        <w:rPr>
          <w:rFonts w:ascii="Times New Roman" w:eastAsia="Times New Roman" w:hAnsi="Times New Roman" w:cs="Times New Roman"/>
          <w:color w:val="000000"/>
          <w:kern w:val="0"/>
          <w:sz w:val="20"/>
          <w:szCs w:val="20"/>
          <w:lang w:eastAsia="zh-CN"/>
          <w14:ligatures w14:val="none"/>
        </w:rPr>
        <w:t xml:space="preserve"> Detailed list of </w:t>
      </w:r>
      <w:r w:rsidR="00800EAD" w:rsidRPr="00736F6A">
        <w:rPr>
          <w:rFonts w:ascii="Times New Roman" w:eastAsia="Times New Roman" w:hAnsi="Times New Roman" w:cs="Times New Roman"/>
          <w:color w:val="000000"/>
          <w:kern w:val="0"/>
          <w:sz w:val="20"/>
          <w:szCs w:val="20"/>
          <w:lang w:eastAsia="zh-CN"/>
          <w14:ligatures w14:val="none"/>
        </w:rPr>
        <w:t>variants</w:t>
      </w:r>
      <w:r w:rsidRPr="00736F6A">
        <w:rPr>
          <w:rFonts w:ascii="Times New Roman" w:eastAsia="Times New Roman" w:hAnsi="Times New Roman" w:cs="Times New Roman"/>
          <w:color w:val="000000"/>
          <w:kern w:val="0"/>
          <w:sz w:val="20"/>
          <w:szCs w:val="20"/>
          <w:lang w:eastAsia="zh-CN"/>
          <w14:ligatures w14:val="none"/>
        </w:rPr>
        <w:t xml:space="preserve"> in positively diagnosed cases.</w:t>
      </w:r>
    </w:p>
    <w:p w14:paraId="6934221D" w14:textId="343F7CDD" w:rsidR="00DA0511" w:rsidRPr="00736F6A" w:rsidRDefault="00DA0511" w:rsidP="00DA0511">
      <w:pPr>
        <w:spacing w:after="0" w:line="240" w:lineRule="auto"/>
        <w:rPr>
          <w:rFonts w:ascii="Times New Roman" w:eastAsia="Times New Roman" w:hAnsi="Times New Roman" w:cs="Times New Roman"/>
          <w:color w:val="000000"/>
          <w:kern w:val="0"/>
          <w:sz w:val="20"/>
          <w:szCs w:val="20"/>
          <w:lang w:eastAsia="zh-CN"/>
          <w14:ligatures w14:val="none"/>
        </w:rPr>
      </w:pPr>
      <w:r w:rsidRPr="00736F6A">
        <w:rPr>
          <w:rFonts w:ascii="Times New Roman" w:eastAsia="Times New Roman" w:hAnsi="Times New Roman" w:cs="Times New Roman"/>
          <w:b/>
          <w:bCs/>
          <w:color w:val="000000"/>
          <w:kern w:val="0"/>
          <w:sz w:val="20"/>
          <w:szCs w:val="20"/>
          <w:lang w:eastAsia="zh-CN"/>
          <w14:ligatures w14:val="none"/>
        </w:rPr>
        <w:t>Supplementary Table S</w:t>
      </w:r>
      <w:r w:rsidR="00A07A95" w:rsidRPr="00736F6A">
        <w:rPr>
          <w:rFonts w:ascii="Times New Roman" w:eastAsia="DengXian" w:hAnsi="Times New Roman" w:cs="Times New Roman"/>
          <w:b/>
          <w:bCs/>
          <w:color w:val="000000"/>
          <w:kern w:val="0"/>
          <w:sz w:val="20"/>
          <w:szCs w:val="20"/>
          <w:lang w:eastAsia="zh-CN"/>
          <w14:ligatures w14:val="none"/>
        </w:rPr>
        <w:t>5</w:t>
      </w:r>
      <w:r w:rsidRPr="00736F6A">
        <w:rPr>
          <w:rFonts w:ascii="Times New Roman" w:eastAsia="Times New Roman" w:hAnsi="Times New Roman" w:cs="Times New Roman"/>
          <w:color w:val="000000"/>
          <w:kern w:val="0"/>
          <w:sz w:val="20"/>
          <w:szCs w:val="20"/>
          <w:lang w:eastAsia="zh-CN"/>
          <w14:ligatures w14:val="none"/>
        </w:rPr>
        <w:t>. The year of onset and year of diagnosis related information for positively diagnosed cases.</w:t>
      </w:r>
    </w:p>
    <w:p w14:paraId="5D028748" w14:textId="34F09D32" w:rsidR="00800EAD" w:rsidRPr="00736F6A" w:rsidRDefault="00800EAD" w:rsidP="00800EAD">
      <w:pPr>
        <w:spacing w:after="0" w:line="240" w:lineRule="auto"/>
        <w:rPr>
          <w:rFonts w:ascii="Times New Roman" w:eastAsia="DengXian" w:hAnsi="Times New Roman" w:cs="Times New Roman"/>
          <w:color w:val="000000"/>
          <w:kern w:val="0"/>
          <w:sz w:val="20"/>
          <w:szCs w:val="20"/>
          <w:lang w:eastAsia="zh-CN"/>
          <w14:ligatures w14:val="none"/>
        </w:rPr>
      </w:pPr>
      <w:r w:rsidRPr="00736F6A">
        <w:rPr>
          <w:rFonts w:ascii="Times New Roman" w:eastAsia="Times New Roman" w:hAnsi="Times New Roman" w:cs="Times New Roman"/>
          <w:b/>
          <w:bCs/>
          <w:color w:val="000000"/>
          <w:kern w:val="0"/>
          <w:sz w:val="20"/>
          <w:szCs w:val="20"/>
          <w:lang w:eastAsia="zh-CN"/>
          <w14:ligatures w14:val="none"/>
        </w:rPr>
        <w:t>Supplementary Table S</w:t>
      </w:r>
      <w:r w:rsidR="00A07A95" w:rsidRPr="00736F6A">
        <w:rPr>
          <w:rFonts w:ascii="Times New Roman" w:eastAsia="DengXian" w:hAnsi="Times New Roman" w:cs="Times New Roman"/>
          <w:b/>
          <w:bCs/>
          <w:color w:val="000000"/>
          <w:kern w:val="0"/>
          <w:sz w:val="20"/>
          <w:szCs w:val="20"/>
          <w:lang w:eastAsia="zh-CN"/>
          <w14:ligatures w14:val="none"/>
        </w:rPr>
        <w:t>6</w:t>
      </w:r>
      <w:r w:rsidRPr="00736F6A">
        <w:rPr>
          <w:rFonts w:ascii="Times New Roman" w:eastAsia="Times New Roman" w:hAnsi="Times New Roman" w:cs="Times New Roman"/>
          <w:b/>
          <w:bCs/>
          <w:color w:val="000000"/>
          <w:kern w:val="0"/>
          <w:sz w:val="20"/>
          <w:szCs w:val="20"/>
          <w:lang w:eastAsia="zh-CN"/>
          <w14:ligatures w14:val="none"/>
        </w:rPr>
        <w:t>.</w:t>
      </w:r>
      <w:r w:rsidRPr="00736F6A">
        <w:rPr>
          <w:rFonts w:ascii="Times New Roman" w:eastAsia="Times New Roman" w:hAnsi="Times New Roman" w:cs="Times New Roman"/>
          <w:color w:val="000000"/>
          <w:kern w:val="0"/>
          <w:sz w:val="20"/>
          <w:szCs w:val="20"/>
          <w:lang w:eastAsia="zh-CN"/>
          <w14:ligatures w14:val="none"/>
        </w:rPr>
        <w:t xml:space="preserve"> Gene distribution of the diagnosed RP cases in this study and the previous study by Jin et al (2023).</w:t>
      </w:r>
    </w:p>
    <w:p w14:paraId="15579D51" w14:textId="77777777" w:rsidR="00D869BE" w:rsidRPr="00736F6A" w:rsidRDefault="00D869BE" w:rsidP="00800EAD">
      <w:pPr>
        <w:spacing w:after="0" w:line="240" w:lineRule="auto"/>
        <w:rPr>
          <w:rFonts w:ascii="Times New Roman" w:eastAsia="DengXian" w:hAnsi="Times New Roman" w:cs="Times New Roman"/>
          <w:color w:val="000000"/>
          <w:kern w:val="0"/>
          <w:sz w:val="20"/>
          <w:szCs w:val="20"/>
          <w:lang w:eastAsia="zh-CN"/>
          <w14:ligatures w14:val="none"/>
        </w:rPr>
      </w:pPr>
    </w:p>
    <w:p w14:paraId="3A97A575" w14:textId="1BDAD664" w:rsidR="00D869BE" w:rsidRPr="00736F6A" w:rsidRDefault="00D869BE" w:rsidP="00800EAD">
      <w:pPr>
        <w:spacing w:after="0" w:line="240" w:lineRule="auto"/>
        <w:rPr>
          <w:rFonts w:ascii="Times New Roman" w:eastAsia="DengXian" w:hAnsi="Times New Roman" w:cs="Times New Roman"/>
          <w:b/>
          <w:bCs/>
          <w:color w:val="000000"/>
          <w:kern w:val="0"/>
          <w:sz w:val="20"/>
          <w:szCs w:val="20"/>
          <w:lang w:eastAsia="zh-CN"/>
          <w14:ligatures w14:val="none"/>
        </w:rPr>
      </w:pPr>
      <w:r w:rsidRPr="00736F6A">
        <w:rPr>
          <w:rFonts w:ascii="Times New Roman" w:eastAsia="DengXian" w:hAnsi="Times New Roman" w:cs="Times New Roman"/>
          <w:color w:val="000000"/>
          <w:kern w:val="0"/>
          <w:sz w:val="20"/>
          <w:szCs w:val="20"/>
          <w:lang w:eastAsia="zh-CN"/>
          <w14:ligatures w14:val="none"/>
        </w:rPr>
        <w:t>*Please refer to the supplementary table excel file for the table content.</w:t>
      </w:r>
    </w:p>
    <w:p w14:paraId="228E80E1" w14:textId="77777777" w:rsidR="008C61E2" w:rsidRPr="00736F6A" w:rsidRDefault="008C61E2" w:rsidP="00C078B2">
      <w:pPr>
        <w:pStyle w:val="Heading1"/>
        <w:rPr>
          <w:rFonts w:ascii="Times New Roman" w:eastAsia="DengXian" w:hAnsi="Times New Roman" w:cs="Times New Roman"/>
          <w:b/>
          <w:color w:val="auto"/>
          <w:lang w:eastAsia="zh-CN"/>
        </w:rPr>
      </w:pPr>
      <w:r w:rsidRPr="00736F6A">
        <w:rPr>
          <w:rFonts w:ascii="Times New Roman" w:eastAsia="DengXian" w:hAnsi="Times New Roman" w:cs="Times New Roman"/>
          <w:b/>
          <w:color w:val="auto"/>
          <w:lang w:eastAsia="zh-CN"/>
        </w:rPr>
        <w:t>Supplementary Figures</w:t>
      </w:r>
    </w:p>
    <w:p w14:paraId="03DFB55C" w14:textId="1B51613F" w:rsidR="00895264" w:rsidRPr="00736F6A" w:rsidRDefault="007B49A8" w:rsidP="007B49A8">
      <w:pPr>
        <w:rPr>
          <w:rFonts w:ascii="Times New Roman" w:eastAsia="DengXian" w:hAnsi="Times New Roman" w:cs="Times New Roman"/>
          <w:b/>
          <w:lang w:eastAsia="zh-CN"/>
        </w:rPr>
      </w:pPr>
      <w:r w:rsidRPr="00736F6A">
        <w:rPr>
          <w:rFonts w:ascii="Times New Roman" w:eastAsia="DengXian" w:hAnsi="Times New Roman" w:cs="Times New Roman"/>
          <w:b/>
          <w:sz w:val="20"/>
          <w:szCs w:val="20"/>
          <w:lang w:eastAsia="zh-CN"/>
        </w:rPr>
        <w:t xml:space="preserve">Supplementary Figure S1. </w:t>
      </w:r>
      <w:r w:rsidR="00AF36AD" w:rsidRPr="00736F6A">
        <w:rPr>
          <w:rFonts w:ascii="Times New Roman" w:eastAsia="DengXian" w:hAnsi="Times New Roman" w:cs="Times New Roman"/>
          <w:bCs/>
          <w:sz w:val="20"/>
          <w:szCs w:val="20"/>
          <w:lang w:eastAsia="zh-CN"/>
        </w:rPr>
        <w:t>Pedigrees of the 18 non-singleton cases</w:t>
      </w:r>
      <w:r w:rsidR="00452937" w:rsidRPr="00736F6A">
        <w:rPr>
          <w:rFonts w:ascii="Times New Roman" w:eastAsia="DengXian" w:hAnsi="Times New Roman" w:cs="Times New Roman"/>
          <w:bCs/>
          <w:sz w:val="20"/>
          <w:szCs w:val="20"/>
          <w:lang w:eastAsia="zh-CN"/>
        </w:rPr>
        <w:t>.</w:t>
      </w:r>
      <w:r w:rsidR="002C4D2F" w:rsidRPr="00736F6A">
        <w:rPr>
          <w:rFonts w:ascii="Times New Roman" w:eastAsia="DengXian" w:hAnsi="Times New Roman" w:cs="Times New Roman"/>
          <w:b/>
          <w:lang w:eastAsia="zh-CN"/>
        </w:rPr>
        <w:br/>
      </w:r>
    </w:p>
    <w:p w14:paraId="478349F5" w14:textId="330C8F3C" w:rsidR="00C078B2" w:rsidRPr="00736F6A" w:rsidRDefault="00C078B2" w:rsidP="008C3E06">
      <w:pPr>
        <w:pStyle w:val="Heading2"/>
        <w:rPr>
          <w:rFonts w:ascii="Times New Roman" w:hAnsi="Times New Roman" w:cs="Times New Roman"/>
          <w:b/>
          <w:bCs/>
          <w:color w:val="auto"/>
          <w:sz w:val="40"/>
          <w:szCs w:val="40"/>
          <w:lang w:eastAsia="zh-CN"/>
        </w:rPr>
      </w:pPr>
      <w:r w:rsidRPr="00736F6A">
        <w:rPr>
          <w:rFonts w:ascii="Times New Roman" w:hAnsi="Times New Roman" w:cs="Times New Roman"/>
          <w:b/>
          <w:bCs/>
          <w:color w:val="auto"/>
          <w:sz w:val="40"/>
          <w:szCs w:val="40"/>
          <w:lang w:eastAsia="zh-CN"/>
        </w:rPr>
        <w:t>References</w:t>
      </w:r>
    </w:p>
    <w:sdt>
      <w:sdtPr>
        <w:rPr>
          <w:rFonts w:ascii="Times New Roman" w:eastAsia="DengXian" w:hAnsi="Times New Roman" w:cs="Times New Roman"/>
          <w:b/>
          <w:sz w:val="20"/>
          <w:szCs w:val="20"/>
          <w:lang w:eastAsia="zh-CN"/>
        </w:rPr>
        <w:alias w:val="SmartCite Bibliography"/>
        <w:tag w:val="Human Genetics+{&quot;language&quot;:&quot;en-US&quot;,&quot;isSectionsModeOn&quot;:false}"/>
        <w:id w:val="-1481998552"/>
        <w:placeholder>
          <w:docPart w:val="DefaultPlaceholder_-1854013440"/>
        </w:placeholder>
      </w:sdtPr>
      <w:sdtEndPr/>
      <w:sdtContent>
        <w:p w14:paraId="1EC5B6F8" w14:textId="4DB1A04C" w:rsidR="001E700F" w:rsidRPr="00736F6A" w:rsidRDefault="001E700F">
          <w:pPr>
            <w:divId w:val="622275588"/>
            <w:rPr>
              <w:rFonts w:ascii="Times New Roman" w:eastAsia="DengXian" w:hAnsi="Times New Roman" w:cs="Times New Roman"/>
              <w:kern w:val="0"/>
              <w:sz w:val="20"/>
              <w:szCs w:val="20"/>
              <w:lang w:eastAsia="zh-CN"/>
              <w14:ligatures w14:val="none"/>
            </w:rPr>
          </w:pPr>
        </w:p>
        <w:p w14:paraId="22090FE1" w14:textId="77777777" w:rsidR="001E700F" w:rsidRPr="00736F6A" w:rsidRDefault="001E700F">
          <w:pPr>
            <w:pStyle w:val="Bibliography2"/>
            <w:ind w:left="300" w:hanging="300"/>
            <w:divId w:val="622275588"/>
            <w:rPr>
              <w:sz w:val="20"/>
              <w:szCs w:val="20"/>
            </w:rPr>
          </w:pPr>
          <w:r w:rsidRPr="00736F6A">
            <w:rPr>
              <w:sz w:val="20"/>
              <w:szCs w:val="20"/>
            </w:rPr>
            <w:t xml:space="preserve">Chen S, </w:t>
          </w:r>
          <w:proofErr w:type="spellStart"/>
          <w:r w:rsidRPr="00736F6A">
            <w:rPr>
              <w:sz w:val="20"/>
              <w:szCs w:val="20"/>
            </w:rPr>
            <w:t>Francioli</w:t>
          </w:r>
          <w:proofErr w:type="spellEnd"/>
          <w:r w:rsidRPr="00736F6A">
            <w:rPr>
              <w:sz w:val="20"/>
              <w:szCs w:val="20"/>
            </w:rPr>
            <w:t xml:space="preserve"> LC, Goodrich JK, et al (2024) A genomic mutational constraint map using variation in 76,156 human genomes. Nature 625:92–100. </w:t>
          </w:r>
          <w:hyperlink r:id="rId7" w:history="1">
            <w:r w:rsidRPr="00736F6A">
              <w:rPr>
                <w:rStyle w:val="Hyperlink"/>
                <w:sz w:val="20"/>
                <w:szCs w:val="20"/>
              </w:rPr>
              <w:t>https://doi.org/10.1038/s41586-023-06045-0</w:t>
            </w:r>
          </w:hyperlink>
        </w:p>
        <w:p w14:paraId="50B2DEAA" w14:textId="77777777" w:rsidR="001E700F" w:rsidRPr="00736F6A" w:rsidRDefault="001E700F">
          <w:pPr>
            <w:pStyle w:val="Bibliography2"/>
            <w:ind w:left="300" w:hanging="300"/>
            <w:divId w:val="622275588"/>
            <w:rPr>
              <w:sz w:val="20"/>
              <w:szCs w:val="20"/>
            </w:rPr>
          </w:pPr>
          <w:r w:rsidRPr="00736F6A">
            <w:rPr>
              <w:sz w:val="20"/>
              <w:szCs w:val="20"/>
            </w:rPr>
            <w:t>England G (2024) Genomics England PanelApp. panelapp.genomicsengland.co.uk. Accessed 1 Jan 2024</w:t>
          </w:r>
        </w:p>
        <w:p w14:paraId="7914F4E0" w14:textId="77777777" w:rsidR="001E700F" w:rsidRPr="00736F6A" w:rsidRDefault="001E700F">
          <w:pPr>
            <w:pStyle w:val="Bibliography2"/>
            <w:ind w:left="300" w:hanging="300"/>
            <w:divId w:val="622275588"/>
            <w:rPr>
              <w:sz w:val="20"/>
              <w:szCs w:val="20"/>
            </w:rPr>
          </w:pPr>
          <w:r w:rsidRPr="00736F6A">
            <w:rPr>
              <w:sz w:val="20"/>
              <w:szCs w:val="20"/>
            </w:rPr>
            <w:t>Genomics A (2024) PanelApp Australia. australiangenomics.org.au/</w:t>
          </w:r>
          <w:proofErr w:type="spellStart"/>
          <w:r w:rsidRPr="00736F6A">
            <w:rPr>
              <w:sz w:val="20"/>
              <w:szCs w:val="20"/>
            </w:rPr>
            <w:t>panelapp-australia</w:t>
          </w:r>
          <w:proofErr w:type="spellEnd"/>
          <w:r w:rsidRPr="00736F6A">
            <w:rPr>
              <w:sz w:val="20"/>
              <w:szCs w:val="20"/>
            </w:rPr>
            <w:t>/. Accessed 1 Jan 2024</w:t>
          </w:r>
        </w:p>
        <w:p w14:paraId="34031C67" w14:textId="77777777" w:rsidR="001E700F" w:rsidRPr="00736F6A" w:rsidRDefault="001E700F">
          <w:pPr>
            <w:pStyle w:val="Bibliography2"/>
            <w:ind w:left="300" w:hanging="300"/>
            <w:divId w:val="622275588"/>
            <w:rPr>
              <w:sz w:val="20"/>
              <w:szCs w:val="20"/>
            </w:rPr>
          </w:pPr>
          <w:r w:rsidRPr="00736F6A">
            <w:rPr>
              <w:sz w:val="20"/>
              <w:szCs w:val="20"/>
            </w:rPr>
            <w:t xml:space="preserve">Li H, Durbin R (2009) Fast and accurate short read alignment with Burrows–Wheeler transform. Bioinformatics 25:1754–1760. </w:t>
          </w:r>
          <w:hyperlink r:id="rId8" w:history="1">
            <w:r w:rsidRPr="00736F6A">
              <w:rPr>
                <w:rStyle w:val="Hyperlink"/>
                <w:sz w:val="20"/>
                <w:szCs w:val="20"/>
              </w:rPr>
              <w:t>https://doi.org/10.1093/bioinformatics/btp324</w:t>
            </w:r>
          </w:hyperlink>
        </w:p>
        <w:p w14:paraId="76656BF6" w14:textId="77777777" w:rsidR="001E700F" w:rsidRPr="00736F6A" w:rsidRDefault="001E700F">
          <w:pPr>
            <w:pStyle w:val="Bibliography2"/>
            <w:ind w:left="300" w:hanging="300"/>
            <w:divId w:val="622275588"/>
            <w:rPr>
              <w:sz w:val="20"/>
              <w:szCs w:val="20"/>
            </w:rPr>
          </w:pPr>
          <w:r w:rsidRPr="00736F6A">
            <w:rPr>
              <w:sz w:val="20"/>
              <w:szCs w:val="20"/>
            </w:rPr>
            <w:lastRenderedPageBreak/>
            <w:t xml:space="preserve">McLaren W, Gil L, Hunt SE, et al (2016) The Ensembl Variant Effect Predictor. Genome Biol 17:122. </w:t>
          </w:r>
          <w:hyperlink r:id="rId9" w:history="1">
            <w:r w:rsidRPr="00736F6A">
              <w:rPr>
                <w:rStyle w:val="Hyperlink"/>
                <w:sz w:val="20"/>
                <w:szCs w:val="20"/>
              </w:rPr>
              <w:t>https://doi.org/10.1186/s13059-016-0974-4</w:t>
            </w:r>
          </w:hyperlink>
        </w:p>
        <w:p w14:paraId="2BEBC6B0" w14:textId="77777777" w:rsidR="001E700F" w:rsidRPr="00736F6A" w:rsidRDefault="001E700F">
          <w:pPr>
            <w:pStyle w:val="Bibliography2"/>
            <w:ind w:left="300" w:hanging="300"/>
            <w:divId w:val="622275588"/>
            <w:rPr>
              <w:sz w:val="20"/>
              <w:szCs w:val="20"/>
            </w:rPr>
          </w:pPr>
          <w:r w:rsidRPr="00736F6A">
            <w:rPr>
              <w:sz w:val="20"/>
              <w:szCs w:val="20"/>
            </w:rPr>
            <w:t xml:space="preserve">Poplin R, Ruano-Rubio V, </w:t>
          </w:r>
          <w:proofErr w:type="spellStart"/>
          <w:r w:rsidRPr="00736F6A">
            <w:rPr>
              <w:sz w:val="20"/>
              <w:szCs w:val="20"/>
            </w:rPr>
            <w:t>DePristo</w:t>
          </w:r>
          <w:proofErr w:type="spellEnd"/>
          <w:r w:rsidRPr="00736F6A">
            <w:rPr>
              <w:sz w:val="20"/>
              <w:szCs w:val="20"/>
            </w:rPr>
            <w:t xml:space="preserve"> MA, et al (2018) Scaling accurate genetic variant discovery to tens of thousands of samples. </w:t>
          </w:r>
          <w:proofErr w:type="spellStart"/>
          <w:r w:rsidRPr="00736F6A">
            <w:rPr>
              <w:sz w:val="20"/>
              <w:szCs w:val="20"/>
            </w:rPr>
            <w:t>bioRxiv</w:t>
          </w:r>
          <w:proofErr w:type="spellEnd"/>
          <w:r w:rsidRPr="00736F6A">
            <w:rPr>
              <w:sz w:val="20"/>
              <w:szCs w:val="20"/>
            </w:rPr>
            <w:t xml:space="preserve"> 201178. </w:t>
          </w:r>
          <w:hyperlink r:id="rId10" w:history="1">
            <w:r w:rsidRPr="00736F6A">
              <w:rPr>
                <w:rStyle w:val="Hyperlink"/>
                <w:sz w:val="20"/>
                <w:szCs w:val="20"/>
              </w:rPr>
              <w:t>https://doi.org/10.1101/201178</w:t>
            </w:r>
          </w:hyperlink>
        </w:p>
        <w:p w14:paraId="5EE0F28D" w14:textId="0F320D68" w:rsidR="0017150E" w:rsidRPr="00736F6A" w:rsidRDefault="001E700F" w:rsidP="00196167">
          <w:pPr>
            <w:jc w:val="both"/>
            <w:rPr>
              <w:rFonts w:ascii="Times New Roman" w:eastAsia="DengXian" w:hAnsi="Times New Roman" w:cs="Times New Roman"/>
              <w:b/>
              <w:sz w:val="20"/>
              <w:szCs w:val="20"/>
              <w:lang w:eastAsia="zh-CN"/>
            </w:rPr>
          </w:pPr>
          <w:r w:rsidRPr="00736F6A">
            <w:rPr>
              <w:rFonts w:ascii="Times New Roman" w:eastAsia="Times New Roman" w:hAnsi="Times New Roman" w:cs="Times New Roman"/>
              <w:sz w:val="20"/>
              <w:szCs w:val="20"/>
            </w:rPr>
            <w:t> </w:t>
          </w:r>
        </w:p>
      </w:sdtContent>
    </w:sdt>
    <w:p w14:paraId="40891418" w14:textId="19A80BFF" w:rsidR="0017150E" w:rsidRPr="00736F6A" w:rsidRDefault="0017150E" w:rsidP="00196167">
      <w:pPr>
        <w:jc w:val="both"/>
        <w:rPr>
          <w:rFonts w:ascii="Times New Roman" w:eastAsia="DengXian" w:hAnsi="Times New Roman" w:cs="Times New Roman"/>
          <w:b/>
          <w:sz w:val="20"/>
          <w:szCs w:val="20"/>
          <w:lang w:eastAsia="zh-CN"/>
        </w:rPr>
      </w:pPr>
      <w:r w:rsidRPr="00736F6A">
        <w:rPr>
          <w:rFonts w:ascii="Times New Roman" w:eastAsia="DengXian" w:hAnsi="Times New Roman" w:cs="Times New Roman"/>
          <w:b/>
          <w:sz w:val="20"/>
          <w:szCs w:val="20"/>
          <w:lang w:eastAsia="zh-CN"/>
        </w:rPr>
        <w:t xml:space="preserve"> </w:t>
      </w:r>
    </w:p>
    <w:sectPr w:rsidR="0017150E" w:rsidRPr="00736F6A">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D8AEB" w14:textId="77777777" w:rsidR="00CB372E" w:rsidRDefault="00CB372E" w:rsidP="00CD1F76">
      <w:pPr>
        <w:spacing w:after="0" w:line="240" w:lineRule="auto"/>
      </w:pPr>
      <w:r>
        <w:separator/>
      </w:r>
    </w:p>
  </w:endnote>
  <w:endnote w:type="continuationSeparator" w:id="0">
    <w:p w14:paraId="071DA924" w14:textId="77777777" w:rsidR="00CB372E" w:rsidRDefault="00CB372E" w:rsidP="00CD1F76">
      <w:pPr>
        <w:spacing w:after="0" w:line="240" w:lineRule="auto"/>
      </w:pPr>
      <w:r>
        <w:continuationSeparator/>
      </w:r>
    </w:p>
  </w:endnote>
  <w:endnote w:type="continuationNotice" w:id="1">
    <w:p w14:paraId="687983B3" w14:textId="77777777" w:rsidR="00FF2722" w:rsidRDefault="00FF27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DDD3A" w14:textId="77777777" w:rsidR="00CB372E" w:rsidRDefault="00CB372E" w:rsidP="00CD1F76">
      <w:pPr>
        <w:spacing w:after="0" w:line="240" w:lineRule="auto"/>
      </w:pPr>
      <w:r>
        <w:separator/>
      </w:r>
    </w:p>
  </w:footnote>
  <w:footnote w:type="continuationSeparator" w:id="0">
    <w:p w14:paraId="74744C8D" w14:textId="77777777" w:rsidR="00CB372E" w:rsidRDefault="00CB372E" w:rsidP="00CD1F76">
      <w:pPr>
        <w:spacing w:after="0" w:line="240" w:lineRule="auto"/>
      </w:pPr>
      <w:r>
        <w:continuationSeparator/>
      </w:r>
    </w:p>
  </w:footnote>
  <w:footnote w:type="continuationNotice" w:id="1">
    <w:p w14:paraId="6C1B6E26" w14:textId="77777777" w:rsidR="00FF2722" w:rsidRDefault="00FF272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DFB"/>
    <w:rsid w:val="00023BD7"/>
    <w:rsid w:val="000270B1"/>
    <w:rsid w:val="00031EC4"/>
    <w:rsid w:val="00062B04"/>
    <w:rsid w:val="00072EDF"/>
    <w:rsid w:val="00080E9A"/>
    <w:rsid w:val="000C5F54"/>
    <w:rsid w:val="00112335"/>
    <w:rsid w:val="00116758"/>
    <w:rsid w:val="0017150E"/>
    <w:rsid w:val="00174DCE"/>
    <w:rsid w:val="00196167"/>
    <w:rsid w:val="001C78EC"/>
    <w:rsid w:val="001E700F"/>
    <w:rsid w:val="001F615D"/>
    <w:rsid w:val="00250195"/>
    <w:rsid w:val="00286991"/>
    <w:rsid w:val="0029155A"/>
    <w:rsid w:val="00292D86"/>
    <w:rsid w:val="00297421"/>
    <w:rsid w:val="002A369D"/>
    <w:rsid w:val="002C4D2F"/>
    <w:rsid w:val="003216E4"/>
    <w:rsid w:val="00342C89"/>
    <w:rsid w:val="003D42DA"/>
    <w:rsid w:val="003E191C"/>
    <w:rsid w:val="003F52FE"/>
    <w:rsid w:val="004054A7"/>
    <w:rsid w:val="0041715B"/>
    <w:rsid w:val="00431811"/>
    <w:rsid w:val="00434391"/>
    <w:rsid w:val="00452937"/>
    <w:rsid w:val="0045669F"/>
    <w:rsid w:val="004D1AF8"/>
    <w:rsid w:val="004E0E67"/>
    <w:rsid w:val="00540FDA"/>
    <w:rsid w:val="00544DAF"/>
    <w:rsid w:val="005F3D50"/>
    <w:rsid w:val="0062178A"/>
    <w:rsid w:val="00672541"/>
    <w:rsid w:val="00693DFB"/>
    <w:rsid w:val="006E1349"/>
    <w:rsid w:val="0073395D"/>
    <w:rsid w:val="00736F6A"/>
    <w:rsid w:val="007B49A8"/>
    <w:rsid w:val="00800EAD"/>
    <w:rsid w:val="008472B7"/>
    <w:rsid w:val="00874810"/>
    <w:rsid w:val="00884467"/>
    <w:rsid w:val="00895264"/>
    <w:rsid w:val="008C3E06"/>
    <w:rsid w:val="008C61E2"/>
    <w:rsid w:val="00900DD6"/>
    <w:rsid w:val="00905C16"/>
    <w:rsid w:val="0093264F"/>
    <w:rsid w:val="00963142"/>
    <w:rsid w:val="009B060D"/>
    <w:rsid w:val="009D2B25"/>
    <w:rsid w:val="009D564E"/>
    <w:rsid w:val="009F1F3A"/>
    <w:rsid w:val="009F4796"/>
    <w:rsid w:val="00A07A95"/>
    <w:rsid w:val="00A12E6E"/>
    <w:rsid w:val="00A372C7"/>
    <w:rsid w:val="00A4774C"/>
    <w:rsid w:val="00A61F40"/>
    <w:rsid w:val="00A91E68"/>
    <w:rsid w:val="00A949C8"/>
    <w:rsid w:val="00AB2AFA"/>
    <w:rsid w:val="00AC4BE7"/>
    <w:rsid w:val="00AF36AD"/>
    <w:rsid w:val="00B078AE"/>
    <w:rsid w:val="00B30575"/>
    <w:rsid w:val="00B31A9B"/>
    <w:rsid w:val="00B50CDB"/>
    <w:rsid w:val="00BC00CA"/>
    <w:rsid w:val="00C078B2"/>
    <w:rsid w:val="00C242D8"/>
    <w:rsid w:val="00CB372E"/>
    <w:rsid w:val="00CB3B2D"/>
    <w:rsid w:val="00CB6C81"/>
    <w:rsid w:val="00CD1F76"/>
    <w:rsid w:val="00CE1D4E"/>
    <w:rsid w:val="00CF5795"/>
    <w:rsid w:val="00D33F73"/>
    <w:rsid w:val="00D5083C"/>
    <w:rsid w:val="00D75C76"/>
    <w:rsid w:val="00D869BE"/>
    <w:rsid w:val="00D91C8A"/>
    <w:rsid w:val="00DA0511"/>
    <w:rsid w:val="00DC78DF"/>
    <w:rsid w:val="00DE49E6"/>
    <w:rsid w:val="00DE6D7F"/>
    <w:rsid w:val="00E01AEC"/>
    <w:rsid w:val="00E079CB"/>
    <w:rsid w:val="00E10A77"/>
    <w:rsid w:val="00E1139D"/>
    <w:rsid w:val="00E36B7D"/>
    <w:rsid w:val="00E56F52"/>
    <w:rsid w:val="00E70462"/>
    <w:rsid w:val="00EA1372"/>
    <w:rsid w:val="00ED52AF"/>
    <w:rsid w:val="00F36958"/>
    <w:rsid w:val="00FB4A3E"/>
    <w:rsid w:val="00FD4DE6"/>
    <w:rsid w:val="00FF27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69A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3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93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93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93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93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693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693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693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693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93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93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93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693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693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693DFB"/>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693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693DFB"/>
    <w:rPr>
      <w:rFonts w:eastAsiaTheme="majorEastAsia" w:cstheme="majorBidi"/>
      <w:color w:val="272727" w:themeColor="text1" w:themeTint="D8"/>
    </w:rPr>
  </w:style>
  <w:style w:type="paragraph" w:styleId="Title">
    <w:name w:val="Title"/>
    <w:basedOn w:val="Normal"/>
    <w:next w:val="Normal"/>
    <w:link w:val="TitleChar"/>
    <w:uiPriority w:val="10"/>
    <w:qFormat/>
    <w:rsid w:val="00693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3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3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3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3DFB"/>
    <w:pPr>
      <w:spacing w:before="160"/>
      <w:jc w:val="center"/>
    </w:pPr>
    <w:rPr>
      <w:i/>
      <w:iCs/>
      <w:color w:val="404040" w:themeColor="text1" w:themeTint="BF"/>
    </w:rPr>
  </w:style>
  <w:style w:type="character" w:customStyle="1" w:styleId="QuoteChar">
    <w:name w:val="Quote Char"/>
    <w:basedOn w:val="DefaultParagraphFont"/>
    <w:link w:val="Quote"/>
    <w:uiPriority w:val="29"/>
    <w:rsid w:val="00693DFB"/>
    <w:rPr>
      <w:i/>
      <w:iCs/>
      <w:color w:val="404040" w:themeColor="text1" w:themeTint="BF"/>
    </w:rPr>
  </w:style>
  <w:style w:type="paragraph" w:styleId="ListParagraph">
    <w:name w:val="List Paragraph"/>
    <w:basedOn w:val="Normal"/>
    <w:uiPriority w:val="34"/>
    <w:qFormat/>
    <w:rsid w:val="00693DFB"/>
    <w:pPr>
      <w:ind w:left="720"/>
      <w:contextualSpacing/>
    </w:pPr>
  </w:style>
  <w:style w:type="character" w:styleId="IntenseEmphasis">
    <w:name w:val="Intense Emphasis"/>
    <w:basedOn w:val="DefaultParagraphFont"/>
    <w:uiPriority w:val="21"/>
    <w:qFormat/>
    <w:rsid w:val="00693DFB"/>
    <w:rPr>
      <w:i/>
      <w:iCs/>
      <w:color w:val="0F4761" w:themeColor="accent1" w:themeShade="BF"/>
    </w:rPr>
  </w:style>
  <w:style w:type="paragraph" w:styleId="IntenseQuote">
    <w:name w:val="Intense Quote"/>
    <w:basedOn w:val="Normal"/>
    <w:next w:val="Normal"/>
    <w:link w:val="IntenseQuoteChar"/>
    <w:uiPriority w:val="30"/>
    <w:qFormat/>
    <w:rsid w:val="00693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3DFB"/>
    <w:rPr>
      <w:i/>
      <w:iCs/>
      <w:color w:val="0F4761" w:themeColor="accent1" w:themeShade="BF"/>
    </w:rPr>
  </w:style>
  <w:style w:type="character" w:styleId="IntenseReference">
    <w:name w:val="Intense Reference"/>
    <w:basedOn w:val="DefaultParagraphFont"/>
    <w:uiPriority w:val="32"/>
    <w:qFormat/>
    <w:rsid w:val="00693DFB"/>
    <w:rPr>
      <w:b/>
      <w:bCs/>
      <w:smallCaps/>
      <w:color w:val="0F4761" w:themeColor="accent1" w:themeShade="BF"/>
      <w:spacing w:val="5"/>
    </w:rPr>
  </w:style>
  <w:style w:type="paragraph" w:styleId="Header">
    <w:name w:val="header"/>
    <w:basedOn w:val="Normal"/>
    <w:link w:val="HeaderChar"/>
    <w:uiPriority w:val="99"/>
    <w:unhideWhenUsed/>
    <w:rsid w:val="00CD1F76"/>
    <w:pPr>
      <w:tabs>
        <w:tab w:val="center" w:pos="4320"/>
        <w:tab w:val="right" w:pos="8640"/>
      </w:tabs>
      <w:spacing w:after="0" w:line="240" w:lineRule="auto"/>
    </w:pPr>
  </w:style>
  <w:style w:type="character" w:customStyle="1" w:styleId="HeaderChar">
    <w:name w:val="Header Char"/>
    <w:basedOn w:val="DefaultParagraphFont"/>
    <w:link w:val="Header"/>
    <w:uiPriority w:val="99"/>
    <w:rsid w:val="00CD1F76"/>
  </w:style>
  <w:style w:type="paragraph" w:styleId="Footer">
    <w:name w:val="footer"/>
    <w:basedOn w:val="Normal"/>
    <w:link w:val="FooterChar"/>
    <w:uiPriority w:val="99"/>
    <w:unhideWhenUsed/>
    <w:rsid w:val="00CD1F76"/>
    <w:pPr>
      <w:tabs>
        <w:tab w:val="center" w:pos="4320"/>
        <w:tab w:val="right" w:pos="8640"/>
      </w:tabs>
      <w:spacing w:after="0" w:line="240" w:lineRule="auto"/>
    </w:pPr>
  </w:style>
  <w:style w:type="character" w:customStyle="1" w:styleId="FooterChar">
    <w:name w:val="Footer Char"/>
    <w:basedOn w:val="DefaultParagraphFont"/>
    <w:link w:val="Footer"/>
    <w:uiPriority w:val="99"/>
    <w:rsid w:val="00CD1F76"/>
  </w:style>
  <w:style w:type="character" w:styleId="PlaceholderText">
    <w:name w:val="Placeholder Text"/>
    <w:basedOn w:val="DefaultParagraphFont"/>
    <w:uiPriority w:val="99"/>
    <w:semiHidden/>
    <w:rsid w:val="0017150E"/>
    <w:rPr>
      <w:color w:val="666666"/>
    </w:rPr>
  </w:style>
  <w:style w:type="paragraph" w:customStyle="1" w:styleId="Bibliography1">
    <w:name w:val="Bibliography1"/>
    <w:basedOn w:val="Normal"/>
    <w:rsid w:val="0017150E"/>
    <w:pPr>
      <w:spacing w:before="100" w:beforeAutospacing="1" w:after="100" w:afterAutospacing="1" w:line="240" w:lineRule="auto"/>
    </w:pPr>
    <w:rPr>
      <w:rFonts w:ascii="Times New Roman" w:hAnsi="Times New Roman" w:cs="Times New Roman"/>
      <w:kern w:val="0"/>
      <w:lang w:eastAsia="zh-CN"/>
      <w14:ligatures w14:val="none"/>
    </w:rPr>
  </w:style>
  <w:style w:type="paragraph" w:customStyle="1" w:styleId="Bibliography2">
    <w:name w:val="Bibliography2"/>
    <w:basedOn w:val="Normal"/>
    <w:rsid w:val="00DC78DF"/>
    <w:pPr>
      <w:spacing w:before="100" w:beforeAutospacing="1" w:after="100" w:afterAutospacing="1" w:line="240" w:lineRule="auto"/>
    </w:pPr>
    <w:rPr>
      <w:rFonts w:ascii="Times New Roman" w:hAnsi="Times New Roman" w:cs="Times New Roman"/>
      <w:kern w:val="0"/>
      <w:lang w:eastAsia="zh-CN"/>
      <w14:ligatures w14:val="none"/>
    </w:rPr>
  </w:style>
  <w:style w:type="character" w:styleId="Hyperlink">
    <w:name w:val="Hyperlink"/>
    <w:basedOn w:val="DefaultParagraphFont"/>
    <w:uiPriority w:val="99"/>
    <w:semiHidden/>
    <w:unhideWhenUsed/>
    <w:rsid w:val="00DC78DF"/>
    <w:rPr>
      <w:color w:val="0000FF"/>
      <w:u w:val="single"/>
    </w:rPr>
  </w:style>
  <w:style w:type="paragraph" w:styleId="Revision">
    <w:name w:val="Revision"/>
    <w:hidden/>
    <w:uiPriority w:val="99"/>
    <w:semiHidden/>
    <w:rsid w:val="001123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98871">
      <w:bodyDiv w:val="1"/>
      <w:marLeft w:val="0"/>
      <w:marRight w:val="0"/>
      <w:marTop w:val="0"/>
      <w:marBottom w:val="0"/>
      <w:divBdr>
        <w:top w:val="none" w:sz="0" w:space="0" w:color="auto"/>
        <w:left w:val="none" w:sz="0" w:space="0" w:color="auto"/>
        <w:bottom w:val="none" w:sz="0" w:space="0" w:color="auto"/>
        <w:right w:val="none" w:sz="0" w:space="0" w:color="auto"/>
      </w:divBdr>
    </w:div>
    <w:div w:id="274941637">
      <w:bodyDiv w:val="1"/>
      <w:marLeft w:val="0"/>
      <w:marRight w:val="0"/>
      <w:marTop w:val="0"/>
      <w:marBottom w:val="0"/>
      <w:divBdr>
        <w:top w:val="none" w:sz="0" w:space="0" w:color="auto"/>
        <w:left w:val="none" w:sz="0" w:space="0" w:color="auto"/>
        <w:bottom w:val="none" w:sz="0" w:space="0" w:color="auto"/>
        <w:right w:val="none" w:sz="0" w:space="0" w:color="auto"/>
      </w:divBdr>
    </w:div>
    <w:div w:id="281157359">
      <w:bodyDiv w:val="1"/>
      <w:marLeft w:val="0"/>
      <w:marRight w:val="0"/>
      <w:marTop w:val="0"/>
      <w:marBottom w:val="0"/>
      <w:divBdr>
        <w:top w:val="none" w:sz="0" w:space="0" w:color="auto"/>
        <w:left w:val="none" w:sz="0" w:space="0" w:color="auto"/>
        <w:bottom w:val="none" w:sz="0" w:space="0" w:color="auto"/>
        <w:right w:val="none" w:sz="0" w:space="0" w:color="auto"/>
      </w:divBdr>
    </w:div>
    <w:div w:id="309210927">
      <w:bodyDiv w:val="1"/>
      <w:marLeft w:val="0"/>
      <w:marRight w:val="0"/>
      <w:marTop w:val="0"/>
      <w:marBottom w:val="0"/>
      <w:divBdr>
        <w:top w:val="none" w:sz="0" w:space="0" w:color="auto"/>
        <w:left w:val="none" w:sz="0" w:space="0" w:color="auto"/>
        <w:bottom w:val="none" w:sz="0" w:space="0" w:color="auto"/>
        <w:right w:val="none" w:sz="0" w:space="0" w:color="auto"/>
      </w:divBdr>
    </w:div>
    <w:div w:id="404835704">
      <w:bodyDiv w:val="1"/>
      <w:marLeft w:val="0"/>
      <w:marRight w:val="0"/>
      <w:marTop w:val="0"/>
      <w:marBottom w:val="0"/>
      <w:divBdr>
        <w:top w:val="none" w:sz="0" w:space="0" w:color="auto"/>
        <w:left w:val="none" w:sz="0" w:space="0" w:color="auto"/>
        <w:bottom w:val="none" w:sz="0" w:space="0" w:color="auto"/>
        <w:right w:val="none" w:sz="0" w:space="0" w:color="auto"/>
      </w:divBdr>
    </w:div>
    <w:div w:id="443959962">
      <w:bodyDiv w:val="1"/>
      <w:marLeft w:val="0"/>
      <w:marRight w:val="0"/>
      <w:marTop w:val="0"/>
      <w:marBottom w:val="0"/>
      <w:divBdr>
        <w:top w:val="none" w:sz="0" w:space="0" w:color="auto"/>
        <w:left w:val="none" w:sz="0" w:space="0" w:color="auto"/>
        <w:bottom w:val="none" w:sz="0" w:space="0" w:color="auto"/>
        <w:right w:val="none" w:sz="0" w:space="0" w:color="auto"/>
      </w:divBdr>
    </w:div>
    <w:div w:id="542211735">
      <w:bodyDiv w:val="1"/>
      <w:marLeft w:val="0"/>
      <w:marRight w:val="0"/>
      <w:marTop w:val="0"/>
      <w:marBottom w:val="0"/>
      <w:divBdr>
        <w:top w:val="none" w:sz="0" w:space="0" w:color="auto"/>
        <w:left w:val="none" w:sz="0" w:space="0" w:color="auto"/>
        <w:bottom w:val="none" w:sz="0" w:space="0" w:color="auto"/>
        <w:right w:val="none" w:sz="0" w:space="0" w:color="auto"/>
      </w:divBdr>
    </w:div>
    <w:div w:id="564026042">
      <w:bodyDiv w:val="1"/>
      <w:marLeft w:val="0"/>
      <w:marRight w:val="0"/>
      <w:marTop w:val="0"/>
      <w:marBottom w:val="0"/>
      <w:divBdr>
        <w:top w:val="none" w:sz="0" w:space="0" w:color="auto"/>
        <w:left w:val="none" w:sz="0" w:space="0" w:color="auto"/>
        <w:bottom w:val="none" w:sz="0" w:space="0" w:color="auto"/>
        <w:right w:val="none" w:sz="0" w:space="0" w:color="auto"/>
      </w:divBdr>
    </w:div>
    <w:div w:id="580911772">
      <w:bodyDiv w:val="1"/>
      <w:marLeft w:val="0"/>
      <w:marRight w:val="0"/>
      <w:marTop w:val="0"/>
      <w:marBottom w:val="0"/>
      <w:divBdr>
        <w:top w:val="none" w:sz="0" w:space="0" w:color="auto"/>
        <w:left w:val="none" w:sz="0" w:space="0" w:color="auto"/>
        <w:bottom w:val="none" w:sz="0" w:space="0" w:color="auto"/>
        <w:right w:val="none" w:sz="0" w:space="0" w:color="auto"/>
      </w:divBdr>
    </w:div>
    <w:div w:id="622275588">
      <w:bodyDiv w:val="1"/>
      <w:marLeft w:val="0"/>
      <w:marRight w:val="0"/>
      <w:marTop w:val="0"/>
      <w:marBottom w:val="0"/>
      <w:divBdr>
        <w:top w:val="none" w:sz="0" w:space="0" w:color="auto"/>
        <w:left w:val="none" w:sz="0" w:space="0" w:color="auto"/>
        <w:bottom w:val="none" w:sz="0" w:space="0" w:color="auto"/>
        <w:right w:val="none" w:sz="0" w:space="0" w:color="auto"/>
      </w:divBdr>
    </w:div>
    <w:div w:id="623345572">
      <w:bodyDiv w:val="1"/>
      <w:marLeft w:val="0"/>
      <w:marRight w:val="0"/>
      <w:marTop w:val="0"/>
      <w:marBottom w:val="0"/>
      <w:divBdr>
        <w:top w:val="none" w:sz="0" w:space="0" w:color="auto"/>
        <w:left w:val="none" w:sz="0" w:space="0" w:color="auto"/>
        <w:bottom w:val="none" w:sz="0" w:space="0" w:color="auto"/>
        <w:right w:val="none" w:sz="0" w:space="0" w:color="auto"/>
      </w:divBdr>
    </w:div>
    <w:div w:id="627977563">
      <w:bodyDiv w:val="1"/>
      <w:marLeft w:val="0"/>
      <w:marRight w:val="0"/>
      <w:marTop w:val="0"/>
      <w:marBottom w:val="0"/>
      <w:divBdr>
        <w:top w:val="none" w:sz="0" w:space="0" w:color="auto"/>
        <w:left w:val="none" w:sz="0" w:space="0" w:color="auto"/>
        <w:bottom w:val="none" w:sz="0" w:space="0" w:color="auto"/>
        <w:right w:val="none" w:sz="0" w:space="0" w:color="auto"/>
      </w:divBdr>
    </w:div>
    <w:div w:id="708452191">
      <w:bodyDiv w:val="1"/>
      <w:marLeft w:val="0"/>
      <w:marRight w:val="0"/>
      <w:marTop w:val="0"/>
      <w:marBottom w:val="0"/>
      <w:divBdr>
        <w:top w:val="none" w:sz="0" w:space="0" w:color="auto"/>
        <w:left w:val="none" w:sz="0" w:space="0" w:color="auto"/>
        <w:bottom w:val="none" w:sz="0" w:space="0" w:color="auto"/>
        <w:right w:val="none" w:sz="0" w:space="0" w:color="auto"/>
      </w:divBdr>
    </w:div>
    <w:div w:id="735278961">
      <w:bodyDiv w:val="1"/>
      <w:marLeft w:val="0"/>
      <w:marRight w:val="0"/>
      <w:marTop w:val="0"/>
      <w:marBottom w:val="0"/>
      <w:divBdr>
        <w:top w:val="none" w:sz="0" w:space="0" w:color="auto"/>
        <w:left w:val="none" w:sz="0" w:space="0" w:color="auto"/>
        <w:bottom w:val="none" w:sz="0" w:space="0" w:color="auto"/>
        <w:right w:val="none" w:sz="0" w:space="0" w:color="auto"/>
      </w:divBdr>
    </w:div>
    <w:div w:id="877813716">
      <w:bodyDiv w:val="1"/>
      <w:marLeft w:val="0"/>
      <w:marRight w:val="0"/>
      <w:marTop w:val="0"/>
      <w:marBottom w:val="0"/>
      <w:divBdr>
        <w:top w:val="none" w:sz="0" w:space="0" w:color="auto"/>
        <w:left w:val="none" w:sz="0" w:space="0" w:color="auto"/>
        <w:bottom w:val="none" w:sz="0" w:space="0" w:color="auto"/>
        <w:right w:val="none" w:sz="0" w:space="0" w:color="auto"/>
      </w:divBdr>
    </w:div>
    <w:div w:id="912589291">
      <w:bodyDiv w:val="1"/>
      <w:marLeft w:val="0"/>
      <w:marRight w:val="0"/>
      <w:marTop w:val="0"/>
      <w:marBottom w:val="0"/>
      <w:divBdr>
        <w:top w:val="none" w:sz="0" w:space="0" w:color="auto"/>
        <w:left w:val="none" w:sz="0" w:space="0" w:color="auto"/>
        <w:bottom w:val="none" w:sz="0" w:space="0" w:color="auto"/>
        <w:right w:val="none" w:sz="0" w:space="0" w:color="auto"/>
      </w:divBdr>
    </w:div>
    <w:div w:id="1129665778">
      <w:bodyDiv w:val="1"/>
      <w:marLeft w:val="0"/>
      <w:marRight w:val="0"/>
      <w:marTop w:val="0"/>
      <w:marBottom w:val="0"/>
      <w:divBdr>
        <w:top w:val="none" w:sz="0" w:space="0" w:color="auto"/>
        <w:left w:val="none" w:sz="0" w:space="0" w:color="auto"/>
        <w:bottom w:val="none" w:sz="0" w:space="0" w:color="auto"/>
        <w:right w:val="none" w:sz="0" w:space="0" w:color="auto"/>
      </w:divBdr>
    </w:div>
    <w:div w:id="1262298491">
      <w:bodyDiv w:val="1"/>
      <w:marLeft w:val="0"/>
      <w:marRight w:val="0"/>
      <w:marTop w:val="0"/>
      <w:marBottom w:val="0"/>
      <w:divBdr>
        <w:top w:val="none" w:sz="0" w:space="0" w:color="auto"/>
        <w:left w:val="none" w:sz="0" w:space="0" w:color="auto"/>
        <w:bottom w:val="none" w:sz="0" w:space="0" w:color="auto"/>
        <w:right w:val="none" w:sz="0" w:space="0" w:color="auto"/>
      </w:divBdr>
    </w:div>
    <w:div w:id="1278830946">
      <w:bodyDiv w:val="1"/>
      <w:marLeft w:val="0"/>
      <w:marRight w:val="0"/>
      <w:marTop w:val="0"/>
      <w:marBottom w:val="0"/>
      <w:divBdr>
        <w:top w:val="none" w:sz="0" w:space="0" w:color="auto"/>
        <w:left w:val="none" w:sz="0" w:space="0" w:color="auto"/>
        <w:bottom w:val="none" w:sz="0" w:space="0" w:color="auto"/>
        <w:right w:val="none" w:sz="0" w:space="0" w:color="auto"/>
      </w:divBdr>
    </w:div>
    <w:div w:id="1345747341">
      <w:bodyDiv w:val="1"/>
      <w:marLeft w:val="0"/>
      <w:marRight w:val="0"/>
      <w:marTop w:val="0"/>
      <w:marBottom w:val="0"/>
      <w:divBdr>
        <w:top w:val="none" w:sz="0" w:space="0" w:color="auto"/>
        <w:left w:val="none" w:sz="0" w:space="0" w:color="auto"/>
        <w:bottom w:val="none" w:sz="0" w:space="0" w:color="auto"/>
        <w:right w:val="none" w:sz="0" w:space="0" w:color="auto"/>
      </w:divBdr>
    </w:div>
    <w:div w:id="1416173309">
      <w:bodyDiv w:val="1"/>
      <w:marLeft w:val="0"/>
      <w:marRight w:val="0"/>
      <w:marTop w:val="0"/>
      <w:marBottom w:val="0"/>
      <w:divBdr>
        <w:top w:val="none" w:sz="0" w:space="0" w:color="auto"/>
        <w:left w:val="none" w:sz="0" w:space="0" w:color="auto"/>
        <w:bottom w:val="none" w:sz="0" w:space="0" w:color="auto"/>
        <w:right w:val="none" w:sz="0" w:space="0" w:color="auto"/>
      </w:divBdr>
    </w:div>
    <w:div w:id="1450197032">
      <w:bodyDiv w:val="1"/>
      <w:marLeft w:val="0"/>
      <w:marRight w:val="0"/>
      <w:marTop w:val="0"/>
      <w:marBottom w:val="0"/>
      <w:divBdr>
        <w:top w:val="none" w:sz="0" w:space="0" w:color="auto"/>
        <w:left w:val="none" w:sz="0" w:space="0" w:color="auto"/>
        <w:bottom w:val="none" w:sz="0" w:space="0" w:color="auto"/>
        <w:right w:val="none" w:sz="0" w:space="0" w:color="auto"/>
      </w:divBdr>
    </w:div>
    <w:div w:id="1620598677">
      <w:bodyDiv w:val="1"/>
      <w:marLeft w:val="0"/>
      <w:marRight w:val="0"/>
      <w:marTop w:val="0"/>
      <w:marBottom w:val="0"/>
      <w:divBdr>
        <w:top w:val="none" w:sz="0" w:space="0" w:color="auto"/>
        <w:left w:val="none" w:sz="0" w:space="0" w:color="auto"/>
        <w:bottom w:val="none" w:sz="0" w:space="0" w:color="auto"/>
        <w:right w:val="none" w:sz="0" w:space="0" w:color="auto"/>
      </w:divBdr>
    </w:div>
    <w:div w:id="1705251622">
      <w:bodyDiv w:val="1"/>
      <w:marLeft w:val="0"/>
      <w:marRight w:val="0"/>
      <w:marTop w:val="0"/>
      <w:marBottom w:val="0"/>
      <w:divBdr>
        <w:top w:val="none" w:sz="0" w:space="0" w:color="auto"/>
        <w:left w:val="none" w:sz="0" w:space="0" w:color="auto"/>
        <w:bottom w:val="none" w:sz="0" w:space="0" w:color="auto"/>
        <w:right w:val="none" w:sz="0" w:space="0" w:color="auto"/>
      </w:divBdr>
    </w:div>
    <w:div w:id="1707634160">
      <w:bodyDiv w:val="1"/>
      <w:marLeft w:val="0"/>
      <w:marRight w:val="0"/>
      <w:marTop w:val="0"/>
      <w:marBottom w:val="0"/>
      <w:divBdr>
        <w:top w:val="none" w:sz="0" w:space="0" w:color="auto"/>
        <w:left w:val="none" w:sz="0" w:space="0" w:color="auto"/>
        <w:bottom w:val="none" w:sz="0" w:space="0" w:color="auto"/>
        <w:right w:val="none" w:sz="0" w:space="0" w:color="auto"/>
      </w:divBdr>
    </w:div>
    <w:div w:id="1730154448">
      <w:bodyDiv w:val="1"/>
      <w:marLeft w:val="0"/>
      <w:marRight w:val="0"/>
      <w:marTop w:val="0"/>
      <w:marBottom w:val="0"/>
      <w:divBdr>
        <w:top w:val="none" w:sz="0" w:space="0" w:color="auto"/>
        <w:left w:val="none" w:sz="0" w:space="0" w:color="auto"/>
        <w:bottom w:val="none" w:sz="0" w:space="0" w:color="auto"/>
        <w:right w:val="none" w:sz="0" w:space="0" w:color="auto"/>
      </w:divBdr>
    </w:div>
    <w:div w:id="1816606718">
      <w:bodyDiv w:val="1"/>
      <w:marLeft w:val="0"/>
      <w:marRight w:val="0"/>
      <w:marTop w:val="0"/>
      <w:marBottom w:val="0"/>
      <w:divBdr>
        <w:top w:val="none" w:sz="0" w:space="0" w:color="auto"/>
        <w:left w:val="none" w:sz="0" w:space="0" w:color="auto"/>
        <w:bottom w:val="none" w:sz="0" w:space="0" w:color="auto"/>
        <w:right w:val="none" w:sz="0" w:space="0" w:color="auto"/>
      </w:divBdr>
    </w:div>
    <w:div w:id="1868323412">
      <w:bodyDiv w:val="1"/>
      <w:marLeft w:val="0"/>
      <w:marRight w:val="0"/>
      <w:marTop w:val="0"/>
      <w:marBottom w:val="0"/>
      <w:divBdr>
        <w:top w:val="none" w:sz="0" w:space="0" w:color="auto"/>
        <w:left w:val="none" w:sz="0" w:space="0" w:color="auto"/>
        <w:bottom w:val="none" w:sz="0" w:space="0" w:color="auto"/>
        <w:right w:val="none" w:sz="0" w:space="0" w:color="auto"/>
      </w:divBdr>
    </w:div>
    <w:div w:id="1902447835">
      <w:bodyDiv w:val="1"/>
      <w:marLeft w:val="0"/>
      <w:marRight w:val="0"/>
      <w:marTop w:val="0"/>
      <w:marBottom w:val="0"/>
      <w:divBdr>
        <w:top w:val="none" w:sz="0" w:space="0" w:color="auto"/>
        <w:left w:val="none" w:sz="0" w:space="0" w:color="auto"/>
        <w:bottom w:val="none" w:sz="0" w:space="0" w:color="auto"/>
        <w:right w:val="none" w:sz="0" w:space="0" w:color="auto"/>
      </w:divBdr>
    </w:div>
    <w:div w:id="1914267256">
      <w:bodyDiv w:val="1"/>
      <w:marLeft w:val="0"/>
      <w:marRight w:val="0"/>
      <w:marTop w:val="0"/>
      <w:marBottom w:val="0"/>
      <w:divBdr>
        <w:top w:val="none" w:sz="0" w:space="0" w:color="auto"/>
        <w:left w:val="none" w:sz="0" w:space="0" w:color="auto"/>
        <w:bottom w:val="none" w:sz="0" w:space="0" w:color="auto"/>
        <w:right w:val="none" w:sz="0" w:space="0" w:color="auto"/>
      </w:divBdr>
    </w:div>
    <w:div w:id="1940065704">
      <w:bodyDiv w:val="1"/>
      <w:marLeft w:val="0"/>
      <w:marRight w:val="0"/>
      <w:marTop w:val="0"/>
      <w:marBottom w:val="0"/>
      <w:divBdr>
        <w:top w:val="none" w:sz="0" w:space="0" w:color="auto"/>
        <w:left w:val="none" w:sz="0" w:space="0" w:color="auto"/>
        <w:bottom w:val="none" w:sz="0" w:space="0" w:color="auto"/>
        <w:right w:val="none" w:sz="0" w:space="0" w:color="auto"/>
      </w:divBdr>
    </w:div>
    <w:div w:id="1965578296">
      <w:bodyDiv w:val="1"/>
      <w:marLeft w:val="0"/>
      <w:marRight w:val="0"/>
      <w:marTop w:val="0"/>
      <w:marBottom w:val="0"/>
      <w:divBdr>
        <w:top w:val="none" w:sz="0" w:space="0" w:color="auto"/>
        <w:left w:val="none" w:sz="0" w:space="0" w:color="auto"/>
        <w:bottom w:val="none" w:sz="0" w:space="0" w:color="auto"/>
        <w:right w:val="none" w:sz="0" w:space="0" w:color="auto"/>
      </w:divBdr>
    </w:div>
    <w:div w:id="2054844324">
      <w:bodyDiv w:val="1"/>
      <w:marLeft w:val="0"/>
      <w:marRight w:val="0"/>
      <w:marTop w:val="0"/>
      <w:marBottom w:val="0"/>
      <w:divBdr>
        <w:top w:val="none" w:sz="0" w:space="0" w:color="auto"/>
        <w:left w:val="none" w:sz="0" w:space="0" w:color="auto"/>
        <w:bottom w:val="none" w:sz="0" w:space="0" w:color="auto"/>
        <w:right w:val="none" w:sz="0" w:space="0" w:color="auto"/>
      </w:divBdr>
    </w:div>
    <w:div w:id="2102793092">
      <w:bodyDiv w:val="1"/>
      <w:marLeft w:val="0"/>
      <w:marRight w:val="0"/>
      <w:marTop w:val="0"/>
      <w:marBottom w:val="0"/>
      <w:divBdr>
        <w:top w:val="none" w:sz="0" w:space="0" w:color="auto"/>
        <w:left w:val="none" w:sz="0" w:space="0" w:color="auto"/>
        <w:bottom w:val="none" w:sz="0" w:space="0" w:color="auto"/>
        <w:right w:val="none" w:sz="0" w:space="0" w:color="auto"/>
      </w:divBdr>
    </w:div>
    <w:div w:id="2113281403">
      <w:bodyDiv w:val="1"/>
      <w:marLeft w:val="0"/>
      <w:marRight w:val="0"/>
      <w:marTop w:val="0"/>
      <w:marBottom w:val="0"/>
      <w:divBdr>
        <w:top w:val="none" w:sz="0" w:space="0" w:color="auto"/>
        <w:left w:val="none" w:sz="0" w:space="0" w:color="auto"/>
        <w:bottom w:val="none" w:sz="0" w:space="0" w:color="auto"/>
        <w:right w:val="none" w:sz="0" w:space="0" w:color="auto"/>
      </w:divBdr>
    </w:div>
    <w:div w:id="212090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bioinformatics/btp32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38/s41586-023-06045-0"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i.org/10.1101/201178" TargetMode="External"/><Relationship Id="rId4" Type="http://schemas.openxmlformats.org/officeDocument/2006/relationships/webSettings" Target="webSettings.xml"/><Relationship Id="rId9" Type="http://schemas.openxmlformats.org/officeDocument/2006/relationships/hyperlink" Target="https://doi.org/10.1186/s13059-016-0974-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8659186CD04831B49E6D756D8CE389"/>
        <w:category>
          <w:name w:val="General"/>
          <w:gallery w:val="placeholder"/>
        </w:category>
        <w:types>
          <w:type w:val="bbPlcHdr"/>
        </w:types>
        <w:behaviors>
          <w:behavior w:val="content"/>
        </w:behaviors>
        <w:guid w:val="{696C4D4E-33DF-4676-8938-6F227E9E5B6B}"/>
      </w:docPartPr>
      <w:docPartBody>
        <w:p w:rsidR="009865DA" w:rsidRDefault="009865DA" w:rsidP="009865DA">
          <w:pPr>
            <w:pStyle w:val="438659186CD04831B49E6D756D8CE389"/>
          </w:pPr>
          <w:r w:rsidRPr="00753751">
            <w:rPr>
              <w:rStyle w:val="PlaceholderText"/>
            </w:rPr>
            <w:t>Click or tap here to enter text.</w:t>
          </w:r>
        </w:p>
      </w:docPartBody>
    </w:docPart>
    <w:docPart>
      <w:docPartPr>
        <w:name w:val="426D7BF26F624E97906412EAA3EE9E98"/>
        <w:category>
          <w:name w:val="General"/>
          <w:gallery w:val="placeholder"/>
        </w:category>
        <w:types>
          <w:type w:val="bbPlcHdr"/>
        </w:types>
        <w:behaviors>
          <w:behavior w:val="content"/>
        </w:behaviors>
        <w:guid w:val="{57A66C85-597F-4B72-9CD1-D4B8D5091C76}"/>
      </w:docPartPr>
      <w:docPartBody>
        <w:p w:rsidR="009865DA" w:rsidRDefault="009865DA" w:rsidP="009865DA">
          <w:pPr>
            <w:pStyle w:val="426D7BF26F624E97906412EAA3EE9E98"/>
          </w:pPr>
          <w:r w:rsidRPr="0075375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F4A87BB-EEBE-41EB-AA1C-6232C138FBD6}"/>
      </w:docPartPr>
      <w:docPartBody>
        <w:p w:rsidR="009865DA" w:rsidRDefault="009865DA">
          <w:r w:rsidRPr="00B95A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5DA"/>
    <w:rsid w:val="004D1AF8"/>
    <w:rsid w:val="005F3D50"/>
    <w:rsid w:val="009865DA"/>
    <w:rsid w:val="009D564E"/>
    <w:rsid w:val="00C242D8"/>
    <w:rsid w:val="00C933A8"/>
    <w:rsid w:val="00CB3B2D"/>
    <w:rsid w:val="00E01AEC"/>
    <w:rsid w:val="00FB4A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65DA"/>
    <w:rPr>
      <w:color w:val="666666"/>
    </w:rPr>
  </w:style>
  <w:style w:type="paragraph" w:customStyle="1" w:styleId="438659186CD04831B49E6D756D8CE389">
    <w:name w:val="438659186CD04831B49E6D756D8CE389"/>
    <w:rsid w:val="009865DA"/>
  </w:style>
  <w:style w:type="paragraph" w:customStyle="1" w:styleId="426D7BF26F624E97906412EAA3EE9E98">
    <w:name w:val="426D7BF26F624E97906412EAA3EE9E98"/>
    <w:rsid w:val="009865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16"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6A7C5BA-47FC-417D-AAE5-2F0BF588E9B2}">
  <we:reference id="wa104380917" version="1.0.1.0" store="en-US"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9573B-B5D7-4C2B-A294-2566EF2CE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792</Words>
  <Characters>4518</Characters>
  <Application>Microsoft Office Word</Application>
  <DocSecurity>0</DocSecurity>
  <Lines>37</Lines>
  <Paragraphs>10</Paragraphs>
  <ScaleCrop>false</ScaleCrop>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2024-07-31T02:04:00Z</dcterms:created>
  <dcterms:modified xsi:type="dcterms:W3CDTF">2025-02-18T00:58:00Z</dcterms:modified>
</cp:coreProperties>
</file>