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FCB4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Materials</w:t>
      </w:r>
    </w:p>
    <w:p w14:paraId="5A65AB79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44A7590F">
      <w:pPr>
        <w:rPr>
          <w:rFonts w:hint="default" w:ascii="Times New Roman" w:hAnsi="Times New Roman" w:cs="Times New Roman" w:eastAsiaTheme="minorEastAsia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Figure S1. Frequency distribution of continuous variables.</w:t>
      </w:r>
    </w:p>
    <w:p w14:paraId="0A15EB08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  <w:t>Within-Family and Population-based Polygenic Score Prediction in Metabolic Traits.</w:t>
      </w:r>
    </w:p>
    <w:p w14:paraId="3304E13B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. Estimates of shrinkage between population and within-sibship models with corresponding 95% CIs.</w:t>
      </w:r>
    </w:p>
    <w:p w14:paraId="5D628D9D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. Estimates of shrinkage between population and within-sibship models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after controlling for diet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 with corresponding 95% CIs.</w:t>
      </w:r>
    </w:p>
    <w:p w14:paraId="05E63C78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1. Data structure of the analytical design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.</w:t>
      </w:r>
    </w:p>
    <w:p w14:paraId="6CAA81A9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2. Characteristics of the Study Population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.</w:t>
      </w:r>
    </w:p>
    <w:p w14:paraId="643D27D4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3. Intraclass coefficients for siblings and parent-offspring trios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.</w:t>
      </w:r>
    </w:p>
    <w:p w14:paraId="5D8D0039">
      <w:pPr>
        <w:rPr>
          <w:rFonts w:hint="eastAsia"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4. Within- and between-family prediction estimates of metabolic traits.</w:t>
      </w:r>
    </w:p>
    <w:p w14:paraId="71356955">
      <w:pPr>
        <w:rPr>
          <w:rFonts w:hint="eastAsia"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5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. Estimates of Indirect Genetic Effects of Diet on Metabolic Traits.</w:t>
      </w:r>
    </w:p>
    <w:p w14:paraId="52452F98">
      <w:pPr>
        <w:rPr>
          <w:rFonts w:hint="eastAsia"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6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. Estimates of Indirect Genetic Effects of Diet on Metabolic Traits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, after adjusting for SES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.</w:t>
      </w:r>
    </w:p>
    <w:p w14:paraId="6A73D969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7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. Within-sibship shrinkage estimates. </w:t>
      </w:r>
    </w:p>
    <w:p w14:paraId="79687FE3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8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. Wilcoxon test comparing SNP estimates distribution.</w:t>
      </w:r>
    </w:p>
    <w:p w14:paraId="572A2B77"/>
    <w:p w14:paraId="41D01E32"/>
    <w:p w14:paraId="1E261B8A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</w:p>
    <w:p w14:paraId="7DD0E3E2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</w:p>
    <w:p w14:paraId="2C571C66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</w:p>
    <w:p w14:paraId="79C7F274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</w:p>
    <w:p w14:paraId="0258EA2C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</w:p>
    <w:p w14:paraId="723C6FDB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</w:p>
    <w:p w14:paraId="45DBE43D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  <w:drawing>
          <wp:inline distT="0" distB="0" distL="114300" distR="114300">
            <wp:extent cx="5253990" cy="6523990"/>
            <wp:effectExtent l="0" t="0" r="3810" b="10160"/>
            <wp:docPr id="1" name="图片 1" descr="Supplemental 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l 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652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FECD6">
      <w:pPr>
        <w:rPr>
          <w:rFonts w:hint="default" w:ascii="Times New Roman" w:hAnsi="Times New Roman" w:cs="Times New Roman" w:eastAsiaTheme="minorEastAsia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Figure S1. Frequency distribution of continuous variables.</w:t>
      </w:r>
    </w:p>
    <w:p w14:paraId="5FB326D9">
      <w:pPr>
        <w:numPr>
          <w:ilvl w:val="0"/>
          <w:numId w:val="1"/>
        </w:numPr>
        <w:rPr>
          <w:rFonts w:hint="default" w:ascii="Times New Roman" w:hAnsi="Times New Roman" w:eastAsia="SimSun" w:cs="Times New Roman"/>
          <w:b w:val="0"/>
          <w:bCs w:val="0"/>
          <w:kern w:val="2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distribution of continuous variables in siblings study; (b) distribution of continuous variables in parent-offspring study.</w:t>
      </w:r>
    </w:p>
    <w:p w14:paraId="7E2DF1B8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</w:p>
    <w:p w14:paraId="45B6CC21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</w:p>
    <w:p w14:paraId="0E3C7838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  <w:bookmarkStart w:id="0" w:name="_GoBack"/>
      <w:bookmarkEnd w:id="0"/>
    </w:p>
    <w:p w14:paraId="6321F939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</w:p>
    <w:p w14:paraId="1DC4892A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</w:p>
    <w:p w14:paraId="3D92F464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</w:p>
    <w:p w14:paraId="7926C9A6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</w:p>
    <w:p w14:paraId="4172F5BB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</w:p>
    <w:p w14:paraId="16350742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</w:p>
    <w:p w14:paraId="0D1CF199">
      <w:pP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  <w:drawing>
          <wp:inline distT="0" distB="0" distL="114300" distR="114300">
            <wp:extent cx="5269865" cy="4358640"/>
            <wp:effectExtent l="0" t="0" r="6985" b="3810"/>
            <wp:docPr id="2" name="图片 2" descr="Supplemental 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l Figure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55A89">
      <w:pPr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 w14:paraId="3BA5870C">
      <w:pPr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rFonts w:hint="default" w:ascii="Times New Roman" w:hAnsi="Times New Roman" w:eastAsia="SimSun" w:cs="Times New Roman"/>
          <w:b/>
          <w:bCs/>
          <w:kern w:val="2"/>
          <w:sz w:val="20"/>
          <w:szCs w:val="20"/>
          <w:lang w:val="en-US" w:eastAsia="zh-CN" w:bidi="ar"/>
        </w:rPr>
        <w:t>Within-Family and Population-based Polygenic Score Prediction in Metabolic Traits.</w:t>
      </w:r>
    </w:p>
    <w:p w14:paraId="0DBC1FD5">
      <w:pPr>
        <w:rPr>
          <w:rFonts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kern w:val="2"/>
          <w:sz w:val="20"/>
          <w:szCs w:val="20"/>
          <w:lang w:val="en-US" w:eastAsia="zh-CN" w:bidi="ar"/>
        </w:rPr>
        <w:t xml:space="preserve">Findings before (a) and after (b) statistical correction for </w:t>
      </w:r>
      <w:r>
        <w:rPr>
          <w:rFonts w:hint="eastAsia" w:ascii="Times New Roman" w:hAnsi="Times New Roman" w:eastAsia="SimSun" w:cs="Times New Roman"/>
          <w:kern w:val="2"/>
          <w:sz w:val="20"/>
          <w:szCs w:val="20"/>
          <w:lang w:val="en-US" w:eastAsia="zh-CN" w:bidi="ar"/>
        </w:rPr>
        <w:t>family SES</w:t>
      </w:r>
      <w:r>
        <w:rPr>
          <w:rFonts w:hint="default" w:ascii="Times New Roman" w:hAnsi="Times New Roman" w:eastAsia="SimSun" w:cs="Times New Roman"/>
          <w:kern w:val="2"/>
          <w:sz w:val="20"/>
          <w:szCs w:val="20"/>
          <w:lang w:val="en-US" w:eastAsia="zh-CN" w:bidi="ar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The </w:t>
      </w:r>
      <w:r>
        <w:rPr>
          <w:rFonts w:hint="eastAsia" w:ascii="Times New Roman" w:hAnsi="Times New Roman" w:cs="Times New Roman"/>
          <w:sz w:val="20"/>
          <w:szCs w:val="20"/>
        </w:rPr>
        <w:t>PGSs</w:t>
      </w:r>
      <w:r>
        <w:rPr>
          <w:rFonts w:ascii="Times New Roman" w:hAnsi="Times New Roman" w:cs="Times New Roman"/>
          <w:sz w:val="20"/>
          <w:szCs w:val="20"/>
        </w:rPr>
        <w:t xml:space="preserve"> are presented on the y-axis, predicting each of the </w:t>
      </w:r>
      <w:r>
        <w:rPr>
          <w:rFonts w:hint="eastAsia" w:ascii="Times New Roman" w:hAnsi="Times New Roman" w:cs="Times New Roman"/>
          <w:sz w:val="20"/>
          <w:szCs w:val="20"/>
        </w:rPr>
        <w:t>six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</w:rPr>
        <w:t>metabolic</w:t>
      </w:r>
      <w:r>
        <w:rPr>
          <w:rFonts w:ascii="Times New Roman" w:hAnsi="Times New Roman" w:cs="Times New Roman"/>
          <w:sz w:val="20"/>
          <w:szCs w:val="20"/>
        </w:rPr>
        <w:t xml:space="preserve"> traits. Error bars </w:t>
      </w:r>
      <w:r>
        <w:rPr>
          <w:rFonts w:hint="eastAsia" w:ascii="Times New Roman" w:hAnsi="Times New Roman" w:cs="Times New Roman"/>
          <w:sz w:val="20"/>
          <w:szCs w:val="20"/>
        </w:rPr>
        <w:t xml:space="preserve">represent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>
        <w:rPr>
          <w:rFonts w:hint="eastAsia" w:ascii="Times New Roman" w:hAnsi="Times New Roman" w:cs="Times New Roman"/>
          <w:sz w:val="20"/>
          <w:szCs w:val="20"/>
        </w:rPr>
        <w:t>confidence</w:t>
      </w:r>
      <w:r>
        <w:rPr>
          <w:rFonts w:ascii="Times New Roman" w:hAnsi="Times New Roman" w:cs="Times New Roman"/>
          <w:sz w:val="20"/>
          <w:szCs w:val="20"/>
        </w:rPr>
        <w:t xml:space="preserve"> percentile intervals. Opaque estimates indicate statistical significance at the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false discovery rate corrected </w:t>
      </w:r>
      <w:r>
        <w:rPr>
          <w:rFonts w:ascii="Times New Roman" w:hAnsi="Times New Roman" w:cs="Times New Roman"/>
          <w:sz w:val="20"/>
          <w:szCs w:val="20"/>
        </w:rPr>
        <w:t xml:space="preserve">threshold of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 &lt; 0.0</w:t>
      </w:r>
      <w:r>
        <w:rPr>
          <w:rFonts w:hint="eastAsia"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hint="eastAsia"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 xml:space="preserve">ndicate a significant difference between </w:t>
      </w:r>
      <w:r>
        <w:rPr>
          <w:rFonts w:hint="eastAsia" w:ascii="Times New Roman" w:hAnsi="Times New Roman" w:cs="Times New Roman"/>
          <w:sz w:val="20"/>
          <w:szCs w:val="20"/>
        </w:rPr>
        <w:t>population-based and within-family</w:t>
      </w:r>
      <w:r>
        <w:rPr>
          <w:rFonts w:ascii="Times New Roman" w:hAnsi="Times New Roman" w:cs="Times New Roman"/>
          <w:sz w:val="20"/>
          <w:szCs w:val="20"/>
        </w:rPr>
        <w:t xml:space="preserve"> prediction estimates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at the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false discovery rate corrected </w:t>
      </w:r>
      <w:r>
        <w:rPr>
          <w:rFonts w:ascii="Times New Roman" w:hAnsi="Times New Roman" w:cs="Times New Roman"/>
          <w:sz w:val="20"/>
          <w:szCs w:val="20"/>
        </w:rPr>
        <w:t xml:space="preserve">threshold of 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 &lt; 0.0</w:t>
      </w:r>
      <w:r>
        <w:rPr>
          <w:rFonts w:hint="eastAsia"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. The dotted line represents a beta coefficient of zero. </w:t>
      </w:r>
      <w:r>
        <w:rPr>
          <w:rFonts w:hint="eastAsia" w:ascii="Times New Roman" w:hAnsi="Times New Roman" w:cs="Times New Roman"/>
          <w:sz w:val="20"/>
          <w:szCs w:val="20"/>
        </w:rPr>
        <w:t xml:space="preserve">T2D, type 2 diabetes; HYP, hypertension; FBG, fasting blood glucose; HDL, high-density lipoprotein </w:t>
      </w:r>
      <w:r>
        <w:rPr>
          <w:rFonts w:ascii="Times New Roman" w:hAnsi="Times New Roman" w:cs="Times New Roman"/>
          <w:sz w:val="20"/>
          <w:szCs w:val="20"/>
        </w:rPr>
        <w:t>cholesterol</w:t>
      </w:r>
      <w:r>
        <w:rPr>
          <w:rFonts w:hint="eastAsia" w:ascii="Times New Roman" w:hAnsi="Times New Roman" w:cs="Times New Roman"/>
          <w:sz w:val="20"/>
          <w:szCs w:val="20"/>
        </w:rPr>
        <w:t xml:space="preserve">; LDL, light-density lipoprotein cholesterol; </w:t>
      </w:r>
      <w:r>
        <w:rPr>
          <w:rFonts w:ascii="Times New Roman" w:hAnsi="Times New Roman" w:cs="Times New Roman"/>
          <w:sz w:val="20"/>
          <w:szCs w:val="20"/>
        </w:rPr>
        <w:t>BMI, body mass index.</w:t>
      </w:r>
    </w:p>
    <w:p w14:paraId="0F1C0AB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0"/>
          <w:szCs w:val="20"/>
          <w:lang w:val="en-US"/>
        </w:rPr>
      </w:pPr>
    </w:p>
    <w:p w14:paraId="3CF575E2">
      <w:pPr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 w14:paraId="1EEF3217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</w:p>
    <w:p w14:paraId="3CD1A7B3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</w:p>
    <w:p w14:paraId="5AD20408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</w:p>
    <w:p w14:paraId="5FD2F7AE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</w:p>
    <w:p w14:paraId="1CFFA224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</w:p>
    <w:p w14:paraId="4E9CB8F3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</w:p>
    <w:p w14:paraId="5A7276DC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</w:p>
    <w:p w14:paraId="1A73F33E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</w:p>
    <w:p w14:paraId="34DCFFFF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</w:p>
    <w:p w14:paraId="0A3EFB8E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</w:p>
    <w:p w14:paraId="653B70A6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</w:p>
    <w:p w14:paraId="6C7C8C74"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</w:p>
    <w:p w14:paraId="7AE2B634">
      <w:pPr>
        <w:rPr>
          <w:rFonts w:hint="eastAsia" w:ascii="Times New Roman" w:hAnsi="Times New Roman" w:cs="Times New Roman" w:eastAsiaTheme="minorEastAsia"/>
          <w:b w:val="0"/>
          <w:bCs w:val="0"/>
          <w:kern w:val="2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  <w:drawing>
          <wp:inline distT="0" distB="0" distL="114300" distR="114300">
            <wp:extent cx="5273675" cy="2151380"/>
            <wp:effectExtent l="0" t="0" r="3175" b="1270"/>
            <wp:docPr id="4" name="图片 4" descr="Supplemental 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l Figure 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. Estimates of shrinkage between population and within-sibship models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after controlling for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 with corresponding 95% CIs.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Shrinkage is defined as the % decrease in association between the relevant weighted score and phenotype when comparing the population estimate with the within-sibship estimate. Shrinkage was computed as the ratio of two weighted score association estimates with standard errors derived using leave-one-out jackknifing. </w:t>
      </w:r>
    </w:p>
    <w:p w14:paraId="53554431">
      <w:pPr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 w14:paraId="54243585">
      <w:pPr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 w14:paraId="675E2974">
      <w:pPr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 w14:paraId="4444E920">
      <w:pPr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 w14:paraId="74785ABC">
      <w:pPr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 w14:paraId="64A1D5B4">
      <w:pPr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 w14:paraId="57FCB823">
      <w:pPr>
        <w:rPr>
          <w:rFonts w:hint="eastAsia" w:ascii="Times New Roman" w:hAnsi="Times New Roman" w:cs="Times New Roman"/>
          <w:b/>
          <w:bCs/>
          <w:sz w:val="20"/>
          <w:szCs w:val="20"/>
        </w:rPr>
      </w:pPr>
    </w:p>
    <w:p w14:paraId="7214E203">
      <w:pP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drawing>
          <wp:inline distT="0" distB="0" distL="114300" distR="114300">
            <wp:extent cx="5253990" cy="2159635"/>
            <wp:effectExtent l="0" t="0" r="3810" b="2540"/>
            <wp:docPr id="5" name="图片 5" descr="Supplemental 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mental Figure S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D82A0">
      <w:pPr>
        <w:rPr>
          <w:rFonts w:hint="eastAsia" w:ascii="Times New Roman" w:hAnsi="Times New Roman" w:cs="Times New Roman" w:eastAsiaTheme="minorEastAsia"/>
          <w:b w:val="0"/>
          <w:bCs w:val="0"/>
          <w:kern w:val="2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. Estimates of shrinkage between population and within-sibship models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after controlling for dietary patterns 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with corresponding 95% CIs.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Shrinkage is defined as the % decrease in association between the relevant weighted score and phenotype when comparing the population estimate with the within-sibship estimate. Shrinkage was computed as the ratio of two weighted score association estimates with standard errors derived using leave-one-out jackknifing. </w:t>
      </w:r>
    </w:p>
    <w:p w14:paraId="74EC1140"/>
    <w:p w14:paraId="37F88B26"/>
    <w:p w14:paraId="686E282E"/>
    <w:p w14:paraId="1459A38D"/>
    <w:p w14:paraId="5AB980B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eastAsia" w:ascii="Times New Roman" w:hAnsi="Times New Roman" w:cs="Times New Roman"/>
          <w:lang w:val="en-US" w:eastAsia="zh-CN"/>
        </w:rPr>
        <w:t>S</w:t>
      </w:r>
      <w:r>
        <w:rPr>
          <w:rFonts w:hint="default" w:ascii="Times New Roman" w:hAnsi="Times New Roman" w:cs="Times New Roman"/>
        </w:rPr>
        <w:t>1.Data structure of the analytical design</w:t>
      </w:r>
    </w:p>
    <w:tbl>
      <w:tblPr>
        <w:tblStyle w:val="2"/>
        <w:tblW w:w="8829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3274"/>
        <w:gridCol w:w="1784"/>
        <w:gridCol w:w="2100"/>
      </w:tblGrid>
      <w:tr w14:paraId="1E549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67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AC5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Study design</w:t>
            </w:r>
          </w:p>
        </w:tc>
        <w:tc>
          <w:tcPr>
            <w:tcW w:w="327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D40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offsprings/siblings within each family</w:t>
            </w:r>
          </w:p>
        </w:tc>
        <w:tc>
          <w:tcPr>
            <w:tcW w:w="17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B29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families</w:t>
            </w:r>
          </w:p>
        </w:tc>
        <w:tc>
          <w:tcPr>
            <w:tcW w:w="21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12A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Total number of people</w:t>
            </w:r>
          </w:p>
        </w:tc>
      </w:tr>
      <w:tr w14:paraId="23DC9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671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75E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Trios design</w:t>
            </w:r>
          </w:p>
        </w:tc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33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A0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A3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</w:tr>
      <w:tr w14:paraId="03D9E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67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9E89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4C7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≥2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ACF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588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</w:tr>
      <w:tr w14:paraId="08224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671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CF4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Sibling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design</w:t>
            </w:r>
          </w:p>
        </w:tc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1D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35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AC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</w:tr>
      <w:tr w14:paraId="5BEEE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67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C8C8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DA1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3C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EC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</w:tr>
      <w:tr w14:paraId="02961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67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BDCC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907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&gt;3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49E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596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</w:tr>
    </w:tbl>
    <w:p w14:paraId="62C149E7"/>
    <w:p w14:paraId="31D588E2"/>
    <w:p w14:paraId="74E61B91"/>
    <w:p w14:paraId="5A34189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Table S3.  Intraclass coefficients for siblings and parent-offspring trios</w:t>
      </w:r>
    </w:p>
    <w:tbl>
      <w:tblPr>
        <w:tblStyle w:val="2"/>
        <w:tblpPr w:leftFromText="180" w:rightFromText="180" w:vertAnchor="text" w:horzAnchor="page" w:tblpXSpec="center" w:tblpY="86"/>
        <w:tblOverlap w:val="never"/>
        <w:tblW w:w="111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9"/>
        <w:gridCol w:w="960"/>
        <w:gridCol w:w="1427"/>
        <w:gridCol w:w="1452"/>
        <w:gridCol w:w="746"/>
        <w:gridCol w:w="664"/>
        <w:gridCol w:w="1427"/>
        <w:gridCol w:w="1453"/>
      </w:tblGrid>
      <w:tr w14:paraId="34D2F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98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02C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Design</w:t>
            </w:r>
          </w:p>
        </w:tc>
        <w:tc>
          <w:tcPr>
            <w:tcW w:w="383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6BB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Sibling design</w:t>
            </w:r>
          </w:p>
        </w:tc>
        <w:tc>
          <w:tcPr>
            <w:tcW w:w="74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D44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4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54F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Trios design</w:t>
            </w:r>
          </w:p>
        </w:tc>
      </w:tr>
      <w:tr w14:paraId="2CF8E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9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4253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Phenotype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13B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ICC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6A8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ICC 95% CI L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E85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ICC 95% CI U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745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0E9A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ICC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A8B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ICC 95% CI L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C77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ICC 95% CI U</w:t>
            </w:r>
          </w:p>
        </w:tc>
      </w:tr>
      <w:tr w14:paraId="3EA57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70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8D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C9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0.036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69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FEF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A5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6E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32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0.158</w:t>
            </w:r>
          </w:p>
        </w:tc>
      </w:tr>
      <w:tr w14:paraId="12D4A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91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DA1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E4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A4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0.061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AAE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7D6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63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C4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0.179</w:t>
            </w:r>
          </w:p>
        </w:tc>
      </w:tr>
      <w:tr w14:paraId="7A5D9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45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Fasting blood 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60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0.278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3E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0.187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2F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8C9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85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4B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55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</w:t>
            </w:r>
          </w:p>
        </w:tc>
      </w:tr>
      <w:tr w14:paraId="0A523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2A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Body mass index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5B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3B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57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0.338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511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F0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37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0.163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C6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0.372</w:t>
            </w:r>
          </w:p>
        </w:tc>
      </w:tr>
      <w:tr w14:paraId="2663A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E3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High-density lipoprotein cholesterol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59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0.408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72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0.319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F0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0.491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1AA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01A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0.345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D9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0.235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89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0.456</w:t>
            </w:r>
          </w:p>
        </w:tc>
      </w:tr>
      <w:tr w14:paraId="39FFD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9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288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Light-density lipoprotein cholesterol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ADB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0.426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462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0.346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3CD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0.503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759A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CDA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142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39E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0.083</w:t>
            </w:r>
          </w:p>
        </w:tc>
        <w:tc>
          <w:tcPr>
            <w:tcW w:w="14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0EE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0.297</w:t>
            </w:r>
          </w:p>
        </w:tc>
      </w:tr>
    </w:tbl>
    <w:p w14:paraId="0FA9073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ICC = Intraclass coefficient; CI = Confidence Interval.</w:t>
      </w:r>
    </w:p>
    <w:p w14:paraId="0614CCE7"/>
    <w:p w14:paraId="1B28E1DE"/>
    <w:p w14:paraId="7E4C7D8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Table S1</w:t>
      </w:r>
      <w:r>
        <w:rPr>
          <w:rFonts w:hint="eastAsia" w:ascii="Times New Roman" w:hAns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</w:rPr>
        <w:t>. Wilcoxon test comparing SNP estimates distribution</w:t>
      </w:r>
    </w:p>
    <w:tbl>
      <w:tblPr>
        <w:tblStyle w:val="2"/>
        <w:tblW w:w="100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9"/>
        <w:gridCol w:w="1964"/>
        <w:gridCol w:w="1111"/>
        <w:gridCol w:w="222"/>
        <w:gridCol w:w="2774"/>
        <w:gridCol w:w="1568"/>
      </w:tblGrid>
      <w:tr w14:paraId="0BDD3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243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E44C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Phenotype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EE8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Population-based model vs Within-sibship model</w:t>
            </w: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D95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4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0C62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Population-based model controlling for dietary patterns vs Within-sibship model</w:t>
            </w:r>
          </w:p>
        </w:tc>
      </w:tr>
      <w:tr w14:paraId="72E08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3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58F5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ED9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CECF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FAC0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imSun" w:cs="Times New Roman"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703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842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imSun" w:cs="Times New Roman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</w:tr>
      <w:tr w14:paraId="1F5F3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21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2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A58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5.49E+12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E9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00C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79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5.49E+12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A3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&lt;0.01</w:t>
            </w:r>
          </w:p>
        </w:tc>
      </w:tr>
      <w:tr w14:paraId="15730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DC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09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5.33E+12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48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14B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64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5.26E+12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F7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&lt;0.01</w:t>
            </w:r>
          </w:p>
        </w:tc>
      </w:tr>
      <w:tr w14:paraId="387EA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0F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Fasting blood glucose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AD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2.16E+13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CF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729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EE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2.15E+13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86D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&lt;0.01</w:t>
            </w:r>
          </w:p>
        </w:tc>
      </w:tr>
      <w:tr w14:paraId="0C890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9C1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High-density lipoprotein cholesterol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B5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5.50E+12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6C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FD6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A2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5.47E+12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28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&lt;0.01</w:t>
            </w:r>
          </w:p>
        </w:tc>
      </w:tr>
      <w:tr w14:paraId="2F5FF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F9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Light-density lipoprotein cholesterol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195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5.4935E+12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48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4CE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C7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5.4563E+12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7EF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&lt;0.01</w:t>
            </w:r>
          </w:p>
        </w:tc>
      </w:tr>
      <w:tr w14:paraId="5FAF2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C84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Body mass index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090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5.45E+12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378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0612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A6D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5.45E+12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47AB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&lt;0.01</w:t>
            </w:r>
          </w:p>
        </w:tc>
      </w:tr>
    </w:tbl>
    <w:p w14:paraId="735C8B02"/>
    <w:p w14:paraId="1B12734A"/>
    <w:p w14:paraId="414A01EC"/>
    <w:p w14:paraId="298E9E2B"/>
    <w:p w14:paraId="48FC077D"/>
    <w:p w14:paraId="49455337"/>
    <w:p w14:paraId="6DF2486D"/>
    <w:p w14:paraId="5CA32836"/>
    <w:p w14:paraId="6807DAA2"/>
    <w:p w14:paraId="7D43F92B"/>
    <w:p w14:paraId="3F6CEF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639198"/>
    <w:multiLevelType w:val="singleLevel"/>
    <w:tmpl w:val="7E639198"/>
    <w:lvl w:ilvl="0" w:tentative="0">
      <w:start w:val="1"/>
      <w:numFmt w:val="lowerLetter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hZTZlNzc5Y2UxM2U3ZThhMDIzZTA1ZjQ2NGMzZjIifQ=="/>
  </w:docVars>
  <w:rsids>
    <w:rsidRoot w:val="3BD44F31"/>
    <w:rsid w:val="02481349"/>
    <w:rsid w:val="058529E7"/>
    <w:rsid w:val="06A274B0"/>
    <w:rsid w:val="073C40D7"/>
    <w:rsid w:val="086B33C2"/>
    <w:rsid w:val="09F12202"/>
    <w:rsid w:val="0A790B64"/>
    <w:rsid w:val="0AE42E30"/>
    <w:rsid w:val="0F2379E6"/>
    <w:rsid w:val="16315A79"/>
    <w:rsid w:val="184C42CD"/>
    <w:rsid w:val="1FD90595"/>
    <w:rsid w:val="2CD566FA"/>
    <w:rsid w:val="345C0152"/>
    <w:rsid w:val="34747F0C"/>
    <w:rsid w:val="3770092A"/>
    <w:rsid w:val="37884128"/>
    <w:rsid w:val="3B64380F"/>
    <w:rsid w:val="3BD44F31"/>
    <w:rsid w:val="3BF868F0"/>
    <w:rsid w:val="3C681DB0"/>
    <w:rsid w:val="3E0713D5"/>
    <w:rsid w:val="40A97355"/>
    <w:rsid w:val="4C9C3078"/>
    <w:rsid w:val="4D792A2A"/>
    <w:rsid w:val="4F56438A"/>
    <w:rsid w:val="4F8C5B07"/>
    <w:rsid w:val="4FEE03A0"/>
    <w:rsid w:val="51063212"/>
    <w:rsid w:val="51F8095C"/>
    <w:rsid w:val="52BB083C"/>
    <w:rsid w:val="53AE4343"/>
    <w:rsid w:val="58302015"/>
    <w:rsid w:val="58AE6D17"/>
    <w:rsid w:val="5AF44393"/>
    <w:rsid w:val="61F3704E"/>
    <w:rsid w:val="637F3E60"/>
    <w:rsid w:val="642E73B7"/>
    <w:rsid w:val="66864AC5"/>
    <w:rsid w:val="6F62496B"/>
    <w:rsid w:val="6FF00D24"/>
    <w:rsid w:val="75A52A20"/>
    <w:rsid w:val="77FC0C7C"/>
    <w:rsid w:val="7A0D5EC0"/>
    <w:rsid w:val="7D1C5825"/>
    <w:rsid w:val="7DBC288E"/>
    <w:rsid w:val="7F28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557</Words>
  <Characters>3409</Characters>
  <Lines>0</Lines>
  <Paragraphs>0</Paragraphs>
  <TotalTime>1</TotalTime>
  <ScaleCrop>false</ScaleCrop>
  <LinksUpToDate>false</LinksUpToDate>
  <CharactersWithSpaces>3840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2024-09-20T06:00:00Z</dcterms:created>
  <dc:creator>Han Xiao</dc:creator>
  <cp:lastModifiedBy>Han Xiao</cp:lastModifiedBy>
  <dcterms:modified xsi:type="dcterms:W3CDTF">2025-08-05T08:34:49Z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E71D2DFA09174678B86F42D81AD75E30_11</vt:lpwstr>
  </property>
  <property fmtid="{D5CDD505-2E9C-101B-9397-08002B2CF9AE}" pid="4" name="KSOTemplateDocerSaveRecord">
    <vt:lpwstr>eyJoZGlkIjoiZDZjOTkwNTQ1MWE3ODkxYWMwZGQ3MTkxNzE2ZTNhMzciLCJ1c2VySWQiOiIzMTc3MDk2MjIifQ==</vt:lpwstr>
  </property>
</Properties>
</file>