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6BC" w:rsidRDefault="002776BC" w:rsidP="002776BC">
      <w:pPr>
        <w:spacing w:beforeLines="50" w:before="120" w:afterLines="50" w:after="120" w:line="276" w:lineRule="auto"/>
        <w:rPr>
          <w:rFonts w:ascii="Times New Roman" w:hAnsi="Times New Roman" w:cs="Times New Roman"/>
          <w:b/>
          <w:bCs/>
        </w:rPr>
      </w:pPr>
      <w:r>
        <w:rPr>
          <w:rFonts w:ascii="Times New Roman" w:hAnsi="Times New Roman" w:cs="Times New Roman"/>
          <w:b/>
          <w:bCs/>
        </w:rPr>
        <w:t>Supplementary</w:t>
      </w:r>
      <w:r>
        <w:rPr>
          <w:rFonts w:ascii="Times New Roman" w:hAnsi="Times New Roman" w:cs="Times New Roman"/>
          <w:b/>
          <w:bCs/>
          <w:lang w:val="en-US" w:eastAsia="zh-CN"/>
        </w:rPr>
        <w:t xml:space="preserve"> Materials</w:t>
      </w:r>
    </w:p>
    <w:p w:rsidR="002776BC" w:rsidRDefault="002776BC" w:rsidP="002776BC">
      <w:pPr>
        <w:spacing w:beforeLines="50" w:before="120" w:afterLines="50" w:after="120" w:line="276" w:lineRule="auto"/>
        <w:rPr>
          <w:rFonts w:ascii="Times New Roman" w:hAnsi="Times New Roman" w:cs="Times New Roman"/>
          <w:b/>
          <w:bCs/>
          <w:color w:val="000000"/>
          <w:lang w:bidi="ar"/>
        </w:rPr>
      </w:pPr>
      <w:r>
        <w:rPr>
          <w:rFonts w:ascii="Times New Roman" w:hAnsi="Times New Roman" w:cs="Times New Roman"/>
          <w:b/>
          <w:bCs/>
        </w:rPr>
        <w:t>Supplementary</w:t>
      </w:r>
      <w:r>
        <w:rPr>
          <w:rFonts w:ascii="Times New Roman" w:hAnsi="Times New Roman" w:cs="Times New Roman"/>
          <w:b/>
          <w:bCs/>
          <w:lang w:val="en-US" w:eastAsia="zh-CN"/>
        </w:rPr>
        <w:t xml:space="preserve"> Figure</w:t>
      </w:r>
    </w:p>
    <w:p w:rsidR="00732297" w:rsidRDefault="00732297" w:rsidP="002A0D59">
      <w:pPr>
        <w:spacing w:line="276" w:lineRule="auto"/>
        <w:ind w:left="108"/>
      </w:pPr>
      <w:r>
        <w:rPr>
          <w:noProof/>
          <w:lang w:eastAsia="en-IN" w:bidi="he-IL"/>
        </w:rPr>
        <w:drawing>
          <wp:inline distT="0" distB="0" distL="114300" distR="114300" wp14:anchorId="515107A3" wp14:editId="2C9EEA68">
            <wp:extent cx="5273040" cy="5708650"/>
            <wp:effectExtent l="0" t="0" r="3810" b="6350"/>
            <wp:docPr id="3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pic:cNvPicPr>
                      <a:picLocks noChangeAspect="1"/>
                    </pic:cNvPicPr>
                  </pic:nvPicPr>
                  <pic:blipFill>
                    <a:blip r:embed="rId4"/>
                    <a:stretch>
                      <a:fillRect/>
                    </a:stretch>
                  </pic:blipFill>
                  <pic:spPr>
                    <a:xfrm>
                      <a:off x="0" y="0"/>
                      <a:ext cx="5273040" cy="5708650"/>
                    </a:xfrm>
                    <a:prstGeom prst="rect">
                      <a:avLst/>
                    </a:prstGeom>
                    <a:noFill/>
                    <a:ln>
                      <a:noFill/>
                    </a:ln>
                  </pic:spPr>
                </pic:pic>
              </a:graphicData>
            </a:graphic>
          </wp:inline>
        </w:drawing>
      </w:r>
    </w:p>
    <w:p w:rsidR="00732297" w:rsidRDefault="00732297" w:rsidP="002A0D59">
      <w:pPr>
        <w:spacing w:line="276" w:lineRule="auto"/>
        <w:ind w:left="108"/>
      </w:pPr>
      <w:r>
        <w:rPr>
          <w:b/>
          <w:bCs/>
        </w:rPr>
        <w:t>Supplementary</w:t>
      </w:r>
      <w:r>
        <w:rPr>
          <w:b/>
          <w:bCs/>
          <w:lang w:val="en-US" w:eastAsia="zh-CN"/>
        </w:rPr>
        <w:t xml:space="preserve"> Figure </w:t>
      </w:r>
      <w:r>
        <w:rPr>
          <w:rFonts w:hint="eastAsia"/>
          <w:b/>
          <w:bCs/>
          <w:lang w:val="en-US" w:eastAsia="zh-CN"/>
        </w:rPr>
        <w:t>1</w:t>
      </w:r>
      <w:r>
        <w:rPr>
          <w:b/>
          <w:bCs/>
          <w:lang w:val="en-US" w:eastAsia="zh-CN"/>
        </w:rPr>
        <w:t xml:space="preserve"> </w:t>
      </w:r>
      <w:r>
        <w:rPr>
          <w:b/>
          <w:bCs/>
          <w:color w:val="000000"/>
          <w:lang w:val="en-US" w:eastAsia="zh-CN" w:bidi="ar"/>
        </w:rPr>
        <w:t>.</w:t>
      </w:r>
      <w:r>
        <w:rPr>
          <w:rFonts w:hint="eastAsia"/>
          <w:b/>
          <w:bCs/>
          <w:color w:val="000000"/>
          <w:lang w:val="en-US" w:eastAsia="zh-CN" w:bidi="ar"/>
        </w:rPr>
        <w:t xml:space="preserve"> Sanger sequencing validation of the </w:t>
      </w:r>
      <w:r>
        <w:rPr>
          <w:rFonts w:hint="eastAsia"/>
          <w:b/>
          <w:bCs/>
          <w:i/>
          <w:iCs/>
          <w:color w:val="000000"/>
          <w:lang w:val="en-US" w:eastAsia="zh-CN" w:bidi="ar"/>
        </w:rPr>
        <w:t>SLC12A3</w:t>
      </w:r>
      <w:r>
        <w:rPr>
          <w:rFonts w:hint="eastAsia"/>
          <w:b/>
          <w:bCs/>
          <w:color w:val="000000"/>
          <w:lang w:val="en-US" w:eastAsia="zh-CN" w:bidi="ar"/>
        </w:rPr>
        <w:t xml:space="preserve"> gene at the amino acid position 421 locus in wild-type controls. </w:t>
      </w:r>
      <w:r>
        <w:rPr>
          <w:rFonts w:hint="eastAsia"/>
          <w:color w:val="000000"/>
          <w:lang w:val="en-US" w:eastAsia="zh-CN" w:bidi="ar"/>
        </w:rPr>
        <w:t>Sequencing chromatograms of the SLC12A3 gene from peripheral blood samples of ten wild-type control individuals. The arrow indicates the nucleotide at position c.1261 (corresponding to amino acid position 421), which is homozygous for the reference guanine (G) base, encoding a cysteine (</w:t>
      </w:r>
      <w:proofErr w:type="spellStart"/>
      <w:r>
        <w:rPr>
          <w:rFonts w:hint="eastAsia"/>
          <w:color w:val="000000"/>
          <w:lang w:val="en-US" w:eastAsia="zh-CN" w:bidi="ar"/>
        </w:rPr>
        <w:t>Cys</w:t>
      </w:r>
      <w:proofErr w:type="spellEnd"/>
      <w:r>
        <w:rPr>
          <w:rFonts w:hint="eastAsia"/>
          <w:color w:val="000000"/>
          <w:lang w:val="en-US" w:eastAsia="zh-CN" w:bidi="ar"/>
        </w:rPr>
        <w:t>).</w:t>
      </w:r>
    </w:p>
    <w:p w:rsidR="00732297" w:rsidRDefault="00D220F8" w:rsidP="002A0D59">
      <w:pPr>
        <w:spacing w:line="276" w:lineRule="auto"/>
        <w:ind w:left="108"/>
      </w:pPr>
      <w:r>
        <w:rPr>
          <w:noProof/>
          <w:lang w:eastAsia="en-IN" w:bidi="he-IL"/>
        </w:rPr>
        <w:drawing>
          <wp:inline distT="0" distB="0" distL="114300" distR="114300" wp14:anchorId="7C8E9CF8" wp14:editId="0628DA6C">
            <wp:extent cx="5272405" cy="5371465"/>
            <wp:effectExtent l="0" t="0" r="4445" b="63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5"/>
                    <a:stretch>
                      <a:fillRect/>
                    </a:stretch>
                  </pic:blipFill>
                  <pic:spPr>
                    <a:xfrm>
                      <a:off x="0" y="0"/>
                      <a:ext cx="5272405" cy="5371465"/>
                    </a:xfrm>
                    <a:prstGeom prst="rect">
                      <a:avLst/>
                    </a:prstGeom>
                    <a:noFill/>
                    <a:ln>
                      <a:noFill/>
                    </a:ln>
                  </pic:spPr>
                </pic:pic>
              </a:graphicData>
            </a:graphic>
          </wp:inline>
        </w:drawing>
      </w:r>
    </w:p>
    <w:p w:rsidR="00732297" w:rsidRDefault="00732297" w:rsidP="002A0D59">
      <w:pPr>
        <w:spacing w:line="276" w:lineRule="auto"/>
        <w:ind w:left="108"/>
        <w:rPr>
          <w:color w:val="000000"/>
          <w:lang w:bidi="ar"/>
        </w:rPr>
      </w:pPr>
      <w:r>
        <w:rPr>
          <w:b/>
          <w:bCs/>
        </w:rPr>
        <w:t>Supplementary</w:t>
      </w:r>
      <w:r>
        <w:rPr>
          <w:b/>
          <w:bCs/>
          <w:lang w:val="en-US" w:eastAsia="zh-CN"/>
        </w:rPr>
        <w:t xml:space="preserve"> Figure </w:t>
      </w:r>
      <w:r>
        <w:rPr>
          <w:rFonts w:hint="eastAsia"/>
          <w:b/>
          <w:bCs/>
          <w:lang w:val="en-US" w:eastAsia="zh-CN"/>
        </w:rPr>
        <w:t>2</w:t>
      </w:r>
      <w:r>
        <w:rPr>
          <w:b/>
          <w:bCs/>
          <w:lang w:val="en-US" w:eastAsia="zh-CN"/>
        </w:rPr>
        <w:t xml:space="preserve"> </w:t>
      </w:r>
      <w:r>
        <w:rPr>
          <w:b/>
          <w:bCs/>
          <w:color w:val="000000"/>
          <w:lang w:val="en-US" w:eastAsia="zh-CN" w:bidi="ar"/>
        </w:rPr>
        <w:t>.</w:t>
      </w:r>
      <w:r>
        <w:rPr>
          <w:rFonts w:hint="eastAsia"/>
          <w:b/>
          <w:bCs/>
          <w:color w:val="000000"/>
          <w:lang w:val="en-US" w:eastAsia="zh-CN" w:bidi="ar"/>
        </w:rPr>
        <w:t xml:space="preserve"> Sanger sequencing validation of the </w:t>
      </w:r>
      <w:r>
        <w:rPr>
          <w:rFonts w:hint="eastAsia"/>
          <w:b/>
          <w:bCs/>
          <w:i/>
          <w:iCs/>
          <w:color w:val="000000"/>
          <w:lang w:val="en-US" w:eastAsia="zh-CN" w:bidi="ar"/>
        </w:rPr>
        <w:t>SLC12A3</w:t>
      </w:r>
      <w:r>
        <w:rPr>
          <w:rFonts w:hint="eastAsia"/>
          <w:b/>
          <w:bCs/>
          <w:color w:val="000000"/>
          <w:lang w:val="en-US" w:eastAsia="zh-CN" w:bidi="ar"/>
        </w:rPr>
        <w:t xml:space="preserve"> gene at the p.C421F locus in </w:t>
      </w:r>
      <w:proofErr w:type="spellStart"/>
      <w:r>
        <w:rPr>
          <w:rFonts w:hint="eastAsia"/>
          <w:b/>
          <w:bCs/>
          <w:color w:val="000000"/>
          <w:lang w:val="en-US" w:eastAsia="zh-CN" w:bidi="ar"/>
        </w:rPr>
        <w:t>Gitelman</w:t>
      </w:r>
      <w:proofErr w:type="spellEnd"/>
      <w:r>
        <w:rPr>
          <w:rFonts w:hint="eastAsia"/>
          <w:b/>
          <w:bCs/>
          <w:color w:val="000000"/>
          <w:lang w:val="en-US" w:eastAsia="zh-CN" w:bidi="ar"/>
        </w:rPr>
        <w:t xml:space="preserve"> syndrome patients. </w:t>
      </w:r>
      <w:r>
        <w:rPr>
          <w:rFonts w:hint="eastAsia"/>
          <w:color w:val="000000"/>
          <w:lang w:val="en-US" w:eastAsia="zh-CN" w:bidi="ar"/>
        </w:rPr>
        <w:t xml:space="preserve">Sequencing chromatograms of the S12A3 gene from peripheral blood samples of ten </w:t>
      </w:r>
      <w:proofErr w:type="spellStart"/>
      <w:r>
        <w:rPr>
          <w:rFonts w:hint="eastAsia"/>
          <w:color w:val="000000"/>
          <w:lang w:val="en-US" w:eastAsia="zh-CN" w:bidi="ar"/>
        </w:rPr>
        <w:t>Gitelman</w:t>
      </w:r>
      <w:proofErr w:type="spellEnd"/>
      <w:r>
        <w:rPr>
          <w:rFonts w:hint="eastAsia"/>
          <w:color w:val="000000"/>
          <w:lang w:val="en-US" w:eastAsia="zh-CN" w:bidi="ar"/>
        </w:rPr>
        <w:t xml:space="preserve"> syndrome (GS) patients. The arrow indicates the same nucleotide position (c.1261), which is homozygous for a thymine (T) base, resulting in a missense mutation that substitutes cysteine with phenylalanine (p.C421F). A homozygous genotype at this locus is indicated by the clear, single peaks observed in the chromatograms for all samples in both the control (Supplementary Figure 1) and patient groups.</w:t>
      </w:r>
      <w:r>
        <w:rPr>
          <w:noProof/>
          <w:lang w:eastAsia="en-IN" w:bidi="he-IL"/>
        </w:rPr>
        <w:drawing>
          <wp:inline distT="0" distB="0" distL="114300" distR="114300" wp14:anchorId="42CE17C6" wp14:editId="7772D90C">
            <wp:extent cx="635" cy="0"/>
            <wp:effectExtent l="0" t="0" r="0" b="0"/>
            <wp:docPr id="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pic:cNvPicPr>
                      <a:picLocks noChangeAspect="1"/>
                    </pic:cNvPicPr>
                  </pic:nvPicPr>
                  <pic:blipFill>
                    <a:blip r:embed="rId6"/>
                    <a:stretch>
                      <a:fillRect/>
                    </a:stretch>
                  </pic:blipFill>
                  <pic:spPr>
                    <a:xfrm>
                      <a:off x="0" y="0"/>
                      <a:ext cx="635" cy="0"/>
                    </a:xfrm>
                    <a:prstGeom prst="rect">
                      <a:avLst/>
                    </a:prstGeom>
                    <a:noFill/>
                    <a:ln>
                      <a:noFill/>
                    </a:ln>
                  </pic:spPr>
                </pic:pic>
              </a:graphicData>
            </a:graphic>
          </wp:inline>
        </w:drawing>
      </w:r>
    </w:p>
    <w:p w:rsidR="00732297" w:rsidRDefault="00D220F8" w:rsidP="002A0D59">
      <w:pPr>
        <w:spacing w:line="276" w:lineRule="auto"/>
        <w:ind w:left="108"/>
      </w:pPr>
      <w:r>
        <w:rPr>
          <w:noProof/>
          <w:lang w:eastAsia="en-IN" w:bidi="he-IL"/>
        </w:rPr>
        <w:drawing>
          <wp:inline distT="0" distB="0" distL="114300" distR="114300" wp14:anchorId="0CF86EA1" wp14:editId="31B8DB89">
            <wp:extent cx="5271135" cy="1751965"/>
            <wp:effectExtent l="0" t="0" r="5715" b="63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7"/>
                    <a:stretch>
                      <a:fillRect/>
                    </a:stretch>
                  </pic:blipFill>
                  <pic:spPr>
                    <a:xfrm>
                      <a:off x="0" y="0"/>
                      <a:ext cx="5271135" cy="1751965"/>
                    </a:xfrm>
                    <a:prstGeom prst="rect">
                      <a:avLst/>
                    </a:prstGeom>
                    <a:noFill/>
                    <a:ln>
                      <a:noFill/>
                    </a:ln>
                  </pic:spPr>
                </pic:pic>
              </a:graphicData>
            </a:graphic>
          </wp:inline>
        </w:drawing>
      </w:r>
    </w:p>
    <w:p w:rsidR="00732297" w:rsidRDefault="00732297" w:rsidP="002A0D59">
      <w:pPr>
        <w:spacing w:line="276" w:lineRule="auto"/>
        <w:ind w:left="108"/>
        <w:rPr>
          <w:b/>
          <w:bCs/>
        </w:rPr>
      </w:pPr>
      <w:r>
        <w:rPr>
          <w:b/>
          <w:bCs/>
        </w:rPr>
        <w:t>Supplementary</w:t>
      </w:r>
      <w:r>
        <w:rPr>
          <w:rFonts w:hint="eastAsia"/>
          <w:b/>
          <w:bCs/>
          <w:lang w:val="en-US" w:eastAsia="zh-CN"/>
        </w:rPr>
        <w:t xml:space="preserve"> </w:t>
      </w:r>
      <w:r>
        <w:rPr>
          <w:b/>
          <w:bCs/>
          <w:lang w:val="en-US" w:eastAsia="zh-CN"/>
        </w:rPr>
        <w:t xml:space="preserve">Figure </w:t>
      </w:r>
      <w:r>
        <w:rPr>
          <w:rFonts w:hint="eastAsia"/>
          <w:b/>
          <w:bCs/>
          <w:lang w:val="en-US" w:eastAsia="zh-CN"/>
        </w:rPr>
        <w:t>3</w:t>
      </w:r>
      <w:r>
        <w:rPr>
          <w:b/>
          <w:bCs/>
          <w:lang w:val="en-US" w:eastAsia="zh-CN"/>
        </w:rPr>
        <w:t xml:space="preserve"> </w:t>
      </w:r>
      <w:r>
        <w:rPr>
          <w:b/>
          <w:bCs/>
          <w:color w:val="000000"/>
          <w:lang w:val="en-US" w:eastAsia="zh-CN" w:bidi="ar"/>
        </w:rPr>
        <w:t>.</w:t>
      </w:r>
      <w:r>
        <w:rPr>
          <w:rFonts w:hint="eastAsia"/>
          <w:b/>
          <w:bCs/>
          <w:color w:val="000000"/>
          <w:lang w:val="en-US" w:eastAsia="zh-CN" w:bidi="ar"/>
        </w:rPr>
        <w:t xml:space="preserve"> Schematic of the </w:t>
      </w:r>
      <w:r>
        <w:rPr>
          <w:rFonts w:hint="eastAsia"/>
          <w:b/>
          <w:bCs/>
          <w:i/>
          <w:iCs/>
          <w:color w:val="000000"/>
          <w:lang w:val="en-US" w:eastAsia="zh-CN" w:bidi="ar"/>
        </w:rPr>
        <w:t>SLC12A3</w:t>
      </w:r>
      <w:r>
        <w:rPr>
          <w:rFonts w:hint="eastAsia"/>
          <w:b/>
          <w:bCs/>
          <w:color w:val="000000"/>
          <w:lang w:val="en-US" w:eastAsia="zh-CN" w:bidi="ar"/>
        </w:rPr>
        <w:t xml:space="preserve"> p.C421F gene editing strategy. </w:t>
      </w:r>
      <w:r>
        <w:rPr>
          <w:rFonts w:hint="eastAsia"/>
          <w:color w:val="000000"/>
          <w:lang w:val="en-US" w:eastAsia="zh-CN" w:bidi="ar"/>
        </w:rPr>
        <w:t xml:space="preserve">Schematic representation of the wild-type </w:t>
      </w:r>
      <w:r>
        <w:rPr>
          <w:rFonts w:hint="eastAsia"/>
          <w:i/>
          <w:iCs/>
          <w:color w:val="000000"/>
          <w:lang w:val="en-US" w:eastAsia="zh-CN" w:bidi="ar"/>
        </w:rPr>
        <w:t>SLC12A3</w:t>
      </w:r>
      <w:r>
        <w:rPr>
          <w:rFonts w:hint="eastAsia"/>
          <w:color w:val="000000"/>
          <w:lang w:val="en-US" w:eastAsia="zh-CN" w:bidi="ar"/>
        </w:rPr>
        <w:t xml:space="preserve"> genomic locus, showing the location of the target exon, the gRNA binding site, and the primers (F1 and R1) used for genotyping PCR. The precise codon targeted for mutation (C421) is highlighted. The mutation was introduced using a CRISPR-Cas9 system and a </w:t>
      </w:r>
      <w:proofErr w:type="spellStart"/>
      <w:r>
        <w:rPr>
          <w:rFonts w:hint="eastAsia"/>
          <w:color w:val="000000"/>
          <w:lang w:val="en-US" w:eastAsia="zh-CN" w:bidi="ar"/>
        </w:rPr>
        <w:t>ssODN</w:t>
      </w:r>
      <w:proofErr w:type="spellEnd"/>
      <w:r>
        <w:rPr>
          <w:rFonts w:hint="eastAsia"/>
          <w:color w:val="000000"/>
          <w:lang w:val="en-US" w:eastAsia="zh-CN" w:bidi="ar"/>
        </w:rPr>
        <w:t xml:space="preserve"> template via homology-directed repair. The components of the </w:t>
      </w:r>
      <w:proofErr w:type="spellStart"/>
      <w:r>
        <w:rPr>
          <w:rFonts w:hint="eastAsia"/>
          <w:color w:val="000000"/>
          <w:lang w:val="en-US" w:eastAsia="zh-CN" w:bidi="ar"/>
        </w:rPr>
        <w:t>ssODN</w:t>
      </w:r>
      <w:proofErr w:type="spellEnd"/>
      <w:r>
        <w:rPr>
          <w:rFonts w:hint="eastAsia"/>
          <w:color w:val="000000"/>
          <w:lang w:val="en-US" w:eastAsia="zh-CN" w:bidi="ar"/>
        </w:rPr>
        <w:t>, including the homologous arms and the mutated codon, are depicted.</w:t>
      </w:r>
    </w:p>
    <w:p w:rsidR="00732297" w:rsidRDefault="00D220F8" w:rsidP="002A0D59">
      <w:pPr>
        <w:spacing w:line="276" w:lineRule="auto"/>
        <w:ind w:left="108"/>
        <w:rPr>
          <w:color w:val="000000"/>
          <w:lang w:bidi="ar"/>
        </w:rPr>
      </w:pPr>
      <w:r>
        <w:rPr>
          <w:rFonts w:ascii="Times New Roman" w:hAnsi="Times New Roman" w:cs="Times New Roman"/>
          <w:noProof/>
          <w:lang w:eastAsia="en-IN" w:bidi="he-IL"/>
        </w:rPr>
        <w:drawing>
          <wp:anchor distT="0" distB="0" distL="114300" distR="114300" simplePos="0" relativeHeight="251659264" behindDoc="0" locked="0" layoutInCell="1" allowOverlap="1" wp14:anchorId="12DF9123" wp14:editId="25CFB974">
            <wp:simplePos x="0" y="0"/>
            <wp:positionH relativeFrom="column">
              <wp:posOffset>0</wp:posOffset>
            </wp:positionH>
            <wp:positionV relativeFrom="paragraph">
              <wp:posOffset>-19864705</wp:posOffset>
            </wp:positionV>
            <wp:extent cx="1337945" cy="3305175"/>
            <wp:effectExtent l="0" t="0" r="508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1337945" cy="3305175"/>
                    </a:xfrm>
                    <a:prstGeom prst="rect">
                      <a:avLst/>
                    </a:prstGeom>
                    <a:noFill/>
                    <a:ln>
                      <a:noFill/>
                    </a:ln>
                  </pic:spPr>
                </pic:pic>
              </a:graphicData>
            </a:graphic>
          </wp:anchor>
        </w:drawing>
      </w:r>
    </w:p>
    <w:p w:rsidR="00732297" w:rsidRDefault="00732297" w:rsidP="002A0D59">
      <w:pPr>
        <w:spacing w:line="276" w:lineRule="auto"/>
        <w:ind w:left="108"/>
        <w:rPr>
          <w:color w:val="000000"/>
          <w:lang w:bidi="ar"/>
        </w:rPr>
      </w:pPr>
      <w:r>
        <w:rPr>
          <w:b/>
          <w:bCs/>
        </w:rPr>
        <w:t>Supplementary</w:t>
      </w:r>
      <w:r>
        <w:rPr>
          <w:rFonts w:hint="eastAsia"/>
          <w:b/>
          <w:bCs/>
          <w:lang w:val="en-US" w:eastAsia="zh-CN"/>
        </w:rPr>
        <w:t xml:space="preserve"> </w:t>
      </w:r>
      <w:r>
        <w:rPr>
          <w:b/>
          <w:bCs/>
          <w:lang w:val="en-US" w:eastAsia="zh-CN"/>
        </w:rPr>
        <w:t xml:space="preserve">Figure </w:t>
      </w:r>
      <w:r>
        <w:rPr>
          <w:rFonts w:hint="eastAsia"/>
          <w:b/>
          <w:bCs/>
          <w:lang w:val="en-US" w:eastAsia="zh-CN"/>
        </w:rPr>
        <w:t>4</w:t>
      </w:r>
      <w:r>
        <w:rPr>
          <w:b/>
          <w:bCs/>
          <w:lang w:val="en-US" w:eastAsia="zh-CN"/>
        </w:rPr>
        <w:t xml:space="preserve"> </w:t>
      </w:r>
      <w:r>
        <w:rPr>
          <w:b/>
          <w:bCs/>
          <w:color w:val="000000"/>
          <w:lang w:val="en-US" w:eastAsia="zh-CN" w:bidi="ar"/>
        </w:rPr>
        <w:t>.</w:t>
      </w:r>
      <w:r>
        <w:rPr>
          <w:rFonts w:hint="eastAsia"/>
          <w:b/>
          <w:bCs/>
          <w:color w:val="000000"/>
          <w:lang w:val="en-US" w:eastAsia="zh-CN" w:bidi="ar"/>
        </w:rPr>
        <w:t xml:space="preserve"> </w:t>
      </w:r>
      <w:r>
        <w:rPr>
          <w:b/>
          <w:bCs/>
          <w:color w:val="000000"/>
          <w:lang w:val="en-US" w:eastAsia="zh-CN" w:bidi="ar"/>
        </w:rPr>
        <w:t>Genotyping of 293T cell lines by agarose gel electrophoresis of PCR products</w:t>
      </w:r>
      <w:r>
        <w:rPr>
          <w:rFonts w:hint="eastAsia"/>
          <w:b/>
          <w:bCs/>
          <w:color w:val="000000"/>
          <w:lang w:val="en-US" w:eastAsia="zh-CN" w:bidi="ar"/>
        </w:rPr>
        <w:t xml:space="preserve">. </w:t>
      </w:r>
      <w:r>
        <w:rPr>
          <w:rFonts w:hint="eastAsia"/>
          <w:color w:val="000000"/>
          <w:lang w:val="en-US" w:eastAsia="zh-CN" w:bidi="ar"/>
        </w:rPr>
        <w:t xml:space="preserve">Lane 1: </w:t>
      </w:r>
      <w:r>
        <w:rPr>
          <w:rFonts w:hint="eastAsia"/>
          <w:i/>
          <w:iCs/>
          <w:color w:val="000000"/>
          <w:lang w:val="en-US" w:eastAsia="zh-CN" w:bidi="ar"/>
        </w:rPr>
        <w:t>SLC12A3</w:t>
      </w:r>
      <w:r>
        <w:rPr>
          <w:rFonts w:hint="eastAsia"/>
          <w:color w:val="000000"/>
          <w:lang w:val="en-US" w:eastAsia="zh-CN" w:bidi="ar"/>
        </w:rPr>
        <w:t xml:space="preserve"> p.C421F homozygous mutant cell line. Lane 2: </w:t>
      </w:r>
      <w:r>
        <w:rPr>
          <w:rFonts w:hint="eastAsia"/>
          <w:i/>
          <w:iCs/>
          <w:color w:val="000000"/>
          <w:lang w:val="en-US" w:eastAsia="zh-CN" w:bidi="ar"/>
        </w:rPr>
        <w:t>SLC12A3</w:t>
      </w:r>
      <w:r>
        <w:rPr>
          <w:rFonts w:hint="eastAsia"/>
          <w:color w:val="000000"/>
          <w:lang w:val="en-US" w:eastAsia="zh-CN" w:bidi="ar"/>
        </w:rPr>
        <w:t xml:space="preserve"> p.C421F heterozygous mutant cell line (not used for the experimental studies and results presented in this paper). Lane 3: Wild-type 293T cell line. The expected fragment size for the amplified region is 609 </w:t>
      </w:r>
      <w:proofErr w:type="spellStart"/>
      <w:r>
        <w:rPr>
          <w:rFonts w:hint="eastAsia"/>
          <w:color w:val="000000"/>
          <w:lang w:val="en-US" w:eastAsia="zh-CN" w:bidi="ar"/>
        </w:rPr>
        <w:t>bp.</w:t>
      </w:r>
      <w:proofErr w:type="spellEnd"/>
      <w:r>
        <w:rPr>
          <w:rFonts w:hint="eastAsia"/>
          <w:color w:val="000000"/>
          <w:lang w:val="en-US" w:eastAsia="zh-CN" w:bidi="ar"/>
        </w:rPr>
        <w:t xml:space="preserve"> The primers used were F1: 5'-ATCCAGGTCTCCGATCTAAGG-3' and R1: 5'-CCCACAAGTCGGGACTGGA-3'.</w:t>
      </w:r>
    </w:p>
    <w:p w:rsidR="00732297" w:rsidRDefault="00D220F8" w:rsidP="002A0D59">
      <w:pPr>
        <w:spacing w:line="276" w:lineRule="auto"/>
        <w:ind w:left="108"/>
        <w:rPr>
          <w:b/>
          <w:bCs/>
        </w:rPr>
      </w:pPr>
      <w:r>
        <w:rPr>
          <w:rFonts w:ascii="Times New Roman" w:hAnsi="Times New Roman" w:cs="Times New Roman"/>
          <w:noProof/>
          <w:lang w:eastAsia="en-IN" w:bidi="he-IL"/>
        </w:rPr>
        <w:drawing>
          <wp:inline distT="0" distB="0" distL="114300" distR="114300" wp14:anchorId="278056AA" wp14:editId="018977C0">
            <wp:extent cx="5302250" cy="1442085"/>
            <wp:effectExtent l="0" t="0" r="317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302250" cy="1442085"/>
                    </a:xfrm>
                    <a:prstGeom prst="rect">
                      <a:avLst/>
                    </a:prstGeom>
                    <a:noFill/>
                    <a:ln>
                      <a:noFill/>
                    </a:ln>
                  </pic:spPr>
                </pic:pic>
              </a:graphicData>
            </a:graphic>
          </wp:inline>
        </w:drawing>
      </w:r>
    </w:p>
    <w:p w:rsidR="00732297" w:rsidRDefault="00732297" w:rsidP="002A0D59">
      <w:pPr>
        <w:spacing w:line="276" w:lineRule="auto"/>
        <w:ind w:left="108"/>
        <w:rPr>
          <w:b/>
          <w:bCs/>
        </w:rPr>
      </w:pPr>
      <w:r>
        <w:rPr>
          <w:b/>
          <w:bCs/>
        </w:rPr>
        <w:t>Supplementary</w:t>
      </w:r>
      <w:r>
        <w:rPr>
          <w:rFonts w:hint="eastAsia"/>
          <w:b/>
          <w:bCs/>
          <w:lang w:val="en-US" w:eastAsia="zh-CN"/>
        </w:rPr>
        <w:t xml:space="preserve"> </w:t>
      </w:r>
      <w:r>
        <w:rPr>
          <w:b/>
          <w:bCs/>
          <w:color w:val="000000"/>
          <w:lang w:val="en-US" w:eastAsia="zh-CN" w:bidi="ar"/>
        </w:rPr>
        <w:t xml:space="preserve">Figure </w:t>
      </w:r>
      <w:r>
        <w:rPr>
          <w:rFonts w:hint="eastAsia"/>
          <w:b/>
          <w:bCs/>
          <w:color w:val="000000"/>
          <w:lang w:val="en-US" w:eastAsia="zh-CN" w:bidi="ar"/>
        </w:rPr>
        <w:t>5</w:t>
      </w:r>
      <w:r>
        <w:rPr>
          <w:b/>
          <w:bCs/>
          <w:color w:val="000000"/>
          <w:lang w:val="en-US" w:eastAsia="zh-CN" w:bidi="ar"/>
        </w:rPr>
        <w:t xml:space="preserve"> .</w:t>
      </w:r>
      <w:r>
        <w:rPr>
          <w:rFonts w:hint="eastAsia"/>
          <w:b/>
          <w:bCs/>
          <w:color w:val="000000"/>
          <w:lang w:val="en-US" w:eastAsia="zh-CN" w:bidi="ar"/>
        </w:rPr>
        <w:t xml:space="preserve"> </w:t>
      </w:r>
      <w:r>
        <w:rPr>
          <w:b/>
          <w:bCs/>
          <w:color w:val="000000"/>
          <w:lang w:val="en-US" w:eastAsia="zh-CN" w:bidi="ar"/>
        </w:rPr>
        <w:t>Sanger sequencing validation of the homozygous SLC12A3 c.1262G&gt;T (p.C421F) mutation in a clonal 293T cell line.</w:t>
      </w:r>
      <w:r>
        <w:rPr>
          <w:rFonts w:hint="eastAsia"/>
          <w:b/>
          <w:bCs/>
          <w:color w:val="000000"/>
          <w:lang w:val="en-US" w:eastAsia="zh-CN" w:bidi="ar"/>
        </w:rPr>
        <w:t xml:space="preserve"> Chromatogram of the targeted genomic region is shown. </w:t>
      </w:r>
      <w:r>
        <w:rPr>
          <w:rFonts w:hint="eastAsia"/>
          <w:color w:val="000000"/>
          <w:lang w:val="en-US" w:eastAsia="zh-CN" w:bidi="ar"/>
        </w:rPr>
        <w:t xml:space="preserve">The sequence is displayed with uppercase and lowercase letters representing </w:t>
      </w:r>
      <w:proofErr w:type="spellStart"/>
      <w:r>
        <w:rPr>
          <w:rFonts w:hint="eastAsia"/>
          <w:color w:val="000000"/>
          <w:lang w:val="en-US" w:eastAsia="zh-CN" w:bidi="ar"/>
        </w:rPr>
        <w:t>exonic</w:t>
      </w:r>
      <w:proofErr w:type="spellEnd"/>
      <w:r>
        <w:rPr>
          <w:rFonts w:hint="eastAsia"/>
          <w:color w:val="000000"/>
          <w:lang w:val="en-US" w:eastAsia="zh-CN" w:bidi="ar"/>
        </w:rPr>
        <w:t xml:space="preserve"> and </w:t>
      </w:r>
      <w:proofErr w:type="spellStart"/>
      <w:r>
        <w:rPr>
          <w:rFonts w:hint="eastAsia"/>
          <w:color w:val="000000"/>
          <w:lang w:val="en-US" w:eastAsia="zh-CN" w:bidi="ar"/>
        </w:rPr>
        <w:t>intronic</w:t>
      </w:r>
      <w:proofErr w:type="spellEnd"/>
      <w:r>
        <w:rPr>
          <w:rFonts w:hint="eastAsia"/>
          <w:color w:val="000000"/>
          <w:lang w:val="en-US" w:eastAsia="zh-CN" w:bidi="ar"/>
        </w:rPr>
        <w:t xml:space="preserve"> sequences, respectively. The highlighted box indicates the site of the single-nucleotide mutation (c.1262G&gt;T), which results in the amino acid substitution p.C421F (</w:t>
      </w:r>
      <w:proofErr w:type="spellStart"/>
      <w:r>
        <w:rPr>
          <w:rFonts w:hint="eastAsia"/>
          <w:color w:val="000000"/>
          <w:lang w:val="en-US" w:eastAsia="zh-CN" w:bidi="ar"/>
        </w:rPr>
        <w:t>Cys</w:t>
      </w:r>
      <w:proofErr w:type="spellEnd"/>
      <w:r>
        <w:rPr>
          <w:rFonts w:hint="eastAsia"/>
          <w:color w:val="000000"/>
          <w:lang w:val="en-US" w:eastAsia="zh-CN" w:bidi="ar"/>
        </w:rPr>
        <w:t>→</w:t>
      </w:r>
      <w:proofErr w:type="spellStart"/>
      <w:r>
        <w:rPr>
          <w:rFonts w:hint="eastAsia"/>
          <w:color w:val="000000"/>
          <w:lang w:val="en-US" w:eastAsia="zh-CN" w:bidi="ar"/>
        </w:rPr>
        <w:t>Phe</w:t>
      </w:r>
      <w:proofErr w:type="spellEnd"/>
      <w:r>
        <w:rPr>
          <w:rFonts w:hint="eastAsia"/>
          <w:color w:val="000000"/>
          <w:lang w:val="en-US" w:eastAsia="zh-CN" w:bidi="ar"/>
        </w:rPr>
        <w:t xml:space="preserve">). The wild-type nucleotide (G) and the mutated nucleotide (T) are clearly resolved at this position, confirming the successful introduction of the homozygous point mutation. </w:t>
      </w:r>
    </w:p>
    <w:p w:rsidR="002776BC" w:rsidRDefault="002776BC" w:rsidP="002776BC">
      <w:pPr>
        <w:pStyle w:val="NormalWeb"/>
        <w:widowControl/>
        <w:spacing w:line="276" w:lineRule="auto"/>
        <w:jc w:val="both"/>
        <w:rPr>
          <w:rFonts w:ascii="Times New Roman" w:hAnsi="Times New Roman"/>
          <w:sz w:val="22"/>
          <w:szCs w:val="22"/>
        </w:rPr>
      </w:pPr>
      <w:r>
        <w:rPr>
          <w:rFonts w:ascii="Times New Roman" w:hAnsi="Times New Roman"/>
          <w:sz w:val="22"/>
          <w:szCs w:val="22"/>
        </w:rPr>
        <w:t>Supplementary Figure 5</w:t>
      </w:r>
      <w:r>
        <w:rPr>
          <w:rFonts w:ascii="Times New Roman" w:hAnsi="Times New Roman" w:hint="eastAsia"/>
          <w:sz w:val="22"/>
          <w:szCs w:val="22"/>
        </w:rPr>
        <w:t xml:space="preserve"> s</w:t>
      </w:r>
      <w:r>
        <w:rPr>
          <w:rFonts w:ascii="Times New Roman" w:hAnsi="Times New Roman"/>
          <w:sz w:val="22"/>
          <w:szCs w:val="22"/>
        </w:rPr>
        <w:t xml:space="preserve">equence: </w:t>
      </w:r>
    </w:p>
    <w:p w:rsidR="002776BC" w:rsidRDefault="002776BC" w:rsidP="002776BC">
      <w:pPr>
        <w:pStyle w:val="NormalWeb"/>
        <w:widowControl/>
        <w:spacing w:line="276" w:lineRule="auto"/>
        <w:jc w:val="both"/>
        <w:rPr>
          <w:rFonts w:ascii="Times New Roman" w:eastAsia="FangSong_GB2312" w:hAnsi="Times New Roman"/>
          <w:b/>
          <w:bCs/>
          <w:sz w:val="22"/>
          <w:szCs w:val="22"/>
        </w:rPr>
      </w:pPr>
      <w:r>
        <w:rPr>
          <w:rFonts w:ascii="Times New Roman" w:eastAsia="SimSun" w:hAnsi="Times New Roman"/>
          <w:color w:val="000000"/>
          <w:sz w:val="22"/>
          <w:szCs w:val="22"/>
          <w:lang w:bidi="ar"/>
        </w:rPr>
        <w:t>cctctcagGCTCCTGCGTGGTGCGTGATGCCTCTGGGGTCCTGAATGACACAGTGACCCCTGGCTGGGGTGCCTGCGAGGGGCTGGCCT</w:t>
      </w:r>
      <w:r>
        <w:rPr>
          <w:rFonts w:ascii="Times New Roman" w:eastAsia="SimSun" w:hAnsi="Times New Roman"/>
          <w:color w:val="FF0000"/>
          <w:sz w:val="22"/>
          <w:szCs w:val="22"/>
          <w:lang w:bidi="ar"/>
        </w:rPr>
        <w:t>(G→T)</w:t>
      </w:r>
      <w:r>
        <w:rPr>
          <w:rFonts w:ascii="Times New Roman" w:eastAsia="SimSun" w:hAnsi="Times New Roman"/>
          <w:color w:val="000000"/>
          <w:sz w:val="22"/>
          <w:szCs w:val="22"/>
          <w:lang w:bidi="ar"/>
        </w:rPr>
        <w:t xml:space="preserve">CAGCTATGGCTGGAACTTCACCGAGTGCACCCAGCAGCACAGCTGCCACTACGGCCTCATCAACTATTACCAGgtactgccaggagagctgacccaccagacacagtgggggctgggtggaggctgcagggccc. </w:t>
      </w:r>
      <w:proofErr w:type="spellStart"/>
      <w:r>
        <w:rPr>
          <w:rFonts w:ascii="Times New Roman" w:eastAsia="SimSun" w:hAnsi="Times New Roman"/>
          <w:color w:val="000000"/>
          <w:sz w:val="22"/>
          <w:szCs w:val="22"/>
          <w:lang w:bidi="ar"/>
        </w:rPr>
        <w:t>M</w:t>
      </w:r>
      <w:r>
        <w:rPr>
          <w:rFonts w:ascii="Times New Roman" w:hAnsi="Times New Roman"/>
          <w:sz w:val="22"/>
          <w:szCs w:val="22"/>
        </w:rPr>
        <w:t>ut</w:t>
      </w:r>
      <w:proofErr w:type="spellEnd"/>
      <w:r>
        <w:rPr>
          <w:rFonts w:ascii="Times New Roman" w:hAnsi="Times New Roman"/>
          <w:sz w:val="22"/>
          <w:szCs w:val="22"/>
        </w:rPr>
        <w:t xml:space="preserve">: 1 </w:t>
      </w:r>
      <w:proofErr w:type="spellStart"/>
      <w:r>
        <w:rPr>
          <w:rFonts w:ascii="Times New Roman" w:hAnsi="Times New Roman"/>
          <w:sz w:val="22"/>
          <w:szCs w:val="22"/>
        </w:rPr>
        <w:t>bp.</w:t>
      </w:r>
      <w:proofErr w:type="spellEnd"/>
      <w:r>
        <w:rPr>
          <w:rFonts w:ascii="Times New Roman" w:hAnsi="Times New Roman"/>
          <w:sz w:val="22"/>
          <w:szCs w:val="22"/>
        </w:rPr>
        <w:t xml:space="preserve"> </w:t>
      </w:r>
      <w:r>
        <w:rPr>
          <w:rFonts w:ascii="Times New Roman" w:eastAsia="SimSun" w:hAnsi="Times New Roman"/>
          <w:color w:val="000000"/>
          <w:sz w:val="22"/>
          <w:szCs w:val="22"/>
          <w:lang w:bidi="ar"/>
        </w:rPr>
        <w:t>Upper letters refer to the exon sequence while lower letters refer to the intron sequence. (A→B) means the original nucleotide is A and now has been mutated to B.</w:t>
      </w:r>
    </w:p>
    <w:p w:rsidR="00D220F8" w:rsidRDefault="00D220F8" w:rsidP="002A0D59">
      <w:pPr>
        <w:spacing w:line="276" w:lineRule="auto"/>
        <w:ind w:left="108"/>
        <w:rPr>
          <w:b/>
          <w:bCs/>
        </w:rPr>
      </w:pPr>
      <w:r>
        <w:rPr>
          <w:rFonts w:ascii="Times New Roman" w:hAnsi="Times New Roman" w:cs="Times New Roman"/>
          <w:noProof/>
          <w:lang w:eastAsia="en-IN" w:bidi="he-IL"/>
        </w:rPr>
        <w:drawing>
          <wp:inline distT="0" distB="0" distL="114300" distR="114300" wp14:anchorId="0C86A3E8" wp14:editId="244AC0F7">
            <wp:extent cx="3710305" cy="2638425"/>
            <wp:effectExtent l="0" t="0" r="44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3710305" cy="2638425"/>
                    </a:xfrm>
                    <a:prstGeom prst="rect">
                      <a:avLst/>
                    </a:prstGeom>
                    <a:noFill/>
                    <a:ln>
                      <a:noFill/>
                    </a:ln>
                  </pic:spPr>
                </pic:pic>
              </a:graphicData>
            </a:graphic>
          </wp:inline>
        </w:drawing>
      </w:r>
    </w:p>
    <w:p w:rsidR="00D220F8" w:rsidRDefault="00D220F8" w:rsidP="002A0D59">
      <w:pPr>
        <w:spacing w:line="276" w:lineRule="auto"/>
        <w:ind w:left="108"/>
        <w:rPr>
          <w:b/>
          <w:bCs/>
        </w:rPr>
      </w:pPr>
      <w:r>
        <w:rPr>
          <w:b/>
          <w:bCs/>
        </w:rPr>
        <w:t>Supplementary</w:t>
      </w:r>
      <w:r>
        <w:rPr>
          <w:rFonts w:hint="eastAsia"/>
          <w:b/>
          <w:bCs/>
          <w:lang w:val="en-US" w:eastAsia="zh-CN"/>
        </w:rPr>
        <w:t xml:space="preserve"> </w:t>
      </w:r>
      <w:r>
        <w:rPr>
          <w:b/>
          <w:bCs/>
          <w:color w:val="000000"/>
          <w:lang w:val="en-US" w:eastAsia="zh-CN" w:bidi="ar"/>
        </w:rPr>
        <w:t xml:space="preserve">Figure </w:t>
      </w:r>
      <w:r>
        <w:rPr>
          <w:rFonts w:hint="eastAsia"/>
          <w:b/>
          <w:bCs/>
          <w:color w:val="000000"/>
          <w:lang w:val="en-US" w:eastAsia="zh-CN" w:bidi="ar"/>
        </w:rPr>
        <w:t>6</w:t>
      </w:r>
      <w:r>
        <w:rPr>
          <w:b/>
          <w:bCs/>
          <w:color w:val="000000"/>
          <w:lang w:val="en-US" w:eastAsia="zh-CN" w:bidi="ar"/>
        </w:rPr>
        <w:t xml:space="preserve"> .</w:t>
      </w:r>
      <w:r>
        <w:rPr>
          <w:rFonts w:hint="eastAsia"/>
          <w:b/>
          <w:bCs/>
          <w:color w:val="000000"/>
          <w:lang w:val="en-US" w:eastAsia="zh-CN" w:bidi="ar"/>
        </w:rPr>
        <w:t xml:space="preserve"> Representative phase-contrast image of a positive homozygous clone (293T </w:t>
      </w:r>
      <w:r>
        <w:rPr>
          <w:rFonts w:hint="eastAsia"/>
          <w:b/>
          <w:bCs/>
          <w:i/>
          <w:iCs/>
          <w:color w:val="000000"/>
          <w:lang w:val="en-US" w:eastAsia="zh-CN" w:bidi="ar"/>
        </w:rPr>
        <w:t>SLC12A3</w:t>
      </w:r>
      <w:r>
        <w:rPr>
          <w:rFonts w:hint="eastAsia"/>
          <w:b/>
          <w:bCs/>
          <w:color w:val="000000"/>
          <w:lang w:val="en-US" w:eastAsia="zh-CN" w:bidi="ar"/>
        </w:rPr>
        <w:t xml:space="preserve"> p.C421F) at 100X magni</w:t>
      </w:r>
      <w:bookmarkStart w:id="0" w:name="_GoBack"/>
      <w:bookmarkEnd w:id="0"/>
      <w:r>
        <w:rPr>
          <w:rFonts w:hint="eastAsia"/>
          <w:b/>
          <w:bCs/>
          <w:color w:val="000000"/>
          <w:lang w:val="en-US" w:eastAsia="zh-CN" w:bidi="ar"/>
        </w:rPr>
        <w:t>fication.</w:t>
      </w:r>
    </w:p>
    <w:p w:rsidR="002776BC" w:rsidRDefault="002776BC" w:rsidP="002776BC">
      <w:pPr>
        <w:pStyle w:val="NormalWeb"/>
        <w:widowControl/>
        <w:spacing w:line="276" w:lineRule="auto"/>
        <w:jc w:val="both"/>
        <w:rPr>
          <w:rFonts w:ascii="Times New Roman" w:eastAsia="FangSong_GB2312" w:hAnsi="Times New Roman"/>
          <w:b/>
          <w:bCs/>
          <w:sz w:val="22"/>
          <w:szCs w:val="22"/>
        </w:rPr>
      </w:pPr>
      <w:r>
        <w:rPr>
          <w:rFonts w:ascii="Times New Roman" w:eastAsia="FangSong_GB2312" w:hAnsi="Times New Roman" w:hint="eastAsia"/>
          <w:b/>
          <w:bCs/>
          <w:sz w:val="22"/>
          <w:szCs w:val="22"/>
        </w:rPr>
        <w:t>Supplementary Table</w:t>
      </w:r>
    </w:p>
    <w:tbl>
      <w:tblPr>
        <w:tblStyle w:val="TableGrid"/>
        <w:tblW w:w="0" w:type="auto"/>
        <w:tblLayout w:type="fixed"/>
        <w:tblLook w:val="04A0" w:firstRow="1" w:lastRow="0" w:firstColumn="1" w:lastColumn="0" w:noHBand="0" w:noVBand="1"/>
      </w:tblPr>
      <w:tblGrid>
        <w:gridCol w:w="3642"/>
        <w:gridCol w:w="4880"/>
      </w:tblGrid>
      <w:tr w:rsidR="002776BC" w:rsidTr="002A0D59">
        <w:tc>
          <w:tcPr>
            <w:tcW w:w="8522" w:type="dxa"/>
            <w:gridSpan w:val="2"/>
            <w:tcBorders>
              <w:top w:val="nil"/>
              <w:left w:val="nil"/>
              <w:bottom w:val="single" w:sz="4" w:space="0" w:color="auto"/>
              <w:right w:val="nil"/>
            </w:tcBorders>
          </w:tcPr>
          <w:p w:rsidR="002776BC" w:rsidRDefault="002776BC" w:rsidP="002A0D59">
            <w:pPr>
              <w:widowControl/>
              <w:spacing w:line="276" w:lineRule="auto"/>
              <w:rPr>
                <w:b/>
                <w:bCs/>
                <w:color w:val="000000"/>
                <w:sz w:val="22"/>
                <w:szCs w:val="22"/>
                <w:lang w:bidi="ar"/>
              </w:rPr>
            </w:pPr>
            <w:r>
              <w:rPr>
                <w:b/>
                <w:bCs/>
                <w:sz w:val="22"/>
                <w:szCs w:val="22"/>
              </w:rPr>
              <w:t>Supplementary</w:t>
            </w:r>
            <w:r>
              <w:rPr>
                <w:b/>
                <w:bCs/>
                <w:sz w:val="22"/>
                <w:szCs w:val="22"/>
                <w:lang w:val="en-US" w:eastAsia="zh-CN"/>
              </w:rPr>
              <w:t xml:space="preserve"> Table 1. gRNA HDR Design</w:t>
            </w:r>
          </w:p>
        </w:tc>
      </w:tr>
      <w:tr w:rsidR="002776BC" w:rsidTr="002A0D59">
        <w:tc>
          <w:tcPr>
            <w:tcW w:w="3642" w:type="dxa"/>
            <w:tcBorders>
              <w:top w:val="single" w:sz="4" w:space="0" w:color="auto"/>
              <w:left w:val="nil"/>
              <w:bottom w:val="single" w:sz="4" w:space="0" w:color="auto"/>
              <w:right w:val="nil"/>
            </w:tcBorders>
          </w:tcPr>
          <w:p w:rsidR="002776BC" w:rsidRDefault="002776BC" w:rsidP="002A0D59">
            <w:pPr>
              <w:widowControl/>
              <w:spacing w:line="276" w:lineRule="auto"/>
              <w:jc w:val="center"/>
              <w:rPr>
                <w:b/>
                <w:bCs/>
                <w:color w:val="000000"/>
                <w:sz w:val="22"/>
                <w:szCs w:val="22"/>
                <w:lang w:bidi="ar"/>
              </w:rPr>
            </w:pPr>
            <w:r>
              <w:rPr>
                <w:b/>
                <w:bCs/>
                <w:color w:val="000000"/>
                <w:sz w:val="22"/>
                <w:szCs w:val="22"/>
                <w:lang w:val="en-US" w:eastAsia="zh-CN" w:bidi="ar"/>
              </w:rPr>
              <w:t>gRNA &amp; HDR Design Elements</w:t>
            </w:r>
          </w:p>
        </w:tc>
        <w:tc>
          <w:tcPr>
            <w:tcW w:w="4880" w:type="dxa"/>
            <w:tcBorders>
              <w:top w:val="single" w:sz="4" w:space="0" w:color="auto"/>
              <w:left w:val="nil"/>
              <w:bottom w:val="single" w:sz="4" w:space="0" w:color="auto"/>
              <w:right w:val="nil"/>
            </w:tcBorders>
          </w:tcPr>
          <w:p w:rsidR="002776BC" w:rsidRDefault="002776BC" w:rsidP="002A0D59">
            <w:pPr>
              <w:widowControl/>
              <w:spacing w:line="276" w:lineRule="auto"/>
              <w:jc w:val="center"/>
              <w:rPr>
                <w:color w:val="000000"/>
                <w:sz w:val="22"/>
                <w:szCs w:val="22"/>
                <w:lang w:bidi="ar"/>
              </w:rPr>
            </w:pPr>
            <w:r>
              <w:rPr>
                <w:b/>
                <w:bCs/>
                <w:color w:val="000000"/>
                <w:sz w:val="22"/>
                <w:szCs w:val="22"/>
                <w:lang w:val="en-US" w:eastAsia="zh-CN" w:bidi="ar"/>
              </w:rPr>
              <w:t>Sequence</w:t>
            </w:r>
            <w:r>
              <w:rPr>
                <w:rFonts w:hint="eastAsia"/>
                <w:b/>
                <w:bCs/>
                <w:color w:val="000000"/>
                <w:sz w:val="22"/>
                <w:szCs w:val="22"/>
                <w:lang w:val="en-US" w:eastAsia="zh-CN" w:bidi="ar"/>
              </w:rPr>
              <w:t>*</w:t>
            </w:r>
          </w:p>
        </w:tc>
      </w:tr>
      <w:tr w:rsidR="002776BC" w:rsidTr="002A0D59">
        <w:tc>
          <w:tcPr>
            <w:tcW w:w="3642" w:type="dxa"/>
            <w:tcBorders>
              <w:top w:val="single" w:sz="4" w:space="0" w:color="auto"/>
              <w:left w:val="nil"/>
              <w:bottom w:val="nil"/>
              <w:right w:val="nil"/>
            </w:tcBorders>
            <w:vAlign w:val="center"/>
          </w:tcPr>
          <w:p w:rsidR="002776BC" w:rsidRDefault="002776BC" w:rsidP="002A0D59">
            <w:pPr>
              <w:widowControl/>
              <w:spacing w:line="276" w:lineRule="auto"/>
              <w:jc w:val="center"/>
              <w:rPr>
                <w:color w:val="000000"/>
                <w:sz w:val="22"/>
                <w:szCs w:val="22"/>
                <w:lang w:bidi="ar"/>
              </w:rPr>
            </w:pPr>
            <w:r>
              <w:rPr>
                <w:color w:val="000000"/>
                <w:sz w:val="22"/>
                <w:szCs w:val="22"/>
                <w:lang w:val="en-US" w:eastAsia="zh-CN" w:bidi="ar"/>
              </w:rPr>
              <w:t>gRNA1:</w:t>
            </w:r>
          </w:p>
        </w:tc>
        <w:tc>
          <w:tcPr>
            <w:tcW w:w="4880" w:type="dxa"/>
            <w:tcBorders>
              <w:top w:val="single" w:sz="4" w:space="0" w:color="auto"/>
              <w:left w:val="nil"/>
              <w:bottom w:val="nil"/>
              <w:right w:val="nil"/>
            </w:tcBorders>
            <w:vAlign w:val="center"/>
          </w:tcPr>
          <w:p w:rsidR="002776BC" w:rsidRDefault="002776BC" w:rsidP="002A0D59">
            <w:pPr>
              <w:widowControl/>
              <w:spacing w:line="276" w:lineRule="auto"/>
              <w:jc w:val="center"/>
              <w:rPr>
                <w:b/>
                <w:bCs/>
                <w:color w:val="000000"/>
                <w:sz w:val="22"/>
                <w:szCs w:val="22"/>
                <w:lang w:bidi="ar"/>
              </w:rPr>
            </w:pPr>
            <w:r>
              <w:rPr>
                <w:color w:val="000000"/>
                <w:sz w:val="22"/>
                <w:szCs w:val="22"/>
                <w:lang w:val="en-US" w:eastAsia="zh-CN" w:bidi="ar"/>
              </w:rPr>
              <w:t xml:space="preserve">GAAGTTCCAGCCATAGCTGC </w:t>
            </w:r>
            <w:r>
              <w:rPr>
                <w:color w:val="FF0000"/>
                <w:sz w:val="22"/>
                <w:szCs w:val="22"/>
                <w:u w:val="single"/>
                <w:lang w:val="en-US" w:eastAsia="zh-CN" w:bidi="ar"/>
              </w:rPr>
              <w:t>AGG</w:t>
            </w:r>
          </w:p>
        </w:tc>
      </w:tr>
      <w:tr w:rsidR="002776BC" w:rsidTr="002A0D59">
        <w:tc>
          <w:tcPr>
            <w:tcW w:w="3642" w:type="dxa"/>
            <w:tcBorders>
              <w:top w:val="nil"/>
              <w:left w:val="nil"/>
              <w:bottom w:val="nil"/>
              <w:right w:val="nil"/>
            </w:tcBorders>
            <w:vAlign w:val="center"/>
          </w:tcPr>
          <w:p w:rsidR="002776BC" w:rsidRDefault="002776BC" w:rsidP="002A0D59">
            <w:pPr>
              <w:widowControl/>
              <w:spacing w:line="276" w:lineRule="auto"/>
              <w:jc w:val="center"/>
              <w:rPr>
                <w:sz w:val="22"/>
                <w:szCs w:val="22"/>
              </w:rPr>
            </w:pPr>
            <w:r>
              <w:rPr>
                <w:rFonts w:eastAsia="Microsoft YaHei"/>
                <w:color w:val="333333"/>
                <w:sz w:val="22"/>
                <w:szCs w:val="22"/>
                <w:lang w:val="en-US" w:eastAsia="zh-CN" w:bidi="ar"/>
              </w:rPr>
              <w:t>Oligo1 Sequence</w:t>
            </w:r>
          </w:p>
          <w:p w:rsidR="002776BC" w:rsidRDefault="002776BC" w:rsidP="002A0D59">
            <w:pPr>
              <w:widowControl/>
              <w:spacing w:line="276" w:lineRule="auto"/>
              <w:jc w:val="center"/>
              <w:rPr>
                <w:color w:val="000000"/>
                <w:sz w:val="22"/>
                <w:szCs w:val="22"/>
                <w:lang w:bidi="ar"/>
              </w:rPr>
            </w:pPr>
          </w:p>
        </w:tc>
        <w:tc>
          <w:tcPr>
            <w:tcW w:w="4880" w:type="dxa"/>
            <w:tcBorders>
              <w:top w:val="nil"/>
              <w:left w:val="nil"/>
              <w:bottom w:val="nil"/>
              <w:right w:val="nil"/>
            </w:tcBorders>
            <w:vAlign w:val="center"/>
          </w:tcPr>
          <w:p w:rsidR="002776BC" w:rsidRDefault="002776BC" w:rsidP="002A0D59">
            <w:pPr>
              <w:widowControl/>
              <w:spacing w:line="276" w:lineRule="auto"/>
              <w:jc w:val="center"/>
              <w:rPr>
                <w:b/>
                <w:bCs/>
                <w:color w:val="000000"/>
                <w:sz w:val="22"/>
                <w:szCs w:val="22"/>
                <w:lang w:bidi="ar"/>
              </w:rPr>
            </w:pPr>
            <w:r>
              <w:rPr>
                <w:color w:val="000000"/>
                <w:sz w:val="22"/>
                <w:szCs w:val="22"/>
                <w:lang w:val="en-US" w:eastAsia="zh-CN" w:bidi="ar"/>
              </w:rPr>
              <w:t>TCTGGGGTCCTGAATGACACAGTGACCCCTGGCTGGGGTGCCTGCGAGGGGCTGGCCT</w:t>
            </w:r>
            <w:r>
              <w:rPr>
                <w:color w:val="FF0000"/>
                <w:sz w:val="22"/>
                <w:szCs w:val="22"/>
                <w:lang w:val="en-US" w:eastAsia="zh-CN" w:bidi="ar"/>
              </w:rPr>
              <w:t>T</w:t>
            </w:r>
            <w:r>
              <w:rPr>
                <w:color w:val="000000"/>
                <w:sz w:val="22"/>
                <w:szCs w:val="22"/>
                <w:lang w:val="en-US" w:eastAsia="zh-CN" w:bidi="ar"/>
              </w:rPr>
              <w:t>CAGCTATGGCTGGAACTTCACCGAGTGCACCCAGCAGCACAGCTGCCACTACGGCCTCATCA</w:t>
            </w:r>
          </w:p>
        </w:tc>
      </w:tr>
      <w:tr w:rsidR="002776BC" w:rsidTr="002A0D59">
        <w:tc>
          <w:tcPr>
            <w:tcW w:w="3642" w:type="dxa"/>
            <w:tcBorders>
              <w:top w:val="nil"/>
              <w:left w:val="nil"/>
              <w:bottom w:val="nil"/>
              <w:right w:val="nil"/>
            </w:tcBorders>
            <w:vAlign w:val="center"/>
          </w:tcPr>
          <w:p w:rsidR="002776BC" w:rsidRDefault="002776BC" w:rsidP="002A0D59">
            <w:pPr>
              <w:widowControl/>
              <w:spacing w:line="276" w:lineRule="auto"/>
              <w:jc w:val="center"/>
              <w:rPr>
                <w:sz w:val="22"/>
                <w:szCs w:val="22"/>
              </w:rPr>
            </w:pPr>
            <w:r>
              <w:rPr>
                <w:rFonts w:eastAsia="Microsoft YaHei"/>
                <w:color w:val="333333"/>
                <w:sz w:val="22"/>
                <w:szCs w:val="22"/>
                <w:lang w:val="en-US" w:eastAsia="zh-CN" w:bidi="ar"/>
              </w:rPr>
              <w:t>WT sequence</w:t>
            </w:r>
          </w:p>
          <w:p w:rsidR="002776BC" w:rsidRDefault="002776BC" w:rsidP="002A0D59">
            <w:pPr>
              <w:widowControl/>
              <w:spacing w:line="276" w:lineRule="auto"/>
              <w:jc w:val="center"/>
              <w:rPr>
                <w:color w:val="000000"/>
                <w:sz w:val="22"/>
                <w:szCs w:val="22"/>
                <w:lang w:bidi="ar"/>
              </w:rPr>
            </w:pPr>
          </w:p>
        </w:tc>
        <w:tc>
          <w:tcPr>
            <w:tcW w:w="4880" w:type="dxa"/>
            <w:tcBorders>
              <w:top w:val="nil"/>
              <w:left w:val="nil"/>
              <w:bottom w:val="nil"/>
              <w:right w:val="nil"/>
            </w:tcBorders>
            <w:vAlign w:val="center"/>
          </w:tcPr>
          <w:p w:rsidR="002776BC" w:rsidRDefault="002776BC" w:rsidP="002A0D59">
            <w:pPr>
              <w:widowControl/>
              <w:spacing w:line="276" w:lineRule="auto"/>
              <w:jc w:val="center"/>
              <w:rPr>
                <w:b/>
                <w:bCs/>
                <w:color w:val="000000"/>
                <w:sz w:val="22"/>
                <w:szCs w:val="22"/>
                <w:lang w:bidi="ar"/>
              </w:rPr>
            </w:pPr>
            <w:r>
              <w:rPr>
                <w:color w:val="000000"/>
                <w:sz w:val="22"/>
                <w:szCs w:val="22"/>
                <w:lang w:val="en-US" w:eastAsia="zh-CN" w:bidi="ar"/>
              </w:rPr>
              <w:t>tccccatgctctccttcctcctctcagGCTCCTGCGTGGTGCGTGATGCCTCTGGGGTCCTGAATGACACAGTGACCCCTGGCTGGGGTGCCTGCGAGGGGCTGGCCT</w:t>
            </w:r>
            <w:r>
              <w:rPr>
                <w:color w:val="FF0000"/>
                <w:sz w:val="22"/>
                <w:szCs w:val="22"/>
                <w:lang w:val="en-US" w:eastAsia="zh-CN" w:bidi="ar"/>
              </w:rPr>
              <w:t>G</w:t>
            </w:r>
            <w:r>
              <w:rPr>
                <w:color w:val="000000"/>
                <w:sz w:val="22"/>
                <w:szCs w:val="22"/>
                <w:lang w:val="en-US" w:eastAsia="zh-CN" w:bidi="ar"/>
              </w:rPr>
              <w:t>CAGCTATGGCTGGAACTTCACCGAGTGCACCCAGCAGCACAGCTGCCACTACGGCCTCATCAACTATTACCAggtactgccaggagagctgacccaccagacacagtggggg</w:t>
            </w:r>
          </w:p>
        </w:tc>
      </w:tr>
      <w:tr w:rsidR="002776BC" w:rsidTr="002A0D59">
        <w:tc>
          <w:tcPr>
            <w:tcW w:w="3642" w:type="dxa"/>
            <w:tcBorders>
              <w:top w:val="nil"/>
              <w:left w:val="nil"/>
              <w:bottom w:val="single" w:sz="4" w:space="0" w:color="auto"/>
              <w:right w:val="nil"/>
            </w:tcBorders>
            <w:vAlign w:val="center"/>
          </w:tcPr>
          <w:p w:rsidR="002776BC" w:rsidRDefault="002776BC" w:rsidP="002A0D59">
            <w:pPr>
              <w:widowControl/>
              <w:spacing w:line="276" w:lineRule="auto"/>
              <w:jc w:val="center"/>
              <w:rPr>
                <w:sz w:val="22"/>
                <w:szCs w:val="22"/>
              </w:rPr>
            </w:pPr>
            <w:r>
              <w:rPr>
                <w:rFonts w:eastAsia="Microsoft YaHei"/>
                <w:color w:val="333333"/>
                <w:sz w:val="22"/>
                <w:szCs w:val="22"/>
                <w:lang w:val="en-US" w:eastAsia="zh-CN" w:bidi="ar"/>
              </w:rPr>
              <w:t>After homology-directed repair sequence</w:t>
            </w:r>
          </w:p>
          <w:p w:rsidR="002776BC" w:rsidRDefault="002776BC" w:rsidP="002A0D59">
            <w:pPr>
              <w:widowControl/>
              <w:spacing w:line="276" w:lineRule="auto"/>
              <w:jc w:val="center"/>
              <w:rPr>
                <w:color w:val="000000"/>
                <w:sz w:val="22"/>
                <w:szCs w:val="22"/>
                <w:lang w:bidi="ar"/>
              </w:rPr>
            </w:pPr>
          </w:p>
        </w:tc>
        <w:tc>
          <w:tcPr>
            <w:tcW w:w="4880" w:type="dxa"/>
            <w:tcBorders>
              <w:top w:val="nil"/>
              <w:left w:val="nil"/>
              <w:bottom w:val="single" w:sz="4" w:space="0" w:color="auto"/>
              <w:right w:val="nil"/>
            </w:tcBorders>
            <w:vAlign w:val="center"/>
          </w:tcPr>
          <w:p w:rsidR="002776BC" w:rsidRDefault="002776BC" w:rsidP="002A0D59">
            <w:pPr>
              <w:widowControl/>
              <w:spacing w:line="276" w:lineRule="auto"/>
              <w:jc w:val="center"/>
              <w:rPr>
                <w:b/>
                <w:bCs/>
                <w:color w:val="000000"/>
                <w:sz w:val="22"/>
                <w:szCs w:val="22"/>
                <w:lang w:bidi="ar"/>
              </w:rPr>
            </w:pPr>
            <w:r>
              <w:rPr>
                <w:color w:val="000000"/>
                <w:sz w:val="22"/>
                <w:szCs w:val="22"/>
                <w:lang w:val="en-US" w:eastAsia="zh-CN" w:bidi="ar"/>
              </w:rPr>
              <w:t>tccccatgctctccttcctcctctcagGCTCCTGCGTGGTGCGTGATGCCTCTGGGGTCCTGAATGACACAGTGACCCCTGGCTGGGGTGCCTGCGAGGGGCTGGCCT</w:t>
            </w:r>
            <w:r>
              <w:rPr>
                <w:color w:val="FF0000"/>
                <w:sz w:val="22"/>
                <w:szCs w:val="22"/>
                <w:lang w:val="en-US" w:eastAsia="zh-CN" w:bidi="ar"/>
              </w:rPr>
              <w:t>T</w:t>
            </w:r>
            <w:r>
              <w:rPr>
                <w:color w:val="000000"/>
                <w:sz w:val="22"/>
                <w:szCs w:val="22"/>
                <w:lang w:val="en-US" w:eastAsia="zh-CN" w:bidi="ar"/>
              </w:rPr>
              <w:t>CAGCTATGGCTGGAACTTCACCGAGTGCACCCAGCAGCACAGCTGCCACTACGGCCTCATCAACTATTACCAGgtactgccaggagagctgacccaccagacacagtggggg</w:t>
            </w:r>
          </w:p>
        </w:tc>
      </w:tr>
      <w:tr w:rsidR="002776BC" w:rsidTr="002A0D59">
        <w:tc>
          <w:tcPr>
            <w:tcW w:w="8522" w:type="dxa"/>
            <w:gridSpan w:val="2"/>
            <w:tcBorders>
              <w:top w:val="single" w:sz="4" w:space="0" w:color="auto"/>
              <w:left w:val="nil"/>
              <w:bottom w:val="nil"/>
              <w:right w:val="nil"/>
            </w:tcBorders>
            <w:vAlign w:val="center"/>
          </w:tcPr>
          <w:p w:rsidR="002776BC" w:rsidRDefault="002776BC" w:rsidP="002A0D59">
            <w:pPr>
              <w:widowControl/>
              <w:spacing w:line="276" w:lineRule="auto"/>
              <w:rPr>
                <w:color w:val="000000"/>
                <w:sz w:val="22"/>
                <w:szCs w:val="22"/>
                <w:lang w:bidi="ar"/>
              </w:rPr>
            </w:pPr>
            <w:r>
              <w:rPr>
                <w:rFonts w:hint="eastAsia"/>
                <w:color w:val="000000"/>
                <w:sz w:val="22"/>
                <w:szCs w:val="22"/>
                <w:lang w:val="en-US" w:eastAsia="zh-CN" w:bidi="ar"/>
              </w:rPr>
              <w:t>*</w:t>
            </w:r>
            <w:r>
              <w:rPr>
                <w:color w:val="000000"/>
                <w:sz w:val="22"/>
                <w:szCs w:val="22"/>
                <w:lang w:val="en-US" w:eastAsia="zh-CN" w:bidi="ar"/>
              </w:rPr>
              <w:t>Upper letters refer to the exon sequence while lower letters refer to the intron sequence.</w:t>
            </w:r>
          </w:p>
        </w:tc>
      </w:tr>
    </w:tbl>
    <w:p w:rsidR="00640FB0" w:rsidRDefault="00640FB0"/>
    <w:sectPr w:rsidR="00640FB0" w:rsidSect="007322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_GB2312">
    <w:altName w:val="Arial Unicode MS"/>
    <w:charset w:val="86"/>
    <w:family w:val="auto"/>
    <w:pitch w:val="default"/>
    <w:sig w:usb0="00000000" w:usb1="080E0000" w:usb2="00000000" w:usb3="00000000" w:csb0="00040000" w:csb1="00000000"/>
  </w:font>
  <w:font w:name="Microsoft YaHei">
    <w:altName w:val="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6BC"/>
    <w:rsid w:val="00007C1E"/>
    <w:rsid w:val="000540AA"/>
    <w:rsid w:val="0006389C"/>
    <w:rsid w:val="000642F0"/>
    <w:rsid w:val="00080C16"/>
    <w:rsid w:val="000841A7"/>
    <w:rsid w:val="000975EA"/>
    <w:rsid w:val="000A6F33"/>
    <w:rsid w:val="000D6256"/>
    <w:rsid w:val="00113BFA"/>
    <w:rsid w:val="001163EB"/>
    <w:rsid w:val="001256B8"/>
    <w:rsid w:val="001449CC"/>
    <w:rsid w:val="00146799"/>
    <w:rsid w:val="00147845"/>
    <w:rsid w:val="001504C1"/>
    <w:rsid w:val="00170446"/>
    <w:rsid w:val="00176263"/>
    <w:rsid w:val="001909EB"/>
    <w:rsid w:val="001A0995"/>
    <w:rsid w:val="001C1620"/>
    <w:rsid w:val="001C3CCB"/>
    <w:rsid w:val="001D674F"/>
    <w:rsid w:val="001F13A9"/>
    <w:rsid w:val="001F3ED4"/>
    <w:rsid w:val="002370C3"/>
    <w:rsid w:val="00245A4B"/>
    <w:rsid w:val="00271D27"/>
    <w:rsid w:val="00274F09"/>
    <w:rsid w:val="002776BC"/>
    <w:rsid w:val="002877D2"/>
    <w:rsid w:val="002A32A5"/>
    <w:rsid w:val="002A4C34"/>
    <w:rsid w:val="00317CC6"/>
    <w:rsid w:val="0038073B"/>
    <w:rsid w:val="0038663C"/>
    <w:rsid w:val="00395F30"/>
    <w:rsid w:val="003B3F4D"/>
    <w:rsid w:val="003B44B3"/>
    <w:rsid w:val="003E2C1E"/>
    <w:rsid w:val="003F388B"/>
    <w:rsid w:val="004054CF"/>
    <w:rsid w:val="00411250"/>
    <w:rsid w:val="004235D0"/>
    <w:rsid w:val="004317CD"/>
    <w:rsid w:val="00440194"/>
    <w:rsid w:val="004476D4"/>
    <w:rsid w:val="00485C85"/>
    <w:rsid w:val="004C7748"/>
    <w:rsid w:val="00517122"/>
    <w:rsid w:val="005370A0"/>
    <w:rsid w:val="00541733"/>
    <w:rsid w:val="00590B6B"/>
    <w:rsid w:val="0059538A"/>
    <w:rsid w:val="005A628B"/>
    <w:rsid w:val="005C411E"/>
    <w:rsid w:val="005D732D"/>
    <w:rsid w:val="005F3DB6"/>
    <w:rsid w:val="00640FB0"/>
    <w:rsid w:val="00655583"/>
    <w:rsid w:val="006A6AA1"/>
    <w:rsid w:val="006C1ED2"/>
    <w:rsid w:val="006D646C"/>
    <w:rsid w:val="006D74B3"/>
    <w:rsid w:val="006E0AA9"/>
    <w:rsid w:val="006F7B54"/>
    <w:rsid w:val="00732297"/>
    <w:rsid w:val="00790F62"/>
    <w:rsid w:val="007B485A"/>
    <w:rsid w:val="007C1CD8"/>
    <w:rsid w:val="007C56AC"/>
    <w:rsid w:val="007C79D7"/>
    <w:rsid w:val="007E0184"/>
    <w:rsid w:val="007E23F6"/>
    <w:rsid w:val="007E4F94"/>
    <w:rsid w:val="008419CC"/>
    <w:rsid w:val="0084244F"/>
    <w:rsid w:val="00860EEA"/>
    <w:rsid w:val="00886A06"/>
    <w:rsid w:val="008A3659"/>
    <w:rsid w:val="008C54C0"/>
    <w:rsid w:val="008D1299"/>
    <w:rsid w:val="008F6DAD"/>
    <w:rsid w:val="008F72B8"/>
    <w:rsid w:val="009056EE"/>
    <w:rsid w:val="00915BE2"/>
    <w:rsid w:val="00950BFB"/>
    <w:rsid w:val="00950E4E"/>
    <w:rsid w:val="00990273"/>
    <w:rsid w:val="009A16A2"/>
    <w:rsid w:val="009E212A"/>
    <w:rsid w:val="009F73C2"/>
    <w:rsid w:val="00A2480A"/>
    <w:rsid w:val="00A25E52"/>
    <w:rsid w:val="00A27078"/>
    <w:rsid w:val="00A30EDC"/>
    <w:rsid w:val="00A334B6"/>
    <w:rsid w:val="00A45F61"/>
    <w:rsid w:val="00A63DCF"/>
    <w:rsid w:val="00A76814"/>
    <w:rsid w:val="00A804F9"/>
    <w:rsid w:val="00A80FFF"/>
    <w:rsid w:val="00A855D9"/>
    <w:rsid w:val="00AB34F6"/>
    <w:rsid w:val="00AD3005"/>
    <w:rsid w:val="00AE0BD9"/>
    <w:rsid w:val="00B272DB"/>
    <w:rsid w:val="00B3381E"/>
    <w:rsid w:val="00B46004"/>
    <w:rsid w:val="00B7243C"/>
    <w:rsid w:val="00B81BAC"/>
    <w:rsid w:val="00B8268B"/>
    <w:rsid w:val="00BB3452"/>
    <w:rsid w:val="00BB5FD4"/>
    <w:rsid w:val="00BF632F"/>
    <w:rsid w:val="00C044DD"/>
    <w:rsid w:val="00D0283A"/>
    <w:rsid w:val="00D02F80"/>
    <w:rsid w:val="00D10A17"/>
    <w:rsid w:val="00D11968"/>
    <w:rsid w:val="00D220F8"/>
    <w:rsid w:val="00D45AE5"/>
    <w:rsid w:val="00D57DD2"/>
    <w:rsid w:val="00D730AA"/>
    <w:rsid w:val="00DA2BA2"/>
    <w:rsid w:val="00DE52D2"/>
    <w:rsid w:val="00DF1FED"/>
    <w:rsid w:val="00E02830"/>
    <w:rsid w:val="00E26C73"/>
    <w:rsid w:val="00E27D3F"/>
    <w:rsid w:val="00E3129F"/>
    <w:rsid w:val="00E52AD6"/>
    <w:rsid w:val="00E61264"/>
    <w:rsid w:val="00EA33B7"/>
    <w:rsid w:val="00EB29FE"/>
    <w:rsid w:val="00EE2634"/>
    <w:rsid w:val="00EE6BD4"/>
    <w:rsid w:val="00F16DDF"/>
    <w:rsid w:val="00F65231"/>
    <w:rsid w:val="00F82373"/>
    <w:rsid w:val="00F941B4"/>
    <w:rsid w:val="00F9560B"/>
    <w:rsid w:val="00FE7D75"/>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44A33-215F-4DBF-95BD-C8164D17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2776BC"/>
    <w:pPr>
      <w:widowControl w:val="0"/>
      <w:spacing w:beforeAutospacing="1" w:after="0" w:afterAutospacing="1" w:line="240" w:lineRule="auto"/>
    </w:pPr>
    <w:rPr>
      <w:rFonts w:eastAsiaTheme="minorEastAsia" w:cs="Times New Roman"/>
      <w:sz w:val="24"/>
      <w:szCs w:val="24"/>
      <w:lang w:val="en-US" w:eastAsia="zh-CN" w:bidi="he-IL"/>
    </w:rPr>
  </w:style>
  <w:style w:type="table" w:styleId="TableGrid">
    <w:name w:val="Table Grid"/>
    <w:basedOn w:val="TableNormal"/>
    <w:qFormat/>
    <w:rsid w:val="002776BC"/>
    <w:pPr>
      <w:widowControl w:val="0"/>
      <w:spacing w:after="0" w:line="240" w:lineRule="auto"/>
      <w:jc w:val="both"/>
    </w:pPr>
    <w:rPr>
      <w:rFonts w:ascii="Times New Roman" w:eastAsia="SimSun" w:hAnsi="Times New Roman" w:cs="Times New Roman"/>
      <w:sz w:val="20"/>
      <w:szCs w:val="20"/>
      <w:lang w:eastAsia="en-IN"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NULL"/><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624</Words>
  <Characters>3557</Characters>
  <Application>Microsoft Office Word</Application>
  <DocSecurity>0</DocSecurity>
  <Lines>29</Lines>
  <Paragraphs>8</Paragraphs>
  <ScaleCrop>false</ScaleCrop>
  <Company/>
  <LinksUpToDate>false</LinksUpToDate>
  <CharactersWithSpaces>4173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Raja</dc:creator>
  <cp:keywords/>
  <dc:description/>
  <cp:lastModifiedBy>Solomon Raja</cp:lastModifiedBy>
  <cp:revision>3</cp:revision>
  <dcterms:created xsi:type="dcterms:W3CDTF">2026-09-11T10:41:00Z</dcterms:created>
  <dcterms:modified xsi:type="dcterms:W3CDTF">2026-09-12T06:21:00Z</dcterms:modified>
</cp:coreProperties>
</file>