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547ADB" w14:textId="77777777" w:rsidR="00DA0C57" w:rsidRDefault="00DA0C57" w:rsidP="00DA0C57">
      <w:pPr>
        <w:keepNext/>
        <w:numPr>
          <w:ilvl w:val="1"/>
          <w:numId w:val="0"/>
        </w:numPr>
        <w:spacing w:after="0" w:line="480" w:lineRule="auto"/>
        <w:ind w:left="576" w:hanging="576"/>
        <w:outlineLvl w:val="1"/>
        <w:rPr>
          <w:rFonts w:ascii="Arial" w:eastAsia="Times New Roman" w:hAnsi="Arial" w:cs="Arial"/>
          <w:b/>
          <w:bCs/>
          <w:sz w:val="24"/>
          <w:szCs w:val="24"/>
          <w:lang w:val="en-US" w:eastAsia="de-CH"/>
        </w:rPr>
      </w:pPr>
      <w:r>
        <w:rPr>
          <w:rFonts w:ascii="Arial" w:eastAsia="Times New Roman" w:hAnsi="Arial" w:cs="Arial"/>
          <w:b/>
          <w:bCs/>
          <w:sz w:val="24"/>
          <w:szCs w:val="24"/>
          <w:lang w:val="en-US" w:eastAsia="de-CH"/>
        </w:rPr>
        <w:t>Supplementary Data</w:t>
      </w:r>
    </w:p>
    <w:p w14:paraId="22FA1F31" w14:textId="77777777" w:rsidR="00DA0C57" w:rsidRDefault="00DA0C57" w:rsidP="00DA0C57">
      <w:pPr>
        <w:keepNext/>
        <w:numPr>
          <w:ilvl w:val="1"/>
          <w:numId w:val="0"/>
        </w:numPr>
        <w:spacing w:after="0" w:line="480" w:lineRule="auto"/>
        <w:ind w:left="576" w:hanging="576"/>
        <w:outlineLvl w:val="1"/>
        <w:rPr>
          <w:rFonts w:ascii="Arial" w:eastAsia="Times New Roman" w:hAnsi="Arial" w:cs="Arial"/>
          <w:b/>
          <w:bCs/>
          <w:sz w:val="24"/>
          <w:szCs w:val="24"/>
          <w:lang w:val="en-US" w:eastAsia="de-CH"/>
        </w:rPr>
      </w:pPr>
    </w:p>
    <w:p w14:paraId="708B698C" w14:textId="77777777" w:rsidR="00DA0C57" w:rsidRPr="007054FD" w:rsidRDefault="00DA0C57" w:rsidP="00DA0C57">
      <w:pPr>
        <w:keepNext/>
        <w:numPr>
          <w:ilvl w:val="1"/>
          <w:numId w:val="0"/>
        </w:numPr>
        <w:spacing w:after="0" w:line="480" w:lineRule="auto"/>
        <w:ind w:left="576" w:hanging="576"/>
        <w:outlineLvl w:val="1"/>
        <w:rPr>
          <w:rFonts w:ascii="Arial" w:eastAsia="Times New Roman" w:hAnsi="Arial" w:cs="Arial"/>
          <w:b/>
          <w:bCs/>
          <w:sz w:val="24"/>
          <w:szCs w:val="24"/>
          <w:lang w:val="en-US" w:eastAsia="de-CH"/>
        </w:rPr>
      </w:pPr>
      <w:r w:rsidRPr="007054FD">
        <w:rPr>
          <w:rFonts w:ascii="Arial" w:eastAsia="Times New Roman" w:hAnsi="Arial" w:cs="Arial"/>
          <w:b/>
          <w:bCs/>
          <w:sz w:val="24"/>
          <w:szCs w:val="24"/>
          <w:lang w:val="en-US" w:eastAsia="de-CH"/>
        </w:rPr>
        <w:t>Endoglin and TGF</w:t>
      </w:r>
      <w:r w:rsidRPr="007054FD">
        <w:rPr>
          <w:rFonts w:ascii="Arial" w:hAnsi="Arial" w:cs="Arial"/>
          <w:b/>
          <w:sz w:val="24"/>
          <w:szCs w:val="24"/>
          <w:lang w:val="en-US" w:eastAsia="de-DE"/>
        </w:rPr>
        <w:t>-</w:t>
      </w:r>
      <w:r w:rsidRPr="007054FD">
        <w:rPr>
          <w:rFonts w:ascii="Arial" w:hAnsi="Arial" w:cs="Arial"/>
          <w:b/>
          <w:sz w:val="24"/>
          <w:szCs w:val="24"/>
          <w:lang w:eastAsia="de-DE"/>
        </w:rPr>
        <w:t>β</w:t>
      </w:r>
      <w:r w:rsidRPr="007054FD">
        <w:rPr>
          <w:rFonts w:ascii="Arial" w:hAnsi="Arial" w:cs="Arial"/>
          <w:b/>
          <w:sz w:val="24"/>
          <w:szCs w:val="24"/>
          <w:lang w:val="en-US" w:eastAsia="de-DE"/>
        </w:rPr>
        <w:t xml:space="preserve"> </w:t>
      </w:r>
      <w:r w:rsidRPr="007054FD">
        <w:rPr>
          <w:rFonts w:ascii="Arial" w:eastAsia="Times New Roman" w:hAnsi="Arial" w:cs="Arial"/>
          <w:b/>
          <w:bCs/>
          <w:sz w:val="24"/>
          <w:szCs w:val="24"/>
          <w:lang w:val="en-US" w:eastAsia="de-CH"/>
        </w:rPr>
        <w:t>signaling in glioblastoma</w:t>
      </w:r>
    </w:p>
    <w:p w14:paraId="2F5D1C64" w14:textId="77777777" w:rsidR="00DA0C57" w:rsidRPr="007054FD" w:rsidRDefault="00DA0C57" w:rsidP="00DA0C57">
      <w:pPr>
        <w:keepNext/>
        <w:numPr>
          <w:ilvl w:val="1"/>
          <w:numId w:val="0"/>
        </w:numPr>
        <w:spacing w:after="0" w:line="480" w:lineRule="auto"/>
        <w:ind w:left="576" w:hanging="576"/>
        <w:outlineLvl w:val="1"/>
        <w:rPr>
          <w:rFonts w:ascii="Arial" w:eastAsia="Times New Roman" w:hAnsi="Arial" w:cs="Arial"/>
          <w:b/>
          <w:bCs/>
          <w:sz w:val="24"/>
          <w:szCs w:val="24"/>
          <w:lang w:val="en-US" w:eastAsia="de-CH"/>
        </w:rPr>
      </w:pPr>
    </w:p>
    <w:p w14:paraId="2216FDF9" w14:textId="77777777" w:rsidR="00DA0C57" w:rsidRPr="007054FD" w:rsidRDefault="00DA0C57" w:rsidP="00DA0C57">
      <w:pPr>
        <w:spacing w:after="0" w:line="480" w:lineRule="auto"/>
        <w:rPr>
          <w:rFonts w:ascii="Arial" w:hAnsi="Arial" w:cs="Arial"/>
          <w:sz w:val="24"/>
          <w:szCs w:val="24"/>
          <w:lang w:val="en-US" w:eastAsia="de-CH"/>
        </w:rPr>
      </w:pPr>
      <w:r w:rsidRPr="007054FD">
        <w:rPr>
          <w:rFonts w:ascii="Arial" w:hAnsi="Arial" w:cs="Arial"/>
          <w:sz w:val="24"/>
          <w:szCs w:val="24"/>
          <w:lang w:val="en-US" w:eastAsia="de-CH"/>
        </w:rPr>
        <w:t>Isabel Burghardt</w:t>
      </w:r>
      <w:r w:rsidRPr="007054FD">
        <w:rPr>
          <w:rFonts w:ascii="Arial" w:hAnsi="Arial" w:cs="Arial"/>
          <w:sz w:val="24"/>
          <w:szCs w:val="24"/>
          <w:vertAlign w:val="superscript"/>
          <w:lang w:val="en-US" w:eastAsia="de-CH"/>
        </w:rPr>
        <w:t>1</w:t>
      </w:r>
      <w:r w:rsidRPr="007054FD">
        <w:rPr>
          <w:rFonts w:ascii="Arial" w:hAnsi="Arial" w:cs="Arial"/>
          <w:sz w:val="24"/>
          <w:szCs w:val="24"/>
          <w:lang w:val="en-US" w:eastAsia="de-CH"/>
        </w:rPr>
        <w:t xml:space="preserve">, </w:t>
      </w:r>
      <w:bookmarkStart w:id="0" w:name="_Hlk48726744"/>
      <w:r w:rsidRPr="007054FD">
        <w:rPr>
          <w:rFonts w:ascii="Arial" w:hAnsi="Arial" w:cs="Arial"/>
          <w:sz w:val="24"/>
          <w:szCs w:val="24"/>
          <w:lang w:val="en-US" w:eastAsia="de-CH"/>
        </w:rPr>
        <w:t>Elisa Ventura</w:t>
      </w:r>
      <w:r w:rsidRPr="007054FD">
        <w:rPr>
          <w:rFonts w:ascii="Arial" w:hAnsi="Arial" w:cs="Arial"/>
          <w:sz w:val="24"/>
          <w:szCs w:val="24"/>
          <w:vertAlign w:val="superscript"/>
          <w:lang w:val="en-US" w:eastAsia="de-CH"/>
        </w:rPr>
        <w:t>1</w:t>
      </w:r>
      <w:r w:rsidRPr="007054FD">
        <w:rPr>
          <w:rFonts w:ascii="Arial" w:hAnsi="Arial" w:cs="Arial"/>
          <w:sz w:val="24"/>
          <w:szCs w:val="24"/>
          <w:lang w:val="en-US" w:eastAsia="de-CH"/>
        </w:rPr>
        <w:t>, Tobias Weiss</w:t>
      </w:r>
      <w:r w:rsidRPr="007054FD">
        <w:rPr>
          <w:rFonts w:ascii="Arial" w:hAnsi="Arial" w:cs="Arial"/>
          <w:sz w:val="24"/>
          <w:szCs w:val="24"/>
          <w:vertAlign w:val="superscript"/>
          <w:lang w:val="en-US" w:eastAsia="de-CH"/>
        </w:rPr>
        <w:t>1</w:t>
      </w:r>
      <w:r w:rsidRPr="007054FD">
        <w:rPr>
          <w:rFonts w:ascii="Arial" w:hAnsi="Arial" w:cs="Arial"/>
          <w:sz w:val="24"/>
          <w:szCs w:val="24"/>
          <w:lang w:val="en-US" w:eastAsia="de-CH"/>
        </w:rPr>
        <w:t>, Judith Johanna Schroeder</w:t>
      </w:r>
      <w:r w:rsidRPr="007054FD">
        <w:rPr>
          <w:rFonts w:ascii="Arial" w:hAnsi="Arial" w:cs="Arial"/>
          <w:sz w:val="24"/>
          <w:szCs w:val="24"/>
          <w:vertAlign w:val="superscript"/>
          <w:lang w:val="en-US" w:eastAsia="de-CH"/>
        </w:rPr>
        <w:t>1</w:t>
      </w:r>
      <w:r w:rsidRPr="007054FD">
        <w:rPr>
          <w:rFonts w:ascii="Arial" w:hAnsi="Arial" w:cs="Arial"/>
          <w:sz w:val="24"/>
          <w:szCs w:val="24"/>
          <w:lang w:val="en-US" w:eastAsia="de-CH"/>
        </w:rPr>
        <w:t>, Katharina Seystahl</w:t>
      </w:r>
      <w:r w:rsidRPr="007054FD">
        <w:rPr>
          <w:rFonts w:ascii="Arial" w:hAnsi="Arial" w:cs="Arial"/>
          <w:sz w:val="24"/>
          <w:szCs w:val="24"/>
          <w:vertAlign w:val="superscript"/>
          <w:lang w:val="en-US" w:eastAsia="de-CH"/>
        </w:rPr>
        <w:t>1</w:t>
      </w:r>
      <w:r w:rsidRPr="007054FD">
        <w:rPr>
          <w:rFonts w:ascii="Arial" w:hAnsi="Arial" w:cs="Arial"/>
          <w:sz w:val="24"/>
          <w:szCs w:val="24"/>
          <w:lang w:val="en-US" w:eastAsia="de-CH"/>
        </w:rPr>
        <w:t>, Christian Zielasek</w:t>
      </w:r>
      <w:r w:rsidRPr="007054FD">
        <w:rPr>
          <w:rFonts w:ascii="Arial" w:hAnsi="Arial" w:cs="Arial"/>
          <w:sz w:val="24"/>
          <w:szCs w:val="24"/>
          <w:vertAlign w:val="superscript"/>
          <w:lang w:val="en-US" w:eastAsia="de-CH"/>
        </w:rPr>
        <w:t>1</w:t>
      </w:r>
      <w:r w:rsidRPr="007054FD">
        <w:rPr>
          <w:rFonts w:ascii="Arial" w:hAnsi="Arial" w:cs="Arial"/>
          <w:sz w:val="24"/>
          <w:szCs w:val="24"/>
          <w:lang w:val="en-US" w:eastAsia="de-CH"/>
        </w:rPr>
        <w:t>, Dorothee Gramatzki</w:t>
      </w:r>
      <w:r w:rsidRPr="007054FD">
        <w:rPr>
          <w:rFonts w:ascii="Arial" w:hAnsi="Arial" w:cs="Arial"/>
          <w:sz w:val="24"/>
          <w:szCs w:val="24"/>
          <w:vertAlign w:val="superscript"/>
          <w:lang w:val="en-US" w:eastAsia="de-CH"/>
        </w:rPr>
        <w:t>1</w:t>
      </w:r>
      <w:r w:rsidRPr="007054FD">
        <w:rPr>
          <w:rFonts w:ascii="Arial" w:hAnsi="Arial" w:cs="Arial"/>
          <w:sz w:val="24"/>
          <w:szCs w:val="24"/>
          <w:lang w:val="en-US" w:eastAsia="de-CH"/>
        </w:rPr>
        <w:t xml:space="preserve"> and Michael Weller</w:t>
      </w:r>
      <w:bookmarkEnd w:id="0"/>
      <w:r w:rsidRPr="007054FD">
        <w:rPr>
          <w:rFonts w:ascii="Arial" w:hAnsi="Arial" w:cs="Arial"/>
          <w:sz w:val="24"/>
          <w:szCs w:val="24"/>
          <w:vertAlign w:val="superscript"/>
          <w:lang w:val="en-US" w:eastAsia="de-CH"/>
        </w:rPr>
        <w:t>1</w:t>
      </w:r>
      <w:r w:rsidRPr="007054FD">
        <w:rPr>
          <w:rFonts w:ascii="Arial" w:hAnsi="Arial" w:cs="Arial"/>
          <w:sz w:val="24"/>
          <w:szCs w:val="24"/>
          <w:lang w:val="en-US" w:eastAsia="de-CH"/>
        </w:rPr>
        <w:t xml:space="preserve">* </w:t>
      </w:r>
    </w:p>
    <w:p w14:paraId="671A0488" w14:textId="77777777" w:rsidR="00DA0C57" w:rsidRPr="007054FD" w:rsidRDefault="00DA0C57" w:rsidP="00DA0C57">
      <w:pPr>
        <w:spacing w:after="0" w:line="480" w:lineRule="auto"/>
        <w:rPr>
          <w:rFonts w:ascii="Arial" w:hAnsi="Arial" w:cs="Arial"/>
          <w:sz w:val="24"/>
          <w:szCs w:val="24"/>
          <w:lang w:val="en-US" w:eastAsia="de-CH"/>
        </w:rPr>
      </w:pPr>
    </w:p>
    <w:p w14:paraId="6C2CD5C2" w14:textId="77777777" w:rsidR="00DA0C57" w:rsidRPr="007054FD" w:rsidRDefault="00DA0C57" w:rsidP="00DA0C57">
      <w:pPr>
        <w:spacing w:after="0" w:line="480" w:lineRule="auto"/>
        <w:rPr>
          <w:rFonts w:ascii="Arial" w:hAnsi="Arial" w:cs="Arial"/>
          <w:sz w:val="24"/>
          <w:szCs w:val="24"/>
          <w:lang w:val="en-US" w:eastAsia="de-CH"/>
        </w:rPr>
      </w:pPr>
      <w:r w:rsidRPr="007054FD">
        <w:rPr>
          <w:rFonts w:ascii="Arial" w:hAnsi="Arial" w:cs="Arial"/>
          <w:sz w:val="24"/>
          <w:szCs w:val="24"/>
          <w:vertAlign w:val="superscript"/>
          <w:lang w:val="en-US" w:eastAsia="de-CH"/>
        </w:rPr>
        <w:t>1</w:t>
      </w:r>
      <w:r w:rsidRPr="007054FD">
        <w:rPr>
          <w:rFonts w:ascii="Arial" w:hAnsi="Arial" w:cs="Arial"/>
          <w:sz w:val="24"/>
          <w:szCs w:val="24"/>
          <w:lang w:val="en-GB"/>
        </w:rPr>
        <w:t>Laboratory of Molecular Neuro-Oncology, Department of Neurology, University Hospital and University of Zurich, Zurich, Switzerland</w:t>
      </w:r>
    </w:p>
    <w:p w14:paraId="0F115317" w14:textId="77777777" w:rsidR="00DA0C57" w:rsidRPr="007054FD" w:rsidRDefault="00DA0C57" w:rsidP="00DA0C57">
      <w:pPr>
        <w:spacing w:after="0" w:line="480" w:lineRule="auto"/>
        <w:rPr>
          <w:rFonts w:ascii="Arial" w:hAnsi="Arial" w:cs="Arial"/>
          <w:sz w:val="24"/>
          <w:szCs w:val="24"/>
          <w:lang w:val="en-US" w:eastAsia="de-CH"/>
        </w:rPr>
      </w:pPr>
    </w:p>
    <w:p w14:paraId="26AD4424" w14:textId="77777777" w:rsidR="00DA0C57" w:rsidRPr="00DA0C57" w:rsidRDefault="00DA0C57" w:rsidP="00DA0C57">
      <w:pPr>
        <w:spacing w:after="0" w:line="480" w:lineRule="auto"/>
        <w:rPr>
          <w:rFonts w:ascii="Arial" w:hAnsi="Arial" w:cs="Arial"/>
          <w:sz w:val="24"/>
          <w:szCs w:val="24"/>
          <w:lang w:val="en-US" w:eastAsia="de-CH"/>
        </w:rPr>
      </w:pPr>
      <w:r w:rsidRPr="007054FD">
        <w:rPr>
          <w:rFonts w:ascii="Arial" w:hAnsi="Arial" w:cs="Arial"/>
          <w:sz w:val="24"/>
          <w:szCs w:val="24"/>
          <w:lang w:val="en-US" w:eastAsia="de-CH"/>
        </w:rPr>
        <w:t>*Corresponding Author</w:t>
      </w:r>
      <w:r>
        <w:rPr>
          <w:rFonts w:ascii="Arial" w:hAnsi="Arial" w:cs="Arial"/>
          <w:sz w:val="24"/>
          <w:szCs w:val="24"/>
          <w:lang w:val="en-US" w:eastAsia="de-CH"/>
        </w:rPr>
        <w:t xml:space="preserve">: </w:t>
      </w:r>
      <w:r w:rsidRPr="007054FD">
        <w:rPr>
          <w:rFonts w:ascii="Arial" w:hAnsi="Arial" w:cs="Arial"/>
          <w:sz w:val="24"/>
          <w:szCs w:val="24"/>
          <w:lang w:val="en-US" w:eastAsia="de-CH"/>
        </w:rPr>
        <w:t>Michael Weller, MD</w:t>
      </w:r>
      <w:r>
        <w:rPr>
          <w:rFonts w:ascii="Arial" w:hAnsi="Arial" w:cs="Arial"/>
          <w:sz w:val="24"/>
          <w:szCs w:val="24"/>
          <w:lang w:val="en-US" w:eastAsia="de-CH"/>
        </w:rPr>
        <w:t xml:space="preserve">, </w:t>
      </w:r>
      <w:r w:rsidRPr="007054FD">
        <w:rPr>
          <w:rFonts w:ascii="Arial" w:hAnsi="Arial" w:cs="Arial"/>
          <w:sz w:val="24"/>
          <w:szCs w:val="24"/>
          <w:lang w:val="en-GB"/>
        </w:rPr>
        <w:t>Laboratory of Molecular Neuro-Oncology, Department of Neurology &amp; Brain Tumor Center, Clinical Neuroscience Center, University Hospital and University of Zurich</w:t>
      </w:r>
      <w:r>
        <w:rPr>
          <w:rFonts w:ascii="Arial" w:hAnsi="Arial" w:cs="Arial"/>
          <w:sz w:val="24"/>
          <w:szCs w:val="24"/>
          <w:lang w:val="en-GB"/>
        </w:rPr>
        <w:t xml:space="preserve">, </w:t>
      </w:r>
      <w:r w:rsidRPr="007054FD">
        <w:rPr>
          <w:rFonts w:ascii="Arial" w:hAnsi="Arial" w:cs="Arial"/>
          <w:sz w:val="24"/>
          <w:szCs w:val="24"/>
          <w:lang w:val="en-GB"/>
        </w:rPr>
        <w:t>Frauenklinikstrasse 26</w:t>
      </w:r>
      <w:r>
        <w:rPr>
          <w:rFonts w:ascii="Arial" w:hAnsi="Arial" w:cs="Arial"/>
          <w:sz w:val="24"/>
          <w:szCs w:val="24"/>
          <w:lang w:val="en-GB"/>
        </w:rPr>
        <w:t xml:space="preserve">, </w:t>
      </w:r>
      <w:r w:rsidRPr="007054FD">
        <w:rPr>
          <w:rFonts w:ascii="Arial" w:hAnsi="Arial" w:cs="Arial"/>
          <w:sz w:val="24"/>
          <w:szCs w:val="24"/>
          <w:lang w:val="en-GB"/>
        </w:rPr>
        <w:t>CH-8091 Zürich</w:t>
      </w:r>
      <w:r>
        <w:rPr>
          <w:rFonts w:ascii="Arial" w:hAnsi="Arial" w:cs="Arial"/>
          <w:sz w:val="24"/>
          <w:szCs w:val="24"/>
          <w:lang w:val="en-GB"/>
        </w:rPr>
        <w:t xml:space="preserve">, </w:t>
      </w:r>
      <w:r w:rsidRPr="00DA0C57">
        <w:rPr>
          <w:rFonts w:ascii="Arial" w:hAnsi="Arial" w:cs="Arial"/>
          <w:sz w:val="24"/>
          <w:szCs w:val="24"/>
          <w:lang w:val="en-US"/>
        </w:rPr>
        <w:t>Switzerland</w:t>
      </w:r>
      <w:r>
        <w:rPr>
          <w:rFonts w:ascii="Arial" w:hAnsi="Arial" w:cs="Arial"/>
          <w:sz w:val="24"/>
          <w:szCs w:val="24"/>
          <w:lang w:val="en-US"/>
        </w:rPr>
        <w:t xml:space="preserve">, </w:t>
      </w:r>
      <w:r w:rsidRPr="00DA0C57">
        <w:rPr>
          <w:rFonts w:ascii="Arial" w:hAnsi="Arial" w:cs="Arial"/>
          <w:sz w:val="24"/>
          <w:szCs w:val="24"/>
          <w:lang w:val="en-US" w:eastAsia="de-CH"/>
        </w:rPr>
        <w:t>Tel: +41442555500</w:t>
      </w:r>
      <w:r>
        <w:rPr>
          <w:rFonts w:ascii="Arial" w:hAnsi="Arial" w:cs="Arial"/>
          <w:sz w:val="24"/>
          <w:szCs w:val="24"/>
          <w:lang w:val="en-US"/>
        </w:rPr>
        <w:t xml:space="preserve">, </w:t>
      </w:r>
      <w:r w:rsidRPr="00DA0C57">
        <w:rPr>
          <w:rFonts w:ascii="Arial" w:hAnsi="Arial" w:cs="Arial"/>
          <w:sz w:val="24"/>
          <w:szCs w:val="24"/>
          <w:lang w:val="en-US"/>
        </w:rPr>
        <w:t>F</w:t>
      </w:r>
      <w:r w:rsidRPr="00DA0C57">
        <w:rPr>
          <w:rFonts w:ascii="Arial" w:hAnsi="Arial" w:cs="Arial"/>
          <w:sz w:val="24"/>
          <w:szCs w:val="24"/>
          <w:lang w:val="en-US" w:eastAsia="de-CH"/>
        </w:rPr>
        <w:t>ax: +41442554507</w:t>
      </w:r>
      <w:r>
        <w:rPr>
          <w:rFonts w:ascii="Arial" w:hAnsi="Arial" w:cs="Arial"/>
          <w:sz w:val="24"/>
          <w:szCs w:val="24"/>
          <w:lang w:val="en-US" w:eastAsia="de-CH"/>
        </w:rPr>
        <w:t>,</w:t>
      </w:r>
      <w:r>
        <w:rPr>
          <w:rFonts w:ascii="Arial" w:hAnsi="Arial" w:cs="Arial"/>
          <w:sz w:val="24"/>
          <w:szCs w:val="24"/>
          <w:lang w:val="en-US"/>
        </w:rPr>
        <w:t xml:space="preserve"> </w:t>
      </w:r>
      <w:r w:rsidRPr="00DA0C57">
        <w:rPr>
          <w:rFonts w:ascii="Arial" w:hAnsi="Arial" w:cs="Arial"/>
          <w:sz w:val="24"/>
          <w:szCs w:val="24"/>
          <w:lang w:val="en-US" w:eastAsia="de-CH"/>
        </w:rPr>
        <w:t>E-mail: michael.weller@usz.</w:t>
      </w:r>
      <w:r w:rsidRPr="00DA0C57">
        <w:rPr>
          <w:rFonts w:ascii="Arial" w:hAnsi="Arial" w:cs="Arial"/>
          <w:sz w:val="24"/>
          <w:szCs w:val="24"/>
          <w:lang w:val="en-US"/>
        </w:rPr>
        <w:t>ch</w:t>
      </w:r>
      <w:r w:rsidRPr="00DA0C57">
        <w:rPr>
          <w:lang w:val="en-US"/>
        </w:rPr>
        <w:t xml:space="preserve"> </w:t>
      </w:r>
    </w:p>
    <w:p w14:paraId="601BE80D" w14:textId="77777777" w:rsidR="00C4361F" w:rsidRDefault="00C4361F" w:rsidP="00C4361F">
      <w:pPr>
        <w:spacing w:after="0" w:line="480" w:lineRule="auto"/>
        <w:rPr>
          <w:rFonts w:ascii="Arial" w:hAnsi="Arial" w:cs="Arial"/>
          <w:b/>
          <w:sz w:val="24"/>
          <w:szCs w:val="24"/>
          <w:lang w:val="en-US"/>
        </w:rPr>
        <w:sectPr w:rsidR="00C4361F" w:rsidSect="009159C1">
          <w:pgSz w:w="11900" w:h="16840"/>
          <w:pgMar w:top="1417" w:right="1417" w:bottom="1134" w:left="1417" w:header="708" w:footer="708" w:gutter="0"/>
          <w:cols w:space="708"/>
          <w:docGrid w:linePitch="360"/>
        </w:sectPr>
      </w:pPr>
    </w:p>
    <w:p w14:paraId="29A225CC" w14:textId="77777777" w:rsidR="00DA0C57" w:rsidRDefault="00DA0C57" w:rsidP="00DA0C57">
      <w:pPr>
        <w:spacing w:after="0" w:line="480" w:lineRule="auto"/>
        <w:rPr>
          <w:rFonts w:ascii="Arial" w:hAnsi="Arial" w:cs="Arial"/>
          <w:sz w:val="24"/>
          <w:szCs w:val="24"/>
          <w:lang w:val="en-US"/>
        </w:rPr>
      </w:pPr>
      <w:r w:rsidRPr="007054FD">
        <w:rPr>
          <w:rFonts w:ascii="Arial" w:hAnsi="Arial" w:cs="Arial"/>
          <w:b/>
          <w:sz w:val="24"/>
          <w:szCs w:val="24"/>
          <w:lang w:val="en-US"/>
        </w:rPr>
        <w:lastRenderedPageBreak/>
        <w:t>Figure S1.</w:t>
      </w:r>
      <w:r w:rsidRPr="007054FD">
        <w:rPr>
          <w:rFonts w:ascii="Arial" w:hAnsi="Arial" w:cs="Arial"/>
          <w:sz w:val="24"/>
          <w:szCs w:val="24"/>
          <w:lang w:val="en-US"/>
        </w:rPr>
        <w:t xml:space="preserve"> Individual H scores for endoglin, stratified by expression in the tumor cells or the endothelial cells are shown for two patients with available tumor tissue at time of diagnosis and time of recurrence. </w:t>
      </w:r>
    </w:p>
    <w:p w14:paraId="4C90CC3D" w14:textId="77777777" w:rsidR="00DA0C57" w:rsidRDefault="00DA0C57" w:rsidP="00DA0C57">
      <w:pPr>
        <w:spacing w:after="0" w:line="480" w:lineRule="auto"/>
        <w:rPr>
          <w:rFonts w:ascii="Arial" w:hAnsi="Arial" w:cs="Arial"/>
          <w:sz w:val="24"/>
          <w:szCs w:val="24"/>
          <w:lang w:val="en-US"/>
        </w:rPr>
      </w:pPr>
    </w:p>
    <w:p w14:paraId="69F824C9" w14:textId="77777777" w:rsidR="00DA0C57" w:rsidRPr="007054FD" w:rsidRDefault="00DA0C57" w:rsidP="00DA0C57">
      <w:pPr>
        <w:spacing w:after="0" w:line="480" w:lineRule="auto"/>
        <w:rPr>
          <w:rFonts w:ascii="Arial" w:hAnsi="Arial" w:cs="Arial"/>
          <w:sz w:val="24"/>
          <w:szCs w:val="24"/>
          <w:lang w:val="en-US"/>
        </w:rPr>
      </w:pPr>
      <w:r>
        <w:rPr>
          <w:rFonts w:ascii="Arial" w:hAnsi="Arial" w:cs="Arial"/>
          <w:noProof/>
          <w:sz w:val="24"/>
          <w:szCs w:val="24"/>
          <w:lang w:val="en-US"/>
        </w:rPr>
        <w:drawing>
          <wp:inline distT="0" distB="0" distL="0" distR="0" wp14:anchorId="3E40B081" wp14:editId="52C02AFD">
            <wp:extent cx="4432300" cy="3505200"/>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1.tiff"/>
                    <pic:cNvPicPr/>
                  </pic:nvPicPr>
                  <pic:blipFill>
                    <a:blip r:embed="rId6" cstate="print">
                      <a:extLst>
                        <a:ext uri="{28A0092B-C50C-407E-A947-70E740481C1C}">
                          <a14:useLocalDpi xmlns:a14="http://schemas.microsoft.com/office/drawing/2010/main" val="0"/>
                        </a:ext>
                      </a:extLst>
                    </a:blip>
                    <a:stretch>
                      <a:fillRect/>
                    </a:stretch>
                  </pic:blipFill>
                  <pic:spPr>
                    <a:xfrm>
                      <a:off x="0" y="0"/>
                      <a:ext cx="4432300" cy="3505200"/>
                    </a:xfrm>
                    <a:prstGeom prst="rect">
                      <a:avLst/>
                    </a:prstGeom>
                  </pic:spPr>
                </pic:pic>
              </a:graphicData>
            </a:graphic>
          </wp:inline>
        </w:drawing>
      </w:r>
    </w:p>
    <w:p w14:paraId="6FA8310C" w14:textId="77777777" w:rsidR="00DA0C57" w:rsidRPr="007054FD" w:rsidRDefault="00DA0C57" w:rsidP="00DA0C57">
      <w:pPr>
        <w:spacing w:after="0" w:line="480" w:lineRule="auto"/>
        <w:rPr>
          <w:rFonts w:ascii="Arial" w:hAnsi="Arial" w:cs="Arial"/>
          <w:sz w:val="24"/>
          <w:szCs w:val="24"/>
          <w:lang w:val="en-US"/>
        </w:rPr>
      </w:pPr>
    </w:p>
    <w:p w14:paraId="226E8722" w14:textId="77777777" w:rsidR="00DA0C57" w:rsidRDefault="00DA0C57" w:rsidP="00DA0C57">
      <w:pPr>
        <w:spacing w:after="0" w:line="480" w:lineRule="auto"/>
        <w:rPr>
          <w:rFonts w:ascii="Arial" w:hAnsi="Arial" w:cs="Arial"/>
          <w:b/>
          <w:sz w:val="24"/>
          <w:szCs w:val="24"/>
          <w:lang w:val="en-US"/>
        </w:rPr>
        <w:sectPr w:rsidR="00DA0C57" w:rsidSect="00DA0C57">
          <w:pgSz w:w="11900" w:h="16840"/>
          <w:pgMar w:top="1417" w:right="1417" w:bottom="1134" w:left="1417" w:header="708" w:footer="708" w:gutter="0"/>
          <w:cols w:space="708"/>
          <w:docGrid w:linePitch="360"/>
        </w:sectPr>
      </w:pPr>
    </w:p>
    <w:p w14:paraId="0542DAE1" w14:textId="77777777" w:rsidR="00DA0C57" w:rsidRDefault="00DA0C57" w:rsidP="00DA0C57">
      <w:pPr>
        <w:spacing w:after="0" w:line="480" w:lineRule="auto"/>
        <w:rPr>
          <w:rFonts w:ascii="Arial" w:hAnsi="Arial" w:cs="Arial"/>
          <w:sz w:val="24"/>
          <w:szCs w:val="24"/>
          <w:lang w:val="en-US"/>
        </w:rPr>
      </w:pPr>
      <w:r w:rsidRPr="007054FD">
        <w:rPr>
          <w:rFonts w:ascii="Arial" w:hAnsi="Arial" w:cs="Arial"/>
          <w:b/>
          <w:sz w:val="24"/>
          <w:szCs w:val="24"/>
          <w:lang w:val="en-US"/>
        </w:rPr>
        <w:lastRenderedPageBreak/>
        <w:t>Figure S2.</w:t>
      </w:r>
      <w:r w:rsidRPr="007054FD">
        <w:rPr>
          <w:rFonts w:ascii="Arial" w:hAnsi="Arial" w:cs="Arial"/>
          <w:sz w:val="24"/>
          <w:szCs w:val="24"/>
          <w:lang w:val="en-US"/>
        </w:rPr>
        <w:t xml:space="preserve"> Correlation of endoglin tumor and endoglin endothelium H-score. Two-tailed Pearson test coefficients (r) and significances are indicated for newly diagnosed and recurrent tumors respectively. A linear regression analysis was performed to show a best-fit line between the two variables.</w:t>
      </w:r>
    </w:p>
    <w:p w14:paraId="70D38DB4" w14:textId="77777777" w:rsidR="00DA0C57" w:rsidRPr="007054FD" w:rsidRDefault="00DA0C57" w:rsidP="00DA0C57">
      <w:pPr>
        <w:spacing w:after="0" w:line="480" w:lineRule="auto"/>
        <w:rPr>
          <w:rFonts w:ascii="Arial" w:hAnsi="Arial" w:cs="Arial"/>
          <w:sz w:val="24"/>
          <w:szCs w:val="24"/>
          <w:lang w:val="en-US"/>
        </w:rPr>
      </w:pPr>
      <w:r>
        <w:rPr>
          <w:rFonts w:ascii="Arial" w:hAnsi="Arial" w:cs="Arial"/>
          <w:noProof/>
          <w:sz w:val="24"/>
          <w:szCs w:val="24"/>
          <w:lang w:val="en-US"/>
        </w:rPr>
        <w:drawing>
          <wp:inline distT="0" distB="0" distL="0" distR="0" wp14:anchorId="313E1BDB" wp14:editId="36BF6246">
            <wp:extent cx="8804492" cy="2610465"/>
            <wp:effectExtent l="0" t="0" r="0" b="635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2.tiff"/>
                    <pic:cNvPicPr/>
                  </pic:nvPicPr>
                  <pic:blipFill>
                    <a:blip r:embed="rId7" cstate="print">
                      <a:extLst>
                        <a:ext uri="{28A0092B-C50C-407E-A947-70E740481C1C}">
                          <a14:useLocalDpi xmlns:a14="http://schemas.microsoft.com/office/drawing/2010/main" val="0"/>
                        </a:ext>
                      </a:extLst>
                    </a:blip>
                    <a:stretch>
                      <a:fillRect/>
                    </a:stretch>
                  </pic:blipFill>
                  <pic:spPr>
                    <a:xfrm>
                      <a:off x="0" y="0"/>
                      <a:ext cx="8814258" cy="2613361"/>
                    </a:xfrm>
                    <a:prstGeom prst="rect">
                      <a:avLst/>
                    </a:prstGeom>
                  </pic:spPr>
                </pic:pic>
              </a:graphicData>
            </a:graphic>
          </wp:inline>
        </w:drawing>
      </w:r>
    </w:p>
    <w:p w14:paraId="7EF0136B" w14:textId="77777777" w:rsidR="00DA0C57" w:rsidRPr="007054FD" w:rsidRDefault="00DA0C57" w:rsidP="00DA0C57">
      <w:pPr>
        <w:spacing w:after="0" w:line="480" w:lineRule="auto"/>
        <w:rPr>
          <w:rFonts w:ascii="Arial" w:hAnsi="Arial" w:cs="Arial"/>
          <w:sz w:val="24"/>
          <w:szCs w:val="24"/>
          <w:lang w:val="en-US"/>
        </w:rPr>
      </w:pPr>
    </w:p>
    <w:p w14:paraId="5B25F8C4" w14:textId="77777777" w:rsidR="00DA0C57" w:rsidRDefault="00DA0C57" w:rsidP="00DA0C57">
      <w:pPr>
        <w:spacing w:after="0" w:line="480" w:lineRule="auto"/>
        <w:rPr>
          <w:rFonts w:ascii="Arial" w:hAnsi="Arial" w:cs="Arial"/>
          <w:b/>
          <w:sz w:val="24"/>
          <w:szCs w:val="24"/>
          <w:lang w:val="en-US"/>
        </w:rPr>
        <w:sectPr w:rsidR="00DA0C57" w:rsidSect="00DA0C57">
          <w:pgSz w:w="16840" w:h="11900" w:orient="landscape"/>
          <w:pgMar w:top="1417" w:right="1134" w:bottom="1417" w:left="1417" w:header="708" w:footer="708" w:gutter="0"/>
          <w:cols w:space="708"/>
          <w:docGrid w:linePitch="360"/>
        </w:sectPr>
      </w:pPr>
    </w:p>
    <w:p w14:paraId="1F7C8216" w14:textId="7267DCEF" w:rsidR="00DA0C57" w:rsidRDefault="00DA0C57" w:rsidP="00DA0C57">
      <w:pPr>
        <w:spacing w:after="0" w:line="480" w:lineRule="auto"/>
        <w:rPr>
          <w:rFonts w:ascii="Arial" w:hAnsi="Arial" w:cs="Arial"/>
          <w:sz w:val="24"/>
          <w:szCs w:val="24"/>
          <w:lang w:val="en-US"/>
        </w:rPr>
      </w:pPr>
      <w:r w:rsidRPr="007054FD">
        <w:rPr>
          <w:rFonts w:ascii="Arial" w:hAnsi="Arial" w:cs="Arial"/>
          <w:b/>
          <w:sz w:val="24"/>
          <w:szCs w:val="24"/>
          <w:lang w:val="en-US"/>
        </w:rPr>
        <w:lastRenderedPageBreak/>
        <w:t xml:space="preserve">Figure S3. </w:t>
      </w:r>
      <w:r w:rsidRPr="007054FD">
        <w:rPr>
          <w:rFonts w:ascii="Arial" w:hAnsi="Arial" w:cs="Arial"/>
          <w:sz w:val="24"/>
          <w:szCs w:val="24"/>
          <w:lang w:val="en-US"/>
        </w:rPr>
        <w:t xml:space="preserve">Kaplan-Meier survival curves of overall survival of patients of a glioblastoma data set of TCGA network (R2 internal identifier </w:t>
      </w:r>
      <w:r w:rsidRPr="007054FD">
        <w:rPr>
          <w:rFonts w:ascii="Arial" w:hAnsi="Arial" w:cs="Arial"/>
          <w:sz w:val="24"/>
          <w:szCs w:val="24"/>
          <w:shd w:val="clear" w:color="auto" w:fill="FFFFFF"/>
          <w:lang w:val="en-US"/>
        </w:rPr>
        <w:t>ps_avgpres_broadgbm540_u133a)</w:t>
      </w:r>
      <w:r w:rsidRPr="007054FD">
        <w:rPr>
          <w:rFonts w:ascii="Arial" w:hAnsi="Arial" w:cs="Arial"/>
          <w:sz w:val="24"/>
          <w:szCs w:val="24"/>
          <w:lang w:val="en-US"/>
        </w:rPr>
        <w:t xml:space="preserve"> are shown for newly diagnosed glioblastomas. Patients were divided into two groups with high (blue) or low (red) expression of the target gene with the cut-off defined by the median mRNA expression level of the target (</w:t>
      </w:r>
      <w:r w:rsidR="00F3667C">
        <w:rPr>
          <w:rFonts w:ascii="Arial" w:hAnsi="Arial" w:cs="Arial"/>
          <w:sz w:val="24"/>
          <w:szCs w:val="24"/>
          <w:lang w:val="en-US"/>
        </w:rPr>
        <w:t>a</w:t>
      </w:r>
      <w:r w:rsidRPr="007054FD">
        <w:rPr>
          <w:rFonts w:ascii="Arial" w:hAnsi="Arial" w:cs="Arial"/>
          <w:sz w:val="24"/>
          <w:szCs w:val="24"/>
          <w:lang w:val="en-US"/>
        </w:rPr>
        <w:t>), alternatively, the cut-off was defined by the expression level that results in the highest association with survival (</w:t>
      </w:r>
      <w:r w:rsidR="007419E3">
        <w:rPr>
          <w:rFonts w:ascii="Arial" w:hAnsi="Arial" w:cs="Arial"/>
          <w:sz w:val="24"/>
          <w:szCs w:val="24"/>
          <w:lang w:val="en-US"/>
        </w:rPr>
        <w:t>b</w:t>
      </w:r>
      <w:r w:rsidRPr="007054FD">
        <w:rPr>
          <w:rFonts w:ascii="Arial" w:hAnsi="Arial" w:cs="Arial"/>
          <w:sz w:val="24"/>
          <w:szCs w:val="24"/>
          <w:lang w:val="en-US"/>
        </w:rPr>
        <w:t>). Statistical significances (p) were determined using the log-rank test, p&lt; 0.05 was considered significant.</w:t>
      </w:r>
    </w:p>
    <w:p w14:paraId="5DF3EDFA" w14:textId="2BFBC361" w:rsidR="00486763" w:rsidRDefault="00486763" w:rsidP="00DA0C57">
      <w:pPr>
        <w:spacing w:after="0" w:line="480" w:lineRule="auto"/>
        <w:rPr>
          <w:rFonts w:ascii="Arial" w:hAnsi="Arial" w:cs="Arial"/>
          <w:sz w:val="24"/>
          <w:szCs w:val="24"/>
          <w:lang w:val="en-US"/>
        </w:rPr>
        <w:sectPr w:rsidR="00486763" w:rsidSect="00DA0C57">
          <w:pgSz w:w="16840" w:h="11900" w:orient="landscape"/>
          <w:pgMar w:top="1417" w:right="1134" w:bottom="1417" w:left="1417" w:header="708" w:footer="708" w:gutter="0"/>
          <w:cols w:space="708"/>
          <w:docGrid w:linePitch="360"/>
        </w:sectPr>
      </w:pPr>
      <w:r>
        <w:rPr>
          <w:rFonts w:ascii="Arial" w:hAnsi="Arial" w:cs="Arial"/>
          <w:noProof/>
          <w:sz w:val="24"/>
          <w:szCs w:val="24"/>
          <w:lang w:val="en-US"/>
        </w:rPr>
        <w:drawing>
          <wp:inline distT="0" distB="0" distL="0" distR="0" wp14:anchorId="74833355" wp14:editId="47C4CBBE">
            <wp:extent cx="9073515" cy="3926205"/>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pic:cNvPicPr/>
                  </pic:nvPicPr>
                  <pic:blipFill>
                    <a:blip r:embed="rId8" cstate="print">
                      <a:extLst>
                        <a:ext uri="{28A0092B-C50C-407E-A947-70E740481C1C}">
                          <a14:useLocalDpi xmlns:a14="http://schemas.microsoft.com/office/drawing/2010/main" val="0"/>
                        </a:ext>
                      </a:extLst>
                    </a:blip>
                    <a:stretch>
                      <a:fillRect/>
                    </a:stretch>
                  </pic:blipFill>
                  <pic:spPr>
                    <a:xfrm>
                      <a:off x="0" y="0"/>
                      <a:ext cx="9073515" cy="3926205"/>
                    </a:xfrm>
                    <a:prstGeom prst="rect">
                      <a:avLst/>
                    </a:prstGeom>
                  </pic:spPr>
                </pic:pic>
              </a:graphicData>
            </a:graphic>
          </wp:inline>
        </w:drawing>
      </w:r>
    </w:p>
    <w:p w14:paraId="71FD8561" w14:textId="77777777" w:rsidR="00DA0C57" w:rsidRPr="007054FD" w:rsidRDefault="00DA0C57" w:rsidP="00DA0C57">
      <w:pPr>
        <w:spacing w:after="0" w:line="480" w:lineRule="auto"/>
        <w:rPr>
          <w:rFonts w:ascii="Arial" w:hAnsi="Arial" w:cs="Arial"/>
          <w:sz w:val="24"/>
          <w:szCs w:val="24"/>
          <w:lang w:val="en-US"/>
        </w:rPr>
      </w:pPr>
    </w:p>
    <w:p w14:paraId="25F2DA38" w14:textId="77777777" w:rsidR="00DA0C57" w:rsidRPr="007054FD" w:rsidRDefault="00DA0C57" w:rsidP="00DA0C57">
      <w:pPr>
        <w:spacing w:after="0" w:line="480" w:lineRule="auto"/>
        <w:rPr>
          <w:rFonts w:ascii="Arial" w:hAnsi="Arial" w:cs="Arial"/>
          <w:sz w:val="24"/>
          <w:szCs w:val="24"/>
          <w:lang w:val="en-US"/>
        </w:rPr>
      </w:pPr>
      <w:r w:rsidRPr="007054FD">
        <w:rPr>
          <w:rFonts w:ascii="Arial" w:hAnsi="Arial" w:cs="Arial"/>
          <w:b/>
          <w:sz w:val="24"/>
          <w:szCs w:val="24"/>
          <w:lang w:val="en-US"/>
        </w:rPr>
        <w:t xml:space="preserve">Figure S4. </w:t>
      </w:r>
      <w:r w:rsidRPr="007054FD">
        <w:rPr>
          <w:rFonts w:ascii="Arial" w:hAnsi="Arial" w:cs="Arial"/>
          <w:sz w:val="24"/>
          <w:szCs w:val="24"/>
          <w:lang w:val="en-US"/>
        </w:rPr>
        <w:t xml:space="preserve">Endoglin expression correlates with expression of hypoxia-responsive genes in glioblastoma patients. Correlation analyses of mRNA expression data of </w:t>
      </w:r>
      <w:r w:rsidRPr="007054FD">
        <w:rPr>
          <w:rFonts w:ascii="Arial" w:hAnsi="Arial" w:cs="Arial"/>
          <w:i/>
          <w:sz w:val="24"/>
          <w:szCs w:val="24"/>
          <w:lang w:val="en-US"/>
        </w:rPr>
        <w:t>endoglin</w:t>
      </w:r>
      <w:r w:rsidRPr="007054FD">
        <w:rPr>
          <w:rFonts w:ascii="Arial" w:hAnsi="Arial" w:cs="Arial"/>
          <w:sz w:val="24"/>
          <w:szCs w:val="24"/>
          <w:lang w:val="en-US"/>
        </w:rPr>
        <w:t xml:space="preserve"> with </w:t>
      </w:r>
      <w:r w:rsidRPr="007054FD">
        <w:rPr>
          <w:rFonts w:ascii="Arial" w:hAnsi="Arial" w:cs="Arial"/>
          <w:i/>
          <w:sz w:val="24"/>
          <w:szCs w:val="24"/>
          <w:lang w:val="en-US"/>
        </w:rPr>
        <w:t>CAIX, VEGFA, VEGFR1</w:t>
      </w:r>
      <w:r w:rsidRPr="007054FD">
        <w:rPr>
          <w:rFonts w:ascii="Arial" w:hAnsi="Arial" w:cs="Arial"/>
          <w:sz w:val="24"/>
          <w:szCs w:val="24"/>
          <w:lang w:val="en-US"/>
        </w:rPr>
        <w:t xml:space="preserve">, and </w:t>
      </w:r>
      <w:r w:rsidRPr="007054FD">
        <w:rPr>
          <w:rFonts w:ascii="Arial" w:hAnsi="Arial" w:cs="Arial"/>
          <w:i/>
          <w:sz w:val="24"/>
          <w:szCs w:val="24"/>
          <w:lang w:val="en-US"/>
        </w:rPr>
        <w:t>VEGFR2</w:t>
      </w:r>
      <w:r w:rsidRPr="007054FD">
        <w:rPr>
          <w:rFonts w:ascii="Arial" w:hAnsi="Arial" w:cs="Arial"/>
          <w:sz w:val="24"/>
          <w:szCs w:val="24"/>
          <w:lang w:val="en-US"/>
        </w:rPr>
        <w:t xml:space="preserve"> </w:t>
      </w:r>
      <w:r>
        <w:rPr>
          <w:rFonts w:ascii="Arial" w:hAnsi="Arial" w:cs="Arial"/>
          <w:sz w:val="24"/>
          <w:szCs w:val="24"/>
          <w:lang w:val="en-US"/>
        </w:rPr>
        <w:t>are</w:t>
      </w:r>
      <w:r w:rsidRPr="007054FD">
        <w:rPr>
          <w:rFonts w:ascii="Arial" w:hAnsi="Arial" w:cs="Arial"/>
          <w:sz w:val="24"/>
          <w:szCs w:val="24"/>
          <w:lang w:val="en-US"/>
        </w:rPr>
        <w:t xml:space="preserve"> shown in glioblastoma patients from the TCGA database. Expression values are represented in a linear scale. Two-tailed Pearson test coefficients (r) and significances (p) are indicated. A linear regression analysis was performed to show a best-fit line between the two variables.</w:t>
      </w:r>
    </w:p>
    <w:p w14:paraId="70AA531C" w14:textId="77777777" w:rsidR="00DA0C57" w:rsidRPr="007054FD" w:rsidRDefault="00DA0C57" w:rsidP="00DA0C57">
      <w:pPr>
        <w:spacing w:after="0" w:line="480" w:lineRule="auto"/>
        <w:rPr>
          <w:rFonts w:ascii="Arial" w:hAnsi="Arial" w:cs="Arial"/>
          <w:sz w:val="24"/>
          <w:szCs w:val="24"/>
          <w:lang w:val="en-US"/>
        </w:rPr>
      </w:pPr>
    </w:p>
    <w:p w14:paraId="51433EEC" w14:textId="77777777" w:rsidR="00DA0C57" w:rsidRDefault="00DA0C57" w:rsidP="00DA0C57">
      <w:pPr>
        <w:spacing w:after="0" w:line="480" w:lineRule="auto"/>
        <w:rPr>
          <w:rFonts w:ascii="Arial" w:hAnsi="Arial" w:cs="Arial"/>
          <w:b/>
          <w:sz w:val="24"/>
          <w:szCs w:val="24"/>
          <w:lang w:val="en-US"/>
        </w:rPr>
        <w:sectPr w:rsidR="00DA0C57" w:rsidSect="00DA0C57">
          <w:pgSz w:w="16840" w:h="11900" w:orient="landscape"/>
          <w:pgMar w:top="1417" w:right="1134" w:bottom="1417" w:left="1417" w:header="708" w:footer="708" w:gutter="0"/>
          <w:cols w:space="708"/>
          <w:docGrid w:linePitch="360"/>
        </w:sectPr>
      </w:pPr>
      <w:r>
        <w:rPr>
          <w:rFonts w:ascii="Arial" w:hAnsi="Arial" w:cs="Arial"/>
          <w:b/>
          <w:noProof/>
          <w:sz w:val="24"/>
          <w:szCs w:val="24"/>
          <w:lang w:val="en-US"/>
        </w:rPr>
        <w:drawing>
          <wp:inline distT="0" distB="0" distL="0" distR="0" wp14:anchorId="039F6E4E" wp14:editId="16576128">
            <wp:extent cx="9192487" cy="2271252"/>
            <wp:effectExtent l="0" t="0" r="2540" b="254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4.tiff"/>
                    <pic:cNvPicPr/>
                  </pic:nvPicPr>
                  <pic:blipFill>
                    <a:blip r:embed="rId9" cstate="print">
                      <a:extLst>
                        <a:ext uri="{28A0092B-C50C-407E-A947-70E740481C1C}">
                          <a14:useLocalDpi xmlns:a14="http://schemas.microsoft.com/office/drawing/2010/main" val="0"/>
                        </a:ext>
                      </a:extLst>
                    </a:blip>
                    <a:stretch>
                      <a:fillRect/>
                    </a:stretch>
                  </pic:blipFill>
                  <pic:spPr>
                    <a:xfrm>
                      <a:off x="0" y="0"/>
                      <a:ext cx="9199061" cy="2272876"/>
                    </a:xfrm>
                    <a:prstGeom prst="rect">
                      <a:avLst/>
                    </a:prstGeom>
                  </pic:spPr>
                </pic:pic>
              </a:graphicData>
            </a:graphic>
          </wp:inline>
        </w:drawing>
      </w:r>
    </w:p>
    <w:p w14:paraId="1BD1D75A" w14:textId="0158BE4A" w:rsidR="00DA0C57" w:rsidRPr="007054FD" w:rsidRDefault="00DA0C57" w:rsidP="00DA0C57">
      <w:pPr>
        <w:spacing w:after="0" w:line="480" w:lineRule="auto"/>
        <w:rPr>
          <w:rFonts w:ascii="Arial" w:hAnsi="Arial" w:cs="Arial"/>
          <w:b/>
          <w:sz w:val="24"/>
          <w:szCs w:val="24"/>
          <w:lang w:val="en-US"/>
        </w:rPr>
      </w:pPr>
      <w:r w:rsidRPr="007054FD">
        <w:rPr>
          <w:rFonts w:ascii="Arial" w:hAnsi="Arial" w:cs="Arial"/>
          <w:b/>
          <w:sz w:val="24"/>
          <w:szCs w:val="24"/>
          <w:lang w:val="en-US"/>
        </w:rPr>
        <w:lastRenderedPageBreak/>
        <w:t xml:space="preserve">Figure S5. </w:t>
      </w:r>
      <w:r w:rsidRPr="007054FD">
        <w:rPr>
          <w:rFonts w:ascii="Arial" w:hAnsi="Arial" w:cs="Arial"/>
          <w:sz w:val="24"/>
          <w:szCs w:val="24"/>
          <w:lang w:val="en-US"/>
        </w:rPr>
        <w:t xml:space="preserve">Endoglin expression in human glioma cell lines after culture under hypoxia. </w:t>
      </w:r>
      <w:r w:rsidR="00FD1F95">
        <w:rPr>
          <w:rFonts w:ascii="Arial" w:hAnsi="Arial" w:cs="Arial"/>
          <w:sz w:val="24"/>
          <w:szCs w:val="24"/>
          <w:lang w:val="en-US"/>
        </w:rPr>
        <w:t>LN-18</w:t>
      </w:r>
      <w:r w:rsidRPr="007054FD">
        <w:rPr>
          <w:rFonts w:ascii="Arial" w:hAnsi="Arial" w:cs="Arial"/>
          <w:sz w:val="24"/>
          <w:szCs w:val="24"/>
          <w:lang w:val="en-US"/>
        </w:rPr>
        <w:t xml:space="preserve"> or ZH-161 glioma cells were culture</w:t>
      </w:r>
      <w:r w:rsidR="00CD70CF">
        <w:rPr>
          <w:rFonts w:ascii="Arial" w:hAnsi="Arial" w:cs="Arial"/>
          <w:sz w:val="24"/>
          <w:szCs w:val="24"/>
          <w:lang w:val="en-US"/>
        </w:rPr>
        <w:t>d</w:t>
      </w:r>
      <w:r w:rsidRPr="007054FD">
        <w:rPr>
          <w:rFonts w:ascii="Arial" w:hAnsi="Arial" w:cs="Arial"/>
          <w:sz w:val="24"/>
          <w:szCs w:val="24"/>
          <w:lang w:val="en-US"/>
        </w:rPr>
        <w:t xml:space="preserve"> for 24 h under hypoxia (1%) or normoxia. Subsequently, endoglin was detected by flow cytometry.</w:t>
      </w:r>
      <w:r w:rsidRPr="007054FD">
        <w:rPr>
          <w:rFonts w:ascii="Arial" w:hAnsi="Arial" w:cs="Arial"/>
          <w:b/>
          <w:sz w:val="24"/>
          <w:szCs w:val="24"/>
          <w:lang w:val="en-US"/>
        </w:rPr>
        <w:t xml:space="preserve"> </w:t>
      </w:r>
    </w:p>
    <w:p w14:paraId="5C3F5596" w14:textId="77777777" w:rsidR="00DA0C57" w:rsidRPr="007054FD" w:rsidRDefault="00DA0C57" w:rsidP="00DA0C57">
      <w:pPr>
        <w:spacing w:after="0" w:line="480" w:lineRule="auto"/>
        <w:rPr>
          <w:rFonts w:ascii="Arial" w:hAnsi="Arial" w:cs="Arial"/>
          <w:b/>
          <w:sz w:val="24"/>
          <w:szCs w:val="24"/>
          <w:lang w:val="en-US"/>
        </w:rPr>
      </w:pPr>
    </w:p>
    <w:p w14:paraId="04C336AF" w14:textId="77777777" w:rsidR="00DA0C57" w:rsidRDefault="00DA0C57" w:rsidP="00DA0C57">
      <w:pPr>
        <w:spacing w:after="0" w:line="480" w:lineRule="auto"/>
        <w:rPr>
          <w:rFonts w:ascii="Arial" w:hAnsi="Arial" w:cs="Arial"/>
          <w:b/>
          <w:sz w:val="24"/>
          <w:szCs w:val="24"/>
          <w:lang w:val="en-US"/>
        </w:rPr>
        <w:sectPr w:rsidR="00DA0C57" w:rsidSect="009159C1">
          <w:pgSz w:w="11900" w:h="16840"/>
          <w:pgMar w:top="1417" w:right="1417" w:bottom="1134" w:left="1417" w:header="708" w:footer="708" w:gutter="0"/>
          <w:cols w:space="708"/>
          <w:docGrid w:linePitch="360"/>
        </w:sectPr>
      </w:pPr>
      <w:r>
        <w:rPr>
          <w:rFonts w:ascii="Arial" w:hAnsi="Arial" w:cs="Arial"/>
          <w:b/>
          <w:noProof/>
          <w:sz w:val="24"/>
          <w:szCs w:val="24"/>
          <w:lang w:val="en-US"/>
        </w:rPr>
        <w:drawing>
          <wp:inline distT="0" distB="0" distL="0" distR="0" wp14:anchorId="31370590" wp14:editId="26DD2A79">
            <wp:extent cx="4000500" cy="2921000"/>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5.tif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000500" cy="2921000"/>
                    </a:xfrm>
                    <a:prstGeom prst="rect">
                      <a:avLst/>
                    </a:prstGeom>
                  </pic:spPr>
                </pic:pic>
              </a:graphicData>
            </a:graphic>
          </wp:inline>
        </w:drawing>
      </w:r>
    </w:p>
    <w:p w14:paraId="50158D39" w14:textId="77777777" w:rsidR="00DA0C57" w:rsidRPr="007054FD" w:rsidRDefault="00DA0C57" w:rsidP="00DA0C57">
      <w:pPr>
        <w:spacing w:after="0" w:line="480" w:lineRule="auto"/>
        <w:rPr>
          <w:rFonts w:ascii="Arial" w:hAnsi="Arial" w:cs="Arial"/>
          <w:b/>
          <w:sz w:val="24"/>
          <w:szCs w:val="24"/>
          <w:lang w:val="en-US"/>
        </w:rPr>
      </w:pPr>
      <w:r w:rsidRPr="007054FD">
        <w:rPr>
          <w:rFonts w:ascii="Arial" w:hAnsi="Arial" w:cs="Arial"/>
          <w:b/>
          <w:sz w:val="24"/>
          <w:szCs w:val="24"/>
          <w:lang w:val="en-US"/>
        </w:rPr>
        <w:lastRenderedPageBreak/>
        <w:t>Figure S6.</w:t>
      </w:r>
      <w:r w:rsidRPr="007054FD">
        <w:rPr>
          <w:rFonts w:ascii="Arial" w:hAnsi="Arial" w:cs="Arial"/>
          <w:sz w:val="24"/>
          <w:szCs w:val="24"/>
          <w:lang w:val="en-US"/>
        </w:rPr>
        <w:t xml:space="preserve"> </w:t>
      </w:r>
      <w:r w:rsidRPr="007054FD">
        <w:rPr>
          <w:rFonts w:ascii="Arial" w:hAnsi="Arial" w:cs="Arial"/>
          <w:bCs/>
          <w:sz w:val="24"/>
          <w:szCs w:val="24"/>
          <w:lang w:val="en-US"/>
        </w:rPr>
        <w:t>Distribution of CD31 and</w:t>
      </w:r>
      <w:r w:rsidRPr="007054FD">
        <w:rPr>
          <w:rFonts w:ascii="Symbol" w:hAnsi="Symbol" w:cs="Arial"/>
          <w:bCs/>
          <w:sz w:val="24"/>
          <w:szCs w:val="24"/>
          <w:lang w:val="en-US"/>
        </w:rPr>
        <w:t></w:t>
      </w:r>
      <w:r w:rsidRPr="007054FD">
        <w:rPr>
          <w:rFonts w:ascii="Symbol" w:hAnsi="Symbol" w:cs="Arial"/>
          <w:bCs/>
          <w:sz w:val="24"/>
          <w:szCs w:val="24"/>
          <w:lang w:val="en-US"/>
        </w:rPr>
        <w:t></w:t>
      </w:r>
      <w:r w:rsidRPr="007054FD">
        <w:rPr>
          <w:rFonts w:ascii="Arial" w:hAnsi="Arial" w:cs="Arial"/>
          <w:bCs/>
          <w:sz w:val="24"/>
          <w:szCs w:val="24"/>
          <w:lang w:val="en-US"/>
        </w:rPr>
        <w:t xml:space="preserve">SMA expression in cells derived from freshly dissociated human glioblastoma (n = 6). X-axis: CD31 expression value, y-axis: </w:t>
      </w:r>
      <w:r w:rsidRPr="007054FD">
        <w:rPr>
          <w:rFonts w:ascii="Symbol" w:hAnsi="Symbol" w:cs="Arial"/>
          <w:bCs/>
          <w:sz w:val="24"/>
          <w:szCs w:val="24"/>
        </w:rPr>
        <w:t></w:t>
      </w:r>
      <w:r w:rsidRPr="007054FD">
        <w:rPr>
          <w:rFonts w:ascii="Arial" w:hAnsi="Arial" w:cs="Arial"/>
          <w:bCs/>
          <w:sz w:val="24"/>
          <w:szCs w:val="24"/>
          <w:lang w:val="en-US"/>
        </w:rPr>
        <w:t>SMA expression value.</w:t>
      </w:r>
    </w:p>
    <w:p w14:paraId="65D79FA4" w14:textId="77777777" w:rsidR="00DA0C57" w:rsidRPr="00DA0C57" w:rsidRDefault="00DA0C57" w:rsidP="00DA0C57">
      <w:pPr>
        <w:rPr>
          <w:rFonts w:ascii="Arial" w:hAnsi="Arial" w:cs="Arial"/>
          <w:sz w:val="24"/>
          <w:szCs w:val="24"/>
          <w:lang w:val="en-US"/>
        </w:rPr>
      </w:pPr>
    </w:p>
    <w:p w14:paraId="1C1451EA" w14:textId="77777777" w:rsidR="00DA0C57" w:rsidRPr="00DA0C57" w:rsidRDefault="00DA0C57" w:rsidP="00DA0C57">
      <w:pPr>
        <w:rPr>
          <w:rFonts w:ascii="Arial" w:hAnsi="Arial" w:cs="Arial"/>
          <w:sz w:val="24"/>
          <w:szCs w:val="24"/>
          <w:lang w:val="en-GB"/>
        </w:rPr>
      </w:pPr>
      <w:r>
        <w:rPr>
          <w:rFonts w:ascii="Arial" w:hAnsi="Arial" w:cs="Arial"/>
          <w:noProof/>
          <w:sz w:val="24"/>
          <w:szCs w:val="24"/>
          <w:lang w:val="en-GB"/>
        </w:rPr>
        <w:drawing>
          <wp:inline distT="0" distB="0" distL="0" distR="0" wp14:anchorId="0DB3308A" wp14:editId="2E59C3AC">
            <wp:extent cx="4114800" cy="391160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6.tif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114800" cy="3911600"/>
                    </a:xfrm>
                    <a:prstGeom prst="rect">
                      <a:avLst/>
                    </a:prstGeom>
                  </pic:spPr>
                </pic:pic>
              </a:graphicData>
            </a:graphic>
          </wp:inline>
        </w:drawing>
      </w:r>
    </w:p>
    <w:p w14:paraId="529730BC" w14:textId="77777777" w:rsidR="00DA0C57" w:rsidRPr="00DA0C57" w:rsidRDefault="00DA0C57" w:rsidP="00DA0C57">
      <w:pPr>
        <w:rPr>
          <w:rFonts w:ascii="Arial" w:hAnsi="Arial" w:cs="Arial"/>
          <w:sz w:val="24"/>
          <w:szCs w:val="24"/>
          <w:lang w:val="en-GB"/>
        </w:rPr>
      </w:pPr>
    </w:p>
    <w:p w14:paraId="0D357504" w14:textId="77777777" w:rsidR="00DA0C57" w:rsidRPr="00DA0C57" w:rsidRDefault="00DA0C57" w:rsidP="00DA0C57">
      <w:pPr>
        <w:rPr>
          <w:rFonts w:ascii="Arial" w:hAnsi="Arial" w:cs="Arial"/>
          <w:sz w:val="24"/>
          <w:szCs w:val="24"/>
          <w:lang w:val="en-GB"/>
        </w:rPr>
      </w:pPr>
    </w:p>
    <w:p w14:paraId="56D6D053" w14:textId="77777777" w:rsidR="00DA0C57" w:rsidRPr="00DA0C57" w:rsidRDefault="00DA0C57" w:rsidP="00DA0C57">
      <w:pPr>
        <w:rPr>
          <w:rFonts w:ascii="Arial" w:hAnsi="Arial" w:cs="Arial"/>
          <w:sz w:val="24"/>
          <w:szCs w:val="24"/>
          <w:lang w:val="en-GB"/>
        </w:rPr>
      </w:pPr>
    </w:p>
    <w:p w14:paraId="0A02F0FF" w14:textId="77777777" w:rsidR="00DA0C57" w:rsidRPr="00DA0C57" w:rsidRDefault="00DA0C57" w:rsidP="00DA0C57">
      <w:pPr>
        <w:rPr>
          <w:rFonts w:ascii="Arial" w:hAnsi="Arial" w:cs="Arial"/>
          <w:sz w:val="24"/>
          <w:szCs w:val="24"/>
          <w:lang w:val="en-GB"/>
        </w:rPr>
      </w:pPr>
    </w:p>
    <w:p w14:paraId="2DE42F3E" w14:textId="77777777" w:rsidR="00DA0C57" w:rsidRPr="00DA0C57" w:rsidRDefault="00DA0C57" w:rsidP="00DA0C57">
      <w:pPr>
        <w:rPr>
          <w:rFonts w:ascii="Arial" w:hAnsi="Arial" w:cs="Arial"/>
          <w:sz w:val="24"/>
          <w:szCs w:val="24"/>
          <w:lang w:val="en-GB"/>
        </w:rPr>
      </w:pPr>
    </w:p>
    <w:p w14:paraId="25F537BD" w14:textId="77777777" w:rsidR="00DA0C57" w:rsidRPr="00DA0C57" w:rsidRDefault="00DA0C57" w:rsidP="00DA0C57">
      <w:pPr>
        <w:rPr>
          <w:rFonts w:ascii="Arial" w:hAnsi="Arial" w:cs="Arial"/>
          <w:sz w:val="24"/>
          <w:szCs w:val="24"/>
          <w:lang w:val="en-GB"/>
        </w:rPr>
      </w:pPr>
    </w:p>
    <w:p w14:paraId="4B681BCF" w14:textId="77777777" w:rsidR="00DA0C57" w:rsidRPr="00DA0C57" w:rsidRDefault="00DA0C57" w:rsidP="00DA0C57">
      <w:pPr>
        <w:rPr>
          <w:rFonts w:ascii="Arial" w:hAnsi="Arial" w:cs="Arial"/>
          <w:sz w:val="24"/>
          <w:szCs w:val="24"/>
          <w:lang w:val="en-GB"/>
        </w:rPr>
      </w:pPr>
    </w:p>
    <w:p w14:paraId="73FFBF58" w14:textId="77777777" w:rsidR="00DA0C57" w:rsidRPr="00DA0C57" w:rsidRDefault="00DA0C57" w:rsidP="00DA0C57">
      <w:pPr>
        <w:rPr>
          <w:rFonts w:ascii="Arial" w:hAnsi="Arial" w:cs="Arial"/>
          <w:sz w:val="24"/>
          <w:szCs w:val="24"/>
          <w:lang w:val="en-GB"/>
        </w:rPr>
      </w:pPr>
    </w:p>
    <w:p w14:paraId="355C896E" w14:textId="77777777" w:rsidR="00DA0C57" w:rsidRDefault="00DA0C57" w:rsidP="00DA0C57">
      <w:pPr>
        <w:rPr>
          <w:rFonts w:ascii="Arial" w:hAnsi="Arial" w:cs="Arial"/>
          <w:sz w:val="24"/>
          <w:szCs w:val="24"/>
          <w:lang w:val="en-GB"/>
        </w:rPr>
      </w:pPr>
    </w:p>
    <w:p w14:paraId="3A11218B" w14:textId="77777777" w:rsidR="000570FE" w:rsidRPr="00DA0C57" w:rsidRDefault="000570FE" w:rsidP="00DA0C57">
      <w:pPr>
        <w:jc w:val="right"/>
        <w:rPr>
          <w:rFonts w:ascii="Arial" w:hAnsi="Arial" w:cs="Arial"/>
          <w:sz w:val="24"/>
          <w:szCs w:val="24"/>
          <w:lang w:val="en-GB"/>
        </w:rPr>
      </w:pPr>
    </w:p>
    <w:sectPr w:rsidR="000570FE" w:rsidRPr="00DA0C57" w:rsidSect="009159C1">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E09914" w14:textId="77777777" w:rsidR="00AB4530" w:rsidRDefault="00AB4530" w:rsidP="00DA0C57">
      <w:pPr>
        <w:spacing w:after="0" w:line="240" w:lineRule="auto"/>
      </w:pPr>
      <w:r>
        <w:separator/>
      </w:r>
    </w:p>
  </w:endnote>
  <w:endnote w:type="continuationSeparator" w:id="0">
    <w:p w14:paraId="7AA51F70" w14:textId="77777777" w:rsidR="00AB4530" w:rsidRDefault="00AB4530" w:rsidP="00DA0C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036733" w14:textId="77777777" w:rsidR="00AB4530" w:rsidRDefault="00AB4530" w:rsidP="00DA0C57">
      <w:pPr>
        <w:spacing w:after="0" w:line="240" w:lineRule="auto"/>
      </w:pPr>
      <w:r>
        <w:separator/>
      </w:r>
    </w:p>
  </w:footnote>
  <w:footnote w:type="continuationSeparator" w:id="0">
    <w:p w14:paraId="17A916D7" w14:textId="77777777" w:rsidR="00AB4530" w:rsidRDefault="00AB4530" w:rsidP="00DA0C5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C57"/>
    <w:rsid w:val="000570FE"/>
    <w:rsid w:val="00067A96"/>
    <w:rsid w:val="00080CD5"/>
    <w:rsid w:val="000841E0"/>
    <w:rsid w:val="00180AAE"/>
    <w:rsid w:val="001B1B55"/>
    <w:rsid w:val="002670E7"/>
    <w:rsid w:val="002C5ADA"/>
    <w:rsid w:val="00373D2F"/>
    <w:rsid w:val="003E62AE"/>
    <w:rsid w:val="00486763"/>
    <w:rsid w:val="004953B2"/>
    <w:rsid w:val="005521E3"/>
    <w:rsid w:val="00556027"/>
    <w:rsid w:val="00630237"/>
    <w:rsid w:val="006612CA"/>
    <w:rsid w:val="00695A03"/>
    <w:rsid w:val="006B47CD"/>
    <w:rsid w:val="006E03E1"/>
    <w:rsid w:val="00705DE3"/>
    <w:rsid w:val="0071356B"/>
    <w:rsid w:val="00731716"/>
    <w:rsid w:val="007419E3"/>
    <w:rsid w:val="007621DB"/>
    <w:rsid w:val="00766E76"/>
    <w:rsid w:val="007D53B1"/>
    <w:rsid w:val="00824E82"/>
    <w:rsid w:val="00832DFD"/>
    <w:rsid w:val="00860A43"/>
    <w:rsid w:val="008C18F6"/>
    <w:rsid w:val="008F2FD7"/>
    <w:rsid w:val="009159C1"/>
    <w:rsid w:val="00A15286"/>
    <w:rsid w:val="00A21F2E"/>
    <w:rsid w:val="00A25042"/>
    <w:rsid w:val="00A42BD9"/>
    <w:rsid w:val="00AB4530"/>
    <w:rsid w:val="00AB6AEF"/>
    <w:rsid w:val="00AC79B9"/>
    <w:rsid w:val="00B7381C"/>
    <w:rsid w:val="00B918D5"/>
    <w:rsid w:val="00BC1B15"/>
    <w:rsid w:val="00BC1E8B"/>
    <w:rsid w:val="00C27110"/>
    <w:rsid w:val="00C4361F"/>
    <w:rsid w:val="00C56B3A"/>
    <w:rsid w:val="00CD70CF"/>
    <w:rsid w:val="00CE1506"/>
    <w:rsid w:val="00CF34C7"/>
    <w:rsid w:val="00D017C3"/>
    <w:rsid w:val="00D07504"/>
    <w:rsid w:val="00D97131"/>
    <w:rsid w:val="00DA0C57"/>
    <w:rsid w:val="00E4603F"/>
    <w:rsid w:val="00E62CDD"/>
    <w:rsid w:val="00EA26E5"/>
    <w:rsid w:val="00F3667C"/>
    <w:rsid w:val="00F67C15"/>
    <w:rsid w:val="00FA173D"/>
    <w:rsid w:val="00FA543E"/>
    <w:rsid w:val="00FD1F9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5BE09"/>
  <w15:chartTrackingRefBased/>
  <w15:docId w15:val="{E3769203-42C0-E24F-9F78-4FE83AAA1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rd">
    <w:name w:val="Normal"/>
    <w:qFormat/>
    <w:rsid w:val="00DA0C57"/>
    <w:pPr>
      <w:spacing w:after="200" w:line="276" w:lineRule="auto"/>
    </w:pPr>
    <w:rPr>
      <w:rFonts w:ascii="Calibri" w:eastAsia="Calibri" w:hAnsi="Calibri" w:cs="Times New Roman"/>
      <w:sz w:val="22"/>
      <w:szCs w:val="22"/>
      <w:lang w:val="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unhideWhenUsed/>
    <w:rsid w:val="00DA0C57"/>
    <w:pPr>
      <w:tabs>
        <w:tab w:val="center" w:pos="4536"/>
        <w:tab w:val="right" w:pos="9072"/>
      </w:tabs>
    </w:pPr>
    <w:rPr>
      <w:lang w:val="x-none"/>
    </w:rPr>
  </w:style>
  <w:style w:type="character" w:customStyle="1" w:styleId="FuzeileZchn">
    <w:name w:val="Fußzeile Zchn"/>
    <w:basedOn w:val="Absatz-Standardschriftart"/>
    <w:link w:val="Fuzeile"/>
    <w:uiPriority w:val="99"/>
    <w:rsid w:val="00DA0C57"/>
    <w:rPr>
      <w:rFonts w:ascii="Calibri" w:eastAsia="Calibri" w:hAnsi="Calibri" w:cs="Times New Roman"/>
      <w:sz w:val="22"/>
      <w:szCs w:val="22"/>
      <w:lang w:val="x-none"/>
    </w:rPr>
  </w:style>
  <w:style w:type="paragraph" w:styleId="Kopfzeile">
    <w:name w:val="header"/>
    <w:basedOn w:val="Standard"/>
    <w:link w:val="KopfzeileZchn"/>
    <w:uiPriority w:val="99"/>
    <w:unhideWhenUsed/>
    <w:rsid w:val="00DA0C5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A0C57"/>
    <w:rPr>
      <w:rFonts w:ascii="Calibri" w:eastAsia="Calibri" w:hAnsi="Calibri" w:cs="Times New Roman"/>
      <w:sz w:val="22"/>
      <w:szCs w:val="22"/>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6.tiff"/><Relationship Id="rId5" Type="http://schemas.openxmlformats.org/officeDocument/2006/relationships/endnotes" Target="endnotes.xml"/><Relationship Id="rId10" Type="http://schemas.openxmlformats.org/officeDocument/2006/relationships/image" Target="media/image5.tiff"/><Relationship Id="rId4" Type="http://schemas.openxmlformats.org/officeDocument/2006/relationships/footnotes" Target="footnotes.xml"/><Relationship Id="rId9" Type="http://schemas.openxmlformats.org/officeDocument/2006/relationships/image" Target="media/image4.tif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377</Words>
  <Characters>2377</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Dorothee Gramatzki</dc:creator>
  <cp:keywords/>
  <dc:description/>
  <cp:lastModifiedBy>Isabel Burghardt</cp:lastModifiedBy>
  <cp:revision>5</cp:revision>
  <dcterms:created xsi:type="dcterms:W3CDTF">2020-10-19T21:20:00Z</dcterms:created>
  <dcterms:modified xsi:type="dcterms:W3CDTF">2020-10-19T21:28:00Z</dcterms:modified>
</cp:coreProperties>
</file>