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BA9" w:rsidRPr="00861BA9" w:rsidRDefault="00D94587" w:rsidP="00861BA9">
      <w:pPr>
        <w:pStyle w:val="Heading2"/>
        <w:numPr>
          <w:ilvl w:val="0"/>
          <w:numId w:val="0"/>
        </w:numPr>
        <w:ind w:left="567" w:hanging="567"/>
        <w:jc w:val="center"/>
      </w:pPr>
      <w:r w:rsidRPr="00D94587">
        <w:t xml:space="preserve">Supplementary file </w:t>
      </w:r>
      <w:r w:rsidR="000F45DF">
        <w:t>2</w:t>
      </w:r>
    </w:p>
    <w:p w:rsidR="00294F72" w:rsidRPr="00CA5E98" w:rsidRDefault="00294F72" w:rsidP="00861BA9">
      <w:pPr>
        <w:spacing w:line="36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294F72">
        <w:rPr>
          <w:rFonts w:ascii="Times New Roman" w:hAnsi="Times New Roman" w:cs="Times New Roman"/>
          <w:b/>
        </w:rPr>
        <w:t>Preliminary</w:t>
      </w:r>
      <w:r w:rsidRPr="00294F72">
        <w:rPr>
          <w:rFonts w:ascii="Times New Roman" w:eastAsia="Cambria" w:hAnsi="Times New Roman" w:cs="Times New Roman"/>
          <w:b/>
          <w:sz w:val="24"/>
          <w:szCs w:val="24"/>
        </w:rPr>
        <w:t xml:space="preserve"> experiment</w:t>
      </w:r>
      <w:r w:rsidR="00861BA9">
        <w:rPr>
          <w:rFonts w:ascii="Times New Roman" w:eastAsia="Cambria" w:hAnsi="Times New Roman" w:cs="Times New Roman"/>
          <w:b/>
          <w:sz w:val="24"/>
          <w:szCs w:val="24"/>
        </w:rPr>
        <w:t xml:space="preserve"> - c</w:t>
      </w:r>
      <w:r w:rsidR="000210AE">
        <w:rPr>
          <w:rFonts w:ascii="Times New Roman" w:eastAsia="Cambria" w:hAnsi="Times New Roman" w:cs="Times New Roman"/>
          <w:b/>
          <w:sz w:val="24"/>
          <w:szCs w:val="24"/>
        </w:rPr>
        <w:t>omparison of steroidogenic activity of spheroids composed of d</w:t>
      </w:r>
      <w:r w:rsidR="000210AE" w:rsidRPr="000210AE">
        <w:rPr>
          <w:rFonts w:ascii="Times New Roman" w:eastAsia="Cambria" w:hAnsi="Times New Roman" w:cs="Times New Roman"/>
          <w:b/>
          <w:sz w:val="24"/>
          <w:szCs w:val="24"/>
        </w:rPr>
        <w:t xml:space="preserve">ifferent </w:t>
      </w:r>
      <w:r w:rsidR="000210AE">
        <w:rPr>
          <w:rFonts w:ascii="Times New Roman" w:eastAsia="Cambria" w:hAnsi="Times New Roman" w:cs="Times New Roman"/>
          <w:b/>
          <w:sz w:val="24"/>
          <w:szCs w:val="24"/>
        </w:rPr>
        <w:t>cell t</w:t>
      </w:r>
      <w:r w:rsidR="000210AE" w:rsidRPr="000210AE">
        <w:rPr>
          <w:rFonts w:ascii="Times New Roman" w:eastAsia="Cambria" w:hAnsi="Times New Roman" w:cs="Times New Roman"/>
          <w:b/>
          <w:sz w:val="24"/>
          <w:szCs w:val="24"/>
        </w:rPr>
        <w:t>ypes</w:t>
      </w:r>
    </w:p>
    <w:p w:rsidR="00294F72" w:rsidRDefault="00294F72" w:rsidP="0004355F">
      <w:pPr>
        <w:pStyle w:val="Heading1"/>
        <w:jc w:val="both"/>
      </w:pPr>
      <w:r>
        <w:t xml:space="preserve">Aim </w:t>
      </w:r>
    </w:p>
    <w:p w:rsidR="00294F72" w:rsidRPr="00294F72" w:rsidRDefault="00294F72" w:rsidP="0004355F">
      <w:pPr>
        <w:jc w:val="both"/>
      </w:pPr>
      <w:r>
        <w:t xml:space="preserve">The aim of the </w:t>
      </w:r>
      <w:r w:rsidR="001E55F2">
        <w:t>p</w:t>
      </w:r>
      <w:r w:rsidR="001E55F2" w:rsidRPr="001E55F2">
        <w:t>reliminary</w:t>
      </w:r>
      <w:r w:rsidR="001E55F2">
        <w:t xml:space="preserve"> </w:t>
      </w:r>
      <w:r w:rsidR="00B72FF5">
        <w:t xml:space="preserve">experiment </w:t>
      </w:r>
      <w:r w:rsidR="001E55F2">
        <w:t xml:space="preserve">was </w:t>
      </w:r>
      <w:r w:rsidR="0032416C">
        <w:t>to</w:t>
      </w:r>
      <w:r>
        <w:t xml:space="preserve"> compare </w:t>
      </w:r>
      <w:r w:rsidR="0032416C">
        <w:t xml:space="preserve">steroidogenic activity </w:t>
      </w:r>
      <w:r w:rsidR="001E55F2">
        <w:t xml:space="preserve">(by measuring P4) </w:t>
      </w:r>
      <w:r w:rsidR="0032416C">
        <w:t>of spheroids compos</w:t>
      </w:r>
      <w:r w:rsidR="00B72FF5">
        <w:t xml:space="preserve">ed of different types of cells, </w:t>
      </w:r>
      <w:r w:rsidR="0032416C">
        <w:t xml:space="preserve">based on </w:t>
      </w:r>
      <w:r w:rsidRPr="00294F72">
        <w:t>isolation methods</w:t>
      </w:r>
      <w:r w:rsidR="00B72FF5">
        <w:t xml:space="preserve"> designed for different cell types</w:t>
      </w:r>
      <w:r w:rsidR="0032416C">
        <w:t>.</w:t>
      </w:r>
      <w:r w:rsidRPr="00294F72">
        <w:t xml:space="preserve"> </w:t>
      </w:r>
    </w:p>
    <w:p w:rsidR="00294F72" w:rsidRDefault="0032416C" w:rsidP="0004355F">
      <w:pPr>
        <w:pStyle w:val="Heading1"/>
        <w:spacing w:line="360" w:lineRule="auto"/>
        <w:jc w:val="both"/>
      </w:pPr>
      <w:r>
        <w:t>Material</w:t>
      </w:r>
      <w:r w:rsidR="00294F72" w:rsidRPr="00092D54">
        <w:t xml:space="preserve"> </w:t>
      </w:r>
    </w:p>
    <w:p w:rsidR="00294F72" w:rsidRPr="0032416C" w:rsidRDefault="0032416C" w:rsidP="0004355F">
      <w:pPr>
        <w:jc w:val="both"/>
      </w:pPr>
      <w:r>
        <w:t>Ovarie</w:t>
      </w:r>
      <w:r w:rsidR="00CA5E98">
        <w:t>s used for cells isolation come</w:t>
      </w:r>
      <w:r>
        <w:t xml:space="preserve"> from the same sources as described in the main part of the article. </w:t>
      </w:r>
    </w:p>
    <w:p w:rsidR="00294F72" w:rsidRDefault="00294F72" w:rsidP="0004355F">
      <w:pPr>
        <w:pStyle w:val="Heading1"/>
        <w:jc w:val="both"/>
      </w:pPr>
      <w:r>
        <w:t>Cell</w:t>
      </w:r>
      <w:r w:rsidRPr="00294F72">
        <w:t xml:space="preserve"> isolation </w:t>
      </w:r>
    </w:p>
    <w:p w:rsidR="0032416C" w:rsidRDefault="00353F33" w:rsidP="0004355F">
      <w:pPr>
        <w:jc w:val="both"/>
      </w:pPr>
      <w:r>
        <w:rPr>
          <w:b/>
        </w:rPr>
        <w:t>Follicle cells</w:t>
      </w:r>
      <w:r w:rsidR="007E0717">
        <w:rPr>
          <w:b/>
        </w:rPr>
        <w:t xml:space="preserve"> mixture</w:t>
      </w:r>
      <w:r w:rsidR="001B5C23">
        <w:rPr>
          <w:b/>
        </w:rPr>
        <w:t xml:space="preserve"> from antral follicles</w:t>
      </w:r>
      <w:r>
        <w:rPr>
          <w:b/>
        </w:rPr>
        <w:t xml:space="preserve"> isolation:</w:t>
      </w:r>
      <w:r w:rsidR="0032416C">
        <w:t xml:space="preserve"> as described in the main part of the article. </w:t>
      </w:r>
    </w:p>
    <w:p w:rsidR="007E0717" w:rsidRDefault="00353F33" w:rsidP="0004355F">
      <w:pPr>
        <w:jc w:val="both"/>
      </w:pPr>
      <w:r>
        <w:rPr>
          <w:b/>
        </w:rPr>
        <w:t>Theca cells isolation:</w:t>
      </w:r>
      <w:r w:rsidR="007E0717">
        <w:t xml:space="preserve"> </w:t>
      </w:r>
      <w:r w:rsidR="007E0717" w:rsidRPr="007E0717">
        <w:t xml:space="preserve">closely follows the procedure used for the isolation of a mixed </w:t>
      </w:r>
      <w:r w:rsidR="00A95978">
        <w:t>cells from antral follicles</w:t>
      </w:r>
      <w:r w:rsidR="007E0717" w:rsidRPr="007E0717">
        <w:t xml:space="preserve">. </w:t>
      </w:r>
      <w:r w:rsidR="0004355F">
        <w:t>Shortly a</w:t>
      </w:r>
      <w:r w:rsidR="007E0717" w:rsidRPr="007E0717">
        <w:t>fter the antral follicles were i</w:t>
      </w:r>
      <w:r w:rsidR="007E0717">
        <w:t>solated, granulosa cells</w:t>
      </w:r>
      <w:r w:rsidR="007E0717" w:rsidRPr="007E0717">
        <w:t xml:space="preserve"> and oocytes were released by incising the follicles and subsequently discarded. Residual GCs were mechanically removed using a scalpel, and the follicular lining was washed twice in Dulbecco's Phosphate-Buffered Saline </w:t>
      </w:r>
      <w:r w:rsidR="007E0717">
        <w:t>to eliminate any remaining granulosa cells</w:t>
      </w:r>
      <w:r w:rsidR="007E0717" w:rsidRPr="007E0717">
        <w:t xml:space="preserve">. </w:t>
      </w:r>
      <w:r w:rsidR="005D70D4" w:rsidRPr="005D70D4">
        <w:t>The cleaned follicular lining was then subjected to further isolation steps using the same method described for follicular cell isolation.</w:t>
      </w:r>
      <w:r w:rsidR="005D70D4">
        <w:t xml:space="preserve"> </w:t>
      </w:r>
      <w:r w:rsidR="007E0717" w:rsidRPr="007E0717">
        <w:t>This a</w:t>
      </w:r>
      <w:r w:rsidR="005D70D4">
        <w:t>pproach aligns with the methodology</w:t>
      </w:r>
      <w:r w:rsidR="00B72FF5">
        <w:t xml:space="preserve"> for theca cell isolation</w:t>
      </w:r>
      <w:r w:rsidR="007E0717" w:rsidRPr="007E0717">
        <w:t xml:space="preserve"> described by </w:t>
      </w:r>
      <w:r w:rsidR="007E0717">
        <w:t xml:space="preserve">Ma and </w:t>
      </w:r>
      <w:proofErr w:type="spellStart"/>
      <w:r w:rsidR="007E0717">
        <w:t>Hao</w:t>
      </w:r>
      <w:proofErr w:type="spellEnd"/>
      <w:r w:rsidR="007E0717">
        <w:t xml:space="preserve"> </w:t>
      </w:r>
      <w:r w:rsidR="007E0717">
        <w:fldChar w:fldCharType="begin"/>
      </w:r>
      <w:r w:rsidR="007E0717">
        <w:instrText xml:space="preserve"> ADDIN EN.CITE &lt;EndNote&gt;&lt;Cite&gt;&lt;Author&gt;Ma&lt;/Author&gt;&lt;Year&gt;2018&lt;/Year&gt;&lt;RecNum&gt;465&lt;/RecNum&gt;&lt;DisplayText&gt;(Ma and Hao, 2018)&lt;/DisplayText&gt;&lt;record&gt;&lt;rec-number&gt;465&lt;/rec-number&gt;&lt;foreign-keys&gt;&lt;key app="EN" db-id="dvpzep0vqwv5vpef55zx9ass550arreffza5" timestamp="1701703564"&gt;465&lt;/key&gt;&lt;/foreign-keys&gt;&lt;ref-type name="Journal Article"&gt;17&lt;/ref-type&gt;&lt;contributors&gt;&lt;authors&gt;&lt;author&gt;Ma, Z.&lt;/author&gt;&lt;author&gt;Hao, C.&lt;/author&gt;&lt;/authors&gt;&lt;/contributors&gt;&lt;auth-address&gt;From the Medical College of Qingdao University, Qingdao 266071, China and.&amp;#xD;Center for Reproductive Medicine, Yantai Yuhuangding Hospital, Qingdao University, Yantai 264000, China cuifang-hao@163.com.&lt;/auth-address&gt;&lt;titles&gt;&lt;title&gt;Isolation of theca cells from whole ovary tissues may not be a suitable method&lt;/title&gt;&lt;secondary-title&gt;J Biol Chem&lt;/secondary-title&gt;&lt;alt-title&gt;The Journal of biological chemistry&lt;/alt-title&gt;&lt;/titles&gt;&lt;periodical&gt;&lt;full-title&gt;J Biol Chem&lt;/full-title&gt;&lt;abbr-1&gt;The Journal of biological chemistry&lt;/abbr-1&gt;&lt;/periodical&gt;&lt;alt-periodical&gt;&lt;full-title&gt;J Biol Chem&lt;/full-title&gt;&lt;abbr-1&gt;The Journal of biological chemistry&lt;/abbr-1&gt;&lt;/alt-periodical&gt;&lt;pages&gt;16174&lt;/pages&gt;&lt;volume&gt;293&lt;/volume&gt;&lt;number&gt;42&lt;/number&gt;&lt;edition&gt;2018/10/21&lt;/edition&gt;&lt;keywords&gt;&lt;keyword&gt;Animals&lt;/keyword&gt;&lt;keyword&gt;Cell Separation/methods&lt;/keyword&gt;&lt;keyword&gt;Cells, Cultured&lt;/keyword&gt;&lt;keyword&gt;Female&lt;/keyword&gt;&lt;keyword&gt;Humans&lt;/keyword&gt;&lt;keyword&gt;Ovary/*cytology&lt;/keyword&gt;&lt;keyword&gt;Theca Cells/*cytology&lt;/keyword&gt;&lt;/keywords&gt;&lt;dates&gt;&lt;year&gt;2018&lt;/year&gt;&lt;pub-dates&gt;&lt;date&gt;Oct 19&lt;/date&gt;&lt;/pub-dates&gt;&lt;/dates&gt;&lt;isbn&gt;0021-9258 (Print)&amp;#xD;0021-9258&lt;/isbn&gt;&lt;accession-num&gt;30341214&lt;/accession-num&gt;&lt;urls&gt;&lt;/urls&gt;&lt;custom2&gt;PMC6200936 this article&lt;/custom2&gt;&lt;electronic-resource-num&gt;10.1074/jbc.L118.005565&lt;/electronic-resource-num&gt;&lt;remote-database-provider&gt;NLM&lt;/remote-database-provider&gt;&lt;language&gt;eng&lt;/language&gt;&lt;/record&gt;&lt;/Cite&gt;&lt;/EndNote&gt;</w:instrText>
      </w:r>
      <w:r w:rsidR="007E0717">
        <w:fldChar w:fldCharType="separate"/>
      </w:r>
      <w:r w:rsidR="007E0717">
        <w:rPr>
          <w:noProof/>
        </w:rPr>
        <w:t>(Ma and Hao, 2018)</w:t>
      </w:r>
      <w:r w:rsidR="007E0717">
        <w:fldChar w:fldCharType="end"/>
      </w:r>
      <w:r w:rsidR="007E0717">
        <w:t>.</w:t>
      </w:r>
    </w:p>
    <w:p w:rsidR="00294F72" w:rsidRDefault="00353F33" w:rsidP="0004355F">
      <w:pPr>
        <w:jc w:val="both"/>
      </w:pPr>
      <w:r w:rsidRPr="00353F33">
        <w:rPr>
          <w:b/>
        </w:rPr>
        <w:t>Granulosa cells isolation:</w:t>
      </w:r>
      <w:r>
        <w:t xml:space="preserve"> </w:t>
      </w:r>
      <w:r w:rsidR="00294F72" w:rsidRPr="00294F72">
        <w:t xml:space="preserve">granulosa cells were collected as previously </w:t>
      </w:r>
      <w:r w:rsidR="00294F72">
        <w:t xml:space="preserve">described </w:t>
      </w:r>
      <w:r w:rsidR="00294F72">
        <w:fldChar w:fldCharType="begin">
          <w:fldData xml:space="preserve">PEVuZE5vdGU+PENpdGU+PEF1dGhvcj5IcnljaXVrPC9BdXRob3I+PFllYXI+MjAyMzwvWWVhcj48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</w:fldData>
        </w:fldChar>
      </w:r>
      <w:r w:rsidR="00294F72">
        <w:instrText xml:space="preserve"> ADDIN EN.CITE </w:instrText>
      </w:r>
      <w:r w:rsidR="00294F72">
        <w:fldChar w:fldCharType="begin">
          <w:fldData xml:space="preserve">PEVuZE5vdGU+PENpdGU+PEF1dGhvcj5IcnljaXVrPC9BdXRob3I+PFllYXI+MjAyMzwvWWVhcj48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</w:fldData>
        </w:fldChar>
      </w:r>
      <w:r w:rsidR="00294F72">
        <w:instrText xml:space="preserve"> ADDIN EN.CITE.DATA </w:instrText>
      </w:r>
      <w:r w:rsidR="00294F72">
        <w:fldChar w:fldCharType="end"/>
      </w:r>
      <w:r w:rsidR="00294F72">
        <w:fldChar w:fldCharType="separate"/>
      </w:r>
      <w:r w:rsidR="00294F72">
        <w:rPr>
          <w:noProof/>
        </w:rPr>
        <w:t>(Hryciuk et al., 2023)</w:t>
      </w:r>
      <w:r w:rsidR="00294F72">
        <w:fldChar w:fldCharType="end"/>
      </w:r>
      <w:r w:rsidR="00294F72" w:rsidRPr="00294F72">
        <w:t xml:space="preserve">. </w:t>
      </w:r>
    </w:p>
    <w:p w:rsidR="000210AE" w:rsidRDefault="000210AE" w:rsidP="0004355F">
      <w:pPr>
        <w:pStyle w:val="Heading1"/>
        <w:jc w:val="both"/>
      </w:pPr>
      <w:r w:rsidRPr="00092D54">
        <w:t xml:space="preserve">Cell culture </w:t>
      </w:r>
    </w:p>
    <w:p w:rsidR="00EB61D8" w:rsidRDefault="00EB61D8" w:rsidP="0004355F">
      <w:pPr>
        <w:pStyle w:val="Heading1"/>
        <w:numPr>
          <w:ilvl w:val="0"/>
          <w:numId w:val="0"/>
        </w:numPr>
        <w:jc w:val="both"/>
        <w:rPr>
          <w:rFonts w:asciiTheme="minorHAnsi" w:eastAsiaTheme="minorHAnsi" w:hAnsiTheme="minorHAnsi" w:cstheme="minorBidi"/>
          <w:b w:val="0"/>
          <w:sz w:val="22"/>
          <w:szCs w:val="22"/>
        </w:rPr>
      </w:pP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The procedures for cell thawing, culture conditions, medium composition, and experimental setups were consistent with those outlined in the main section of the article. </w:t>
      </w:r>
      <w:r w:rsidR="007920FE" w:rsidRPr="007920FE">
        <w:rPr>
          <w:rFonts w:asciiTheme="minorHAnsi" w:eastAsiaTheme="minorHAnsi" w:hAnsiTheme="minorHAnsi" w:cstheme="minorBidi"/>
          <w:b w:val="0"/>
          <w:sz w:val="22"/>
          <w:szCs w:val="22"/>
        </w:rPr>
        <w:t>Granulosa</w:t>
      </w:r>
      <w:r w:rsidR="00E114B2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cells</w:t>
      </w:r>
      <w:r w:rsidR="007920FE" w:rsidRPr="007920FE">
        <w:rPr>
          <w:rFonts w:asciiTheme="minorHAnsi" w:eastAsiaTheme="minorHAnsi" w:hAnsiTheme="minorHAnsi" w:cstheme="minorBidi"/>
          <w:b w:val="0"/>
          <w:sz w:val="22"/>
          <w:szCs w:val="22"/>
        </w:rPr>
        <w:t>, theca</w:t>
      </w:r>
      <w:r w:rsidR="00E114B2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cells</w:t>
      </w:r>
      <w:r w:rsidR="007920FE" w:rsidRPr="007920FE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, and </w:t>
      </w:r>
      <w:r w:rsidR="00F32352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antral </w:t>
      </w:r>
      <w:r w:rsidR="007920FE" w:rsidRPr="007920FE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follicle cell </w:t>
      </w:r>
      <w:r w:rsidR="00F32352">
        <w:rPr>
          <w:rFonts w:asciiTheme="minorHAnsi" w:eastAsiaTheme="minorHAnsi" w:hAnsiTheme="minorHAnsi" w:cstheme="minorBidi"/>
          <w:b w:val="0"/>
          <w:sz w:val="22"/>
          <w:szCs w:val="22"/>
        </w:rPr>
        <w:t>mixture</w:t>
      </w:r>
      <w:r w:rsidR="00E114B2">
        <w:rPr>
          <w:rFonts w:asciiTheme="minorHAnsi" w:eastAsiaTheme="minorHAnsi" w:hAnsiTheme="minorHAnsi" w:cstheme="minorBidi"/>
          <w:b w:val="0"/>
          <w:sz w:val="22"/>
          <w:szCs w:val="22"/>
        </w:rPr>
        <w:t>s</w:t>
      </w:r>
      <w:r w:rsidR="00F32352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</w:t>
      </w:r>
      <w:r w:rsidR="007920FE" w:rsidRPr="007920FE">
        <w:rPr>
          <w:rFonts w:asciiTheme="minorHAnsi" w:eastAsiaTheme="minorHAnsi" w:hAnsiTheme="minorHAnsi" w:cstheme="minorBidi"/>
          <w:b w:val="0"/>
          <w:sz w:val="22"/>
          <w:szCs w:val="22"/>
        </w:rPr>
        <w:t>were pooled together from five, three, and three animals, respectively</w:t>
      </w:r>
      <w:r w:rsidR="007920FE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. </w:t>
      </w:r>
      <w:r w:rsidR="00D701A0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Cell viability after thawing </w:t>
      </w:r>
      <w:r w:rsidR="001E55F2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of the pooled samples were </w:t>
      </w:r>
      <w:r w:rsidR="00D701A0">
        <w:rPr>
          <w:rFonts w:asciiTheme="minorHAnsi" w:eastAsiaTheme="minorHAnsi" w:hAnsiTheme="minorHAnsi" w:cstheme="minorBidi"/>
          <w:b w:val="0"/>
          <w:sz w:val="22"/>
          <w:szCs w:val="22"/>
        </w:rPr>
        <w:t>as follow</w:t>
      </w:r>
      <w:r w:rsidR="00E114B2">
        <w:rPr>
          <w:rFonts w:asciiTheme="minorHAnsi" w:eastAsiaTheme="minorHAnsi" w:hAnsiTheme="minorHAnsi" w:cstheme="minorBidi"/>
          <w:b w:val="0"/>
          <w:sz w:val="22"/>
          <w:szCs w:val="22"/>
        </w:rPr>
        <w:t>s</w:t>
      </w:r>
      <w:r w:rsidR="00D701A0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: granulosa cells – 78%, theca cells – 82%, follicle cells mixture – 73%. </w:t>
      </w:r>
    </w:p>
    <w:p w:rsidR="00EB61D8" w:rsidRDefault="00EB61D8" w:rsidP="0004355F">
      <w:pPr>
        <w:pStyle w:val="Heading1"/>
        <w:numPr>
          <w:ilvl w:val="0"/>
          <w:numId w:val="0"/>
        </w:numPr>
        <w:jc w:val="both"/>
        <w:rPr>
          <w:rFonts w:asciiTheme="minorHAnsi" w:eastAsiaTheme="minorHAnsi" w:hAnsiTheme="minorHAnsi" w:cstheme="minorBidi"/>
          <w:b w:val="0"/>
          <w:sz w:val="22"/>
          <w:szCs w:val="22"/>
        </w:rPr>
      </w:pP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Cell suspensions were prepared by mixing the desired </w:t>
      </w:r>
      <w:r w:rsidR="001B5C23">
        <w:rPr>
          <w:rFonts w:asciiTheme="minorHAnsi" w:eastAsiaTheme="minorHAnsi" w:hAnsiTheme="minorHAnsi" w:cstheme="minorBidi"/>
          <w:b w:val="0"/>
          <w:sz w:val="22"/>
          <w:szCs w:val="22"/>
        </w:rPr>
        <w:t>number of cells</w:t>
      </w: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in Eppendorf tubes to achieve a concentration of 75,000 cells/</w:t>
      </w:r>
      <w:proofErr w:type="spellStart"/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>mL.</w:t>
      </w:r>
      <w:proofErr w:type="spellEnd"/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These suspensions were then distributed into culture wells, with each well containing 15,000 cells in 200 µL of medium.</w:t>
      </w:r>
    </w:p>
    <w:p w:rsidR="00EB61D8" w:rsidRDefault="00EB61D8" w:rsidP="0004355F">
      <w:pPr>
        <w:pStyle w:val="Heading1"/>
        <w:numPr>
          <w:ilvl w:val="0"/>
          <w:numId w:val="0"/>
        </w:numPr>
        <w:jc w:val="both"/>
        <w:rPr>
          <w:rFonts w:asciiTheme="minorHAnsi" w:eastAsiaTheme="minorHAnsi" w:hAnsiTheme="minorHAnsi" w:cstheme="minorBidi"/>
          <w:b w:val="0"/>
          <w:sz w:val="22"/>
          <w:szCs w:val="22"/>
        </w:rPr>
      </w:pP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>For each experimental group, three technical replicates</w:t>
      </w:r>
      <w:r w:rsidR="007920FE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(wells with cells)</w:t>
      </w: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 xml:space="preserve"> were </w:t>
      </w:r>
      <w:r w:rsidR="00E114B2">
        <w:rPr>
          <w:rFonts w:asciiTheme="minorHAnsi" w:eastAsiaTheme="minorHAnsi" w:hAnsiTheme="minorHAnsi" w:cstheme="minorBidi"/>
          <w:b w:val="0"/>
          <w:sz w:val="22"/>
          <w:szCs w:val="22"/>
        </w:rPr>
        <w:t>prepared</w:t>
      </w:r>
      <w:r w:rsidRPr="00EB61D8">
        <w:rPr>
          <w:rFonts w:asciiTheme="minorHAnsi" w:eastAsiaTheme="minorHAnsi" w:hAnsiTheme="minorHAnsi" w:cstheme="minorBidi"/>
          <w:b w:val="0"/>
          <w:sz w:val="22"/>
          <w:szCs w:val="22"/>
        </w:rPr>
        <w:t>. The cell culture period extended over 14 days, with partial medium changes performed on days 2, 4, 7, 9, 11, and 14.</w:t>
      </w:r>
    </w:p>
    <w:p w:rsidR="00294F72" w:rsidRPr="00EB61D8" w:rsidRDefault="00294F72" w:rsidP="0004355F">
      <w:pPr>
        <w:pStyle w:val="Heading1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EB61D8">
        <w:t>Progestagen</w:t>
      </w:r>
      <w:r w:rsidRPr="00092D54">
        <w:t xml:space="preserve"> (P4) extraction and EIA</w:t>
      </w:r>
    </w:p>
    <w:p w:rsidR="00F32352" w:rsidRDefault="002F70A1" w:rsidP="00F32352">
      <w:pPr>
        <w:jc w:val="both"/>
      </w:pPr>
      <w:r>
        <w:t>Hormone extraction and</w:t>
      </w:r>
      <w:r w:rsidR="0004355F">
        <w:t xml:space="preserve"> EIA</w:t>
      </w:r>
      <w:r>
        <w:t xml:space="preserve"> measurements were performed similar as described in the main </w:t>
      </w:r>
      <w:r w:rsidR="00F32352">
        <w:t>experiment</w:t>
      </w:r>
      <w:r w:rsidR="005D70D4">
        <w:t xml:space="preserve">. </w:t>
      </w:r>
      <w:r w:rsidR="00E114B2">
        <w:t xml:space="preserve">Progestagen (P4) </w:t>
      </w:r>
      <w:r w:rsidR="005D70D4">
        <w:t xml:space="preserve">concentration was measured in a medium collected at </w:t>
      </w:r>
      <w:r w:rsidR="006E26E3">
        <w:t>2, 7 and 14</w:t>
      </w:r>
      <w:r w:rsidR="00F32352">
        <w:t>.</w:t>
      </w:r>
      <w:r w:rsidR="00F32352" w:rsidRPr="00F32352">
        <w:t xml:space="preserve"> </w:t>
      </w:r>
      <w:proofErr w:type="spellStart"/>
      <w:r w:rsidR="00F32352" w:rsidRPr="00040A68">
        <w:t>Progestagen</w:t>
      </w:r>
      <w:r w:rsidR="00F32352">
        <w:t>s</w:t>
      </w:r>
      <w:proofErr w:type="spellEnd"/>
      <w:r w:rsidR="00F32352" w:rsidRPr="00040A68">
        <w:t xml:space="preserve"> </w:t>
      </w:r>
      <w:r w:rsidR="00F32352" w:rsidRPr="00040A68">
        <w:lastRenderedPageBreak/>
        <w:t xml:space="preserve">concentration is reported as the amount of hormone produced per day. The measured values account for the hormone levels remaining after partial medium changes. </w:t>
      </w:r>
    </w:p>
    <w:p w:rsidR="0004355F" w:rsidRPr="002F70A1" w:rsidRDefault="0004355F" w:rsidP="0004355F">
      <w:pPr>
        <w:jc w:val="both"/>
      </w:pPr>
    </w:p>
    <w:p w:rsidR="00294F72" w:rsidRDefault="00294F72" w:rsidP="0004355F">
      <w:pPr>
        <w:pStyle w:val="Heading1"/>
        <w:jc w:val="both"/>
      </w:pPr>
      <w:r w:rsidRPr="00092D54">
        <w:t>Statistics</w:t>
      </w:r>
    </w:p>
    <w:p w:rsidR="00294F72" w:rsidRPr="00294F72" w:rsidRDefault="000210AE" w:rsidP="0004355F">
      <w:pPr>
        <w:jc w:val="both"/>
      </w:pPr>
      <w:r>
        <w:t xml:space="preserve">Statistical analysis was not performed, because the experiment was performed once. </w:t>
      </w:r>
    </w:p>
    <w:p w:rsidR="00294F72" w:rsidRDefault="00294F72" w:rsidP="0004355F">
      <w:pPr>
        <w:pStyle w:val="Heading1"/>
        <w:jc w:val="both"/>
      </w:pPr>
      <w:r w:rsidRPr="000210AE">
        <w:t>Results</w:t>
      </w:r>
      <w:r w:rsidR="002F70A1">
        <w:t xml:space="preserve"> - </w:t>
      </w:r>
      <w:r w:rsidRPr="00092D54">
        <w:t xml:space="preserve">Hormone concentration </w:t>
      </w:r>
    </w:p>
    <w:p w:rsidR="00040A68" w:rsidRDefault="00040A68" w:rsidP="00040A68">
      <w:pPr>
        <w:jc w:val="both"/>
      </w:pPr>
      <w:proofErr w:type="spellStart"/>
      <w:r w:rsidRPr="00040A68">
        <w:t>Progestagens</w:t>
      </w:r>
      <w:proofErr w:type="spellEnd"/>
      <w:r w:rsidR="001E55F2">
        <w:t xml:space="preserve"> </w:t>
      </w:r>
      <w:r w:rsidRPr="00040A68">
        <w:t>were detected acr</w:t>
      </w:r>
      <w:r w:rsidR="001B5C23">
        <w:t>oss all experimental groups (</w:t>
      </w:r>
      <w:r w:rsidR="006C50C3">
        <w:t>F</w:t>
      </w:r>
      <w:r w:rsidR="001B5C23">
        <w:t>igure 1)</w:t>
      </w:r>
      <w:r w:rsidRPr="00040A68">
        <w:t>. On day 2, the highest progest</w:t>
      </w:r>
      <w:r w:rsidR="009A1EE9">
        <w:t>agen</w:t>
      </w:r>
      <w:r w:rsidRPr="00040A68">
        <w:t xml:space="preserve"> concentration was observe</w:t>
      </w:r>
      <w:r w:rsidR="0053451C">
        <w:t xml:space="preserve">d in the following order: follicle cell mixture; </w:t>
      </w:r>
      <w:r w:rsidRPr="00040A68">
        <w:t>granulosa cells; theca cells. This ranking in progestagen production, with the highest values listed first, was consistent on days 7 and 14</w:t>
      </w:r>
      <w:r w:rsidR="001E55F2">
        <w:t xml:space="preserve"> too</w:t>
      </w:r>
      <w:r w:rsidRPr="00040A68">
        <w:t xml:space="preserve">. Notably, on day 14, the progestagen concentration in the follicle cell mixture group was </w:t>
      </w:r>
      <w:r w:rsidR="00F32352">
        <w:t>considerably</w:t>
      </w:r>
      <w:r w:rsidR="001E55F2">
        <w:t xml:space="preserve"> </w:t>
      </w:r>
      <w:r>
        <w:t>higher than in the other groups, e.g.</w:t>
      </w:r>
      <w:r w:rsidRPr="00040A68">
        <w:t xml:space="preserve"> being more than 4</w:t>
      </w:r>
      <w:r w:rsidR="0053451C">
        <w:t xml:space="preserve">0 </w:t>
      </w:r>
      <w:r w:rsidR="00F32352">
        <w:t>fold</w:t>
      </w:r>
      <w:r w:rsidR="0053451C">
        <w:t xml:space="preserve"> greater than in the</w:t>
      </w:r>
      <w:r w:rsidRPr="00040A68">
        <w:t xml:space="preserve"> granulosa cell group</w:t>
      </w:r>
      <w:r w:rsidR="001E55F2">
        <w:t xml:space="preserve"> and </w:t>
      </w:r>
      <w:r w:rsidR="00F32352">
        <w:t xml:space="preserve">83 fold greater </w:t>
      </w:r>
      <w:r w:rsidR="001E55F2">
        <w:t>than in the TC group</w:t>
      </w:r>
      <w:r w:rsidRPr="00040A68">
        <w:t>.</w:t>
      </w:r>
    </w:p>
    <w:p w:rsidR="006C50C3" w:rsidRDefault="006C50C3" w:rsidP="006C50C3">
      <w:pPr>
        <w:jc w:val="center"/>
      </w:pPr>
      <w:r>
        <w:t>Figure 1</w:t>
      </w:r>
    </w:p>
    <w:p w:rsidR="001B5C23" w:rsidRDefault="001B5C23" w:rsidP="001B5C23">
      <w:pPr>
        <w:jc w:val="center"/>
      </w:pPr>
      <w:r>
        <w:rPr>
          <w:noProof/>
        </w:rPr>
        <w:drawing>
          <wp:inline distT="0" distB="0" distL="0" distR="0" wp14:anchorId="56647040" wp14:editId="75F4F165">
            <wp:extent cx="3048000" cy="3175000"/>
            <wp:effectExtent l="0" t="0" r="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E26E3" w:rsidRDefault="005D70D4" w:rsidP="00040A68">
      <w:pPr>
        <w:pStyle w:val="Heading1"/>
      </w:pPr>
      <w:r>
        <w:t xml:space="preserve">Conclusion </w:t>
      </w:r>
    </w:p>
    <w:p w:rsidR="00294F72" w:rsidRDefault="00417931" w:rsidP="0004355F">
      <w:pPr>
        <w:jc w:val="both"/>
      </w:pPr>
      <w:r>
        <w:t>Based on the results obtained, the cel</w:t>
      </w:r>
      <w:r w:rsidR="007E5DE6">
        <w:t>l culture model utilizing</w:t>
      </w:r>
      <w:r>
        <w:t xml:space="preserve"> follicular cell mixture appears to be</w:t>
      </w:r>
      <w:r w:rsidR="009A1EE9">
        <w:t xml:space="preserve"> the most effective for </w:t>
      </w:r>
      <w:r w:rsidR="001E55F2">
        <w:t xml:space="preserve">expressing a high </w:t>
      </w:r>
      <w:r>
        <w:t>steroidogenic activity. This model demonstrated a</w:t>
      </w:r>
      <w:r w:rsidR="00F32352">
        <w:t xml:space="preserve"> markedly</w:t>
      </w:r>
      <w:r>
        <w:t xml:space="preserve"> </w:t>
      </w:r>
      <w:r w:rsidR="007E5DE6">
        <w:t>higher progestagen production</w:t>
      </w:r>
      <w:r w:rsidR="001E55F2">
        <w:t xml:space="preserve"> on day 7 and day</w:t>
      </w:r>
      <w:r w:rsidR="00F32352">
        <w:t xml:space="preserve"> </w:t>
      </w:r>
      <w:r w:rsidR="001E55F2">
        <w:t>23 than the spheroids of other cell origin</w:t>
      </w:r>
      <w:r w:rsidR="007E5DE6">
        <w:t xml:space="preserve">. </w:t>
      </w:r>
      <w:r>
        <w:t xml:space="preserve"> </w:t>
      </w:r>
    </w:p>
    <w:p w:rsidR="00665211" w:rsidRDefault="00665211" w:rsidP="0004355F">
      <w:pPr>
        <w:jc w:val="both"/>
      </w:pPr>
    </w:p>
    <w:p w:rsidR="00803E9E" w:rsidRDefault="00803E9E" w:rsidP="0004355F">
      <w:pPr>
        <w:jc w:val="both"/>
      </w:pPr>
    </w:p>
    <w:p w:rsidR="00665211" w:rsidRPr="00665211" w:rsidRDefault="00665211" w:rsidP="00665211">
      <w:pPr>
        <w:pStyle w:val="EndNoteBibliography"/>
        <w:spacing w:after="0"/>
      </w:pPr>
      <w:r>
        <w:lastRenderedPageBreak/>
        <w:fldChar w:fldCharType="begin"/>
      </w:r>
      <w:r w:rsidRPr="006C50C3">
        <w:rPr>
          <w:lang w:val="de-DE"/>
        </w:rPr>
        <w:instrText xml:space="preserve"> ADDIN EN.REFLIST </w:instrText>
      </w:r>
      <w:r>
        <w:fldChar w:fldCharType="separate"/>
      </w:r>
      <w:bookmarkStart w:id="0" w:name="_GoBack"/>
      <w:r w:rsidRPr="000F45DF">
        <w:t xml:space="preserve">Hryciuk, M.M., Schröter, F., Hennicke, L., and Braun, B.C. (2023). </w:t>
      </w:r>
      <w:bookmarkEnd w:id="0"/>
      <w:r w:rsidRPr="00665211">
        <w:t>Spheroid formation and luteinization of granulosa cells of felids in a long-term 3D culture. Differentiation; research in biological diversity</w:t>
      </w:r>
      <w:r w:rsidRPr="00665211">
        <w:rPr>
          <w:i/>
        </w:rPr>
        <w:t xml:space="preserve"> 131</w:t>
      </w:r>
      <w:r w:rsidRPr="00665211">
        <w:t>, 38-48.</w:t>
      </w:r>
    </w:p>
    <w:p w:rsidR="00665211" w:rsidRPr="00665211" w:rsidRDefault="00665211" w:rsidP="00665211">
      <w:pPr>
        <w:pStyle w:val="EndNoteBibliography"/>
      </w:pPr>
      <w:r w:rsidRPr="00665211">
        <w:t>Ma, Z., and Hao, C. (2018). Isolation of theca cells from whole ovary tissues may not be a suitable method. The Journal of biological chemistry</w:t>
      </w:r>
      <w:r w:rsidRPr="00665211">
        <w:rPr>
          <w:i/>
        </w:rPr>
        <w:t xml:space="preserve"> 293</w:t>
      </w:r>
      <w:r w:rsidRPr="00665211">
        <w:t>, 16174.</w:t>
      </w:r>
    </w:p>
    <w:p w:rsidR="00140498" w:rsidRDefault="00665211" w:rsidP="0004355F">
      <w:pPr>
        <w:jc w:val="both"/>
      </w:pPr>
      <w:r>
        <w:fldChar w:fldCharType="end"/>
      </w:r>
    </w:p>
    <w:sectPr w:rsidR="0014049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96E077D8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993"/>
          </w:tabs>
          <w:ind w:left="993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pzep0vqwv5vpef55zx9ass550arreffza5&quot;&gt;luteal cell&lt;record-ids&gt;&lt;item&gt;433&lt;/item&gt;&lt;item&gt;465&lt;/item&gt;&lt;/record-ids&gt;&lt;/item&gt;&lt;/Libraries&gt;"/>
  </w:docVars>
  <w:rsids>
    <w:rsidRoot w:val="00704635"/>
    <w:rsid w:val="000210AE"/>
    <w:rsid w:val="00040A68"/>
    <w:rsid w:val="0004355F"/>
    <w:rsid w:val="0006563A"/>
    <w:rsid w:val="00086F57"/>
    <w:rsid w:val="000C2083"/>
    <w:rsid w:val="000F45DF"/>
    <w:rsid w:val="0014261F"/>
    <w:rsid w:val="001B5C23"/>
    <w:rsid w:val="001E55F2"/>
    <w:rsid w:val="00294F72"/>
    <w:rsid w:val="002F70A1"/>
    <w:rsid w:val="00323F7D"/>
    <w:rsid w:val="0032416C"/>
    <w:rsid w:val="00353F33"/>
    <w:rsid w:val="003B07BB"/>
    <w:rsid w:val="00417931"/>
    <w:rsid w:val="00440FCD"/>
    <w:rsid w:val="0053451C"/>
    <w:rsid w:val="005D70D4"/>
    <w:rsid w:val="005D7610"/>
    <w:rsid w:val="005E5471"/>
    <w:rsid w:val="00665211"/>
    <w:rsid w:val="00682E16"/>
    <w:rsid w:val="006C50C3"/>
    <w:rsid w:val="006E26E3"/>
    <w:rsid w:val="00704635"/>
    <w:rsid w:val="007248D2"/>
    <w:rsid w:val="00740FBA"/>
    <w:rsid w:val="007920FE"/>
    <w:rsid w:val="007E0717"/>
    <w:rsid w:val="007E5DE6"/>
    <w:rsid w:val="007F11DA"/>
    <w:rsid w:val="00803E9E"/>
    <w:rsid w:val="00861BA9"/>
    <w:rsid w:val="0087378D"/>
    <w:rsid w:val="008A4096"/>
    <w:rsid w:val="008D42D2"/>
    <w:rsid w:val="009A1EE9"/>
    <w:rsid w:val="00A41E69"/>
    <w:rsid w:val="00A95978"/>
    <w:rsid w:val="00B72FF5"/>
    <w:rsid w:val="00B822C1"/>
    <w:rsid w:val="00CA5E98"/>
    <w:rsid w:val="00D311B5"/>
    <w:rsid w:val="00D701A0"/>
    <w:rsid w:val="00D94587"/>
    <w:rsid w:val="00DB354D"/>
    <w:rsid w:val="00E114B2"/>
    <w:rsid w:val="00EB61D8"/>
    <w:rsid w:val="00EC680F"/>
    <w:rsid w:val="00F32352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64EA8-5203-414A-B903-457B6F1E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294F72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94F72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294F72"/>
    <w:pPr>
      <w:keepNext/>
      <w:keepLines/>
      <w:numPr>
        <w:ilvl w:val="2"/>
        <w:numId w:val="1"/>
      </w:numPr>
      <w:tabs>
        <w:tab w:val="clear" w:pos="993"/>
        <w:tab w:val="num" w:pos="567"/>
      </w:tabs>
      <w:spacing w:before="40" w:after="120" w:line="240" w:lineRule="auto"/>
      <w:ind w:left="567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294F7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294F7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94F7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4F7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94F7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4F72"/>
    <w:rPr>
      <w:rFonts w:ascii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2"/>
    <w:rsid w:val="00294F7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294F7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294F7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294F7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294F72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294F7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294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14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4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4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4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4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izw-daten-8\Alle\GUEST\Abteilung4\Hryciuk\Postdoc%20project\Protocols\MH233%20-%20GC%20and%20TC%20mixture%20culture\MH233%20-%20ELIS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P4</a:t>
            </a:r>
            <a:r>
              <a:rPr lang="en-US" sz="1100" baseline="0"/>
              <a:t> concentration in cell cultures with different cell types</a:t>
            </a:r>
            <a:endParaRPr lang="en-US" sz="11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'P4 MH233'!$T$8</c:f>
              <c:strCache>
                <c:ptCount val="1"/>
                <c:pt idx="0">
                  <c:v>GC100%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'P4 MH233'!$U$14:$W$14</c:f>
                <c:numCache>
                  <c:formatCode>General</c:formatCode>
                  <c:ptCount val="3"/>
                  <c:pt idx="0">
                    <c:v>1.0632144656653264E-2</c:v>
                  </c:pt>
                  <c:pt idx="1">
                    <c:v>6.3438135510409124E-2</c:v>
                  </c:pt>
                  <c:pt idx="2">
                    <c:v>0.26364650857062627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'P4 MH233'!$U$7:$W$7</c:f>
              <c:strCache>
                <c:ptCount val="3"/>
                <c:pt idx="0">
                  <c:v>day 2</c:v>
                </c:pt>
                <c:pt idx="1">
                  <c:v>day 7</c:v>
                </c:pt>
                <c:pt idx="2">
                  <c:v>day 14</c:v>
                </c:pt>
              </c:strCache>
            </c:strRef>
          </c:cat>
          <c:val>
            <c:numRef>
              <c:f>'P4 MH233'!$U$8:$W$8</c:f>
              <c:numCache>
                <c:formatCode>0.0</c:formatCode>
                <c:ptCount val="3"/>
                <c:pt idx="0">
                  <c:v>0.44354999999999994</c:v>
                </c:pt>
                <c:pt idx="1">
                  <c:v>0.8493777777777779</c:v>
                </c:pt>
                <c:pt idx="2">
                  <c:v>2.6935555555555553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5E-4E21-8973-400580051B82}"/>
            </c:ext>
          </c:extLst>
        </c:ser>
        <c:ser>
          <c:idx val="3"/>
          <c:order val="1"/>
          <c:tx>
            <c:strRef>
              <c:f>'P4 MH233'!$T$11</c:f>
              <c:strCache>
                <c:ptCount val="1"/>
                <c:pt idx="0">
                  <c:v>TC100%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'P4 MH233'!$U$17:$W$17</c:f>
                <c:numCache>
                  <c:formatCode>General</c:formatCode>
                  <c:ptCount val="3"/>
                  <c:pt idx="0">
                    <c:v>1.1884548792444749E-2</c:v>
                  </c:pt>
                  <c:pt idx="1">
                    <c:v>9.3768540882639681E-2</c:v>
                  </c:pt>
                  <c:pt idx="2">
                    <c:v>0.14094009759862908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'P4 MH233'!$U$7:$W$7</c:f>
              <c:strCache>
                <c:ptCount val="3"/>
                <c:pt idx="0">
                  <c:v>day 2</c:v>
                </c:pt>
                <c:pt idx="1">
                  <c:v>day 7</c:v>
                </c:pt>
                <c:pt idx="2">
                  <c:v>day 14</c:v>
                </c:pt>
              </c:strCache>
            </c:strRef>
          </c:cat>
          <c:val>
            <c:numRef>
              <c:f>'P4 MH233'!$U$11:$W$11</c:f>
              <c:numCache>
                <c:formatCode>0.0</c:formatCode>
                <c:ptCount val="3"/>
                <c:pt idx="0">
                  <c:v>0.21895000000000001</c:v>
                </c:pt>
                <c:pt idx="1">
                  <c:v>0.71115555555555554</c:v>
                </c:pt>
                <c:pt idx="2">
                  <c:v>1.4376666666666666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5E-4E21-8973-400580051B82}"/>
            </c:ext>
          </c:extLst>
        </c:ser>
        <c:ser>
          <c:idx val="5"/>
          <c:order val="2"/>
          <c:tx>
            <c:strRef>
              <c:f>'P4 MH233'!$T$13</c:f>
              <c:strCache>
                <c:ptCount val="1"/>
                <c:pt idx="0">
                  <c:v>FC100%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'P4 MH233'!$U$19:$W$19</c:f>
                <c:numCache>
                  <c:formatCode>General</c:formatCode>
                  <c:ptCount val="3"/>
                  <c:pt idx="0">
                    <c:v>0.12441934469098183</c:v>
                  </c:pt>
                  <c:pt idx="1">
                    <c:v>1.395346711195625</c:v>
                  </c:pt>
                  <c:pt idx="2">
                    <c:v>37.640720463841262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'P4 MH233'!$U$7:$W$7</c:f>
              <c:strCache>
                <c:ptCount val="3"/>
                <c:pt idx="0">
                  <c:v>day 2</c:v>
                </c:pt>
                <c:pt idx="1">
                  <c:v>day 7</c:v>
                </c:pt>
                <c:pt idx="2">
                  <c:v>day 14</c:v>
                </c:pt>
              </c:strCache>
            </c:strRef>
          </c:cat>
          <c:val>
            <c:numRef>
              <c:f>'P4 MH233'!$U$13:$W$13</c:f>
              <c:numCache>
                <c:formatCode>0.0</c:formatCode>
                <c:ptCount val="3"/>
                <c:pt idx="0">
                  <c:v>1.2904666666666664</c:v>
                </c:pt>
                <c:pt idx="1">
                  <c:v>10.410666666666666</c:v>
                </c:pt>
                <c:pt idx="2">
                  <c:v>116.81777777777778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5E-4E21-8973-400580051B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878408"/>
        <c:axId val="291878016"/>
      </c:barChart>
      <c:catAx>
        <c:axId val="291878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</a:t>
                </a:r>
                <a:r>
                  <a:rPr lang="en-US" baseline="0"/>
                  <a:t> of culture</a:t>
                </a:r>
                <a:endParaRPr 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78016"/>
        <c:crosses val="autoZero"/>
        <c:auto val="1"/>
        <c:lblAlgn val="ctr"/>
        <c:lblOffset val="100"/>
        <c:noMultiLvlLbl val="0"/>
      </c:catAx>
      <c:valAx>
        <c:axId val="29187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P4</a:t>
                </a:r>
                <a:r>
                  <a:rPr lang="en-US" baseline="0"/>
                  <a:t> concentration (ng/mL) </a:t>
                </a:r>
                <a:endParaRPr 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7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Hryciuk, Michal</dc:creator>
  <cp:keywords/>
  <dc:description/>
  <cp:lastModifiedBy>Hryciuk, Michal</cp:lastModifiedBy>
  <cp:revision>20</cp:revision>
  <dcterms:created xsi:type="dcterms:W3CDTF">2024-09-06T10:40:00Z</dcterms:created>
  <dcterms:modified xsi:type="dcterms:W3CDTF">2024-11-26T15:37:00Z</dcterms:modified>
</cp:coreProperties>
</file>