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D5744" w14:textId="3686168E" w:rsidR="00B17663" w:rsidRDefault="00B17663" w:rsidP="008B4446">
      <w:pPr>
        <w:adjustRightInd w:val="0"/>
        <w:snapToGrid w:val="0"/>
        <w:spacing w:line="360" w:lineRule="auto"/>
        <w:jc w:val="both"/>
        <w:rPr>
          <w:rFonts w:ascii="Arial" w:hAnsi="Arial" w:cs="Arial"/>
          <w:b/>
          <w:sz w:val="32"/>
          <w:szCs w:val="32"/>
          <w:lang w:val="en-US"/>
        </w:rPr>
      </w:pPr>
      <w:r>
        <w:rPr>
          <w:rFonts w:ascii="Arial" w:hAnsi="Arial" w:cs="Arial"/>
          <w:b/>
          <w:sz w:val="32"/>
          <w:szCs w:val="32"/>
          <w:lang w:val="en-US"/>
        </w:rPr>
        <w:t>Supplemental M</w:t>
      </w:r>
      <w:r w:rsidR="001829E4">
        <w:rPr>
          <w:rFonts w:ascii="Arial" w:hAnsi="Arial" w:cs="Arial"/>
          <w:b/>
          <w:sz w:val="32"/>
          <w:szCs w:val="32"/>
          <w:lang w:val="en-US"/>
        </w:rPr>
        <w:t>a</w:t>
      </w:r>
      <w:r>
        <w:rPr>
          <w:rFonts w:ascii="Arial" w:hAnsi="Arial" w:cs="Arial"/>
          <w:b/>
          <w:sz w:val="32"/>
          <w:szCs w:val="32"/>
          <w:lang w:val="en-US"/>
        </w:rPr>
        <w:t>terial</w:t>
      </w:r>
      <w:r w:rsidR="001829E4">
        <w:rPr>
          <w:rFonts w:ascii="Arial" w:hAnsi="Arial" w:cs="Arial"/>
          <w:b/>
          <w:sz w:val="32"/>
          <w:szCs w:val="32"/>
          <w:lang w:val="en-US"/>
        </w:rPr>
        <w:t xml:space="preserve"> </w:t>
      </w:r>
    </w:p>
    <w:p w14:paraId="70D1F7F1" w14:textId="77777777" w:rsidR="00B17663" w:rsidRDefault="00B17663" w:rsidP="008B4446">
      <w:pPr>
        <w:adjustRightInd w:val="0"/>
        <w:snapToGrid w:val="0"/>
        <w:spacing w:line="360" w:lineRule="auto"/>
        <w:jc w:val="both"/>
        <w:rPr>
          <w:rFonts w:ascii="Arial" w:hAnsi="Arial" w:cs="Arial"/>
          <w:b/>
          <w:sz w:val="32"/>
          <w:szCs w:val="32"/>
          <w:lang w:val="en-US"/>
        </w:rPr>
      </w:pPr>
    </w:p>
    <w:p w14:paraId="4CE54677" w14:textId="3D3F30BB" w:rsidR="000B1C0F" w:rsidRPr="000B1C0F" w:rsidRDefault="008B4446" w:rsidP="008B4446">
      <w:pPr>
        <w:adjustRightInd w:val="0"/>
        <w:snapToGrid w:val="0"/>
        <w:spacing w:line="360" w:lineRule="auto"/>
        <w:jc w:val="both"/>
        <w:rPr>
          <w:rFonts w:ascii="Arial" w:hAnsi="Arial" w:cs="Arial"/>
          <w:b/>
          <w:sz w:val="32"/>
          <w:szCs w:val="32"/>
          <w:lang w:val="en-US"/>
        </w:rPr>
      </w:pPr>
      <w:r w:rsidRPr="00D213E5">
        <w:rPr>
          <w:rFonts w:ascii="Arial" w:hAnsi="Arial" w:cs="Arial"/>
          <w:b/>
          <w:sz w:val="32"/>
          <w:szCs w:val="32"/>
          <w:lang w:val="en-US"/>
        </w:rPr>
        <w:t>Peroxisomes in the mouse ovary and their alterations during follicular development and oocyte maturation</w:t>
      </w:r>
    </w:p>
    <w:p w14:paraId="1210BC7F" w14:textId="15229C24" w:rsidR="008B4446" w:rsidRPr="00D213E5" w:rsidRDefault="008B4446" w:rsidP="008B4446">
      <w:pPr>
        <w:adjustRightInd w:val="0"/>
        <w:snapToGrid w:val="0"/>
        <w:spacing w:line="360" w:lineRule="auto"/>
        <w:jc w:val="both"/>
        <w:rPr>
          <w:rFonts w:ascii="Arial" w:hAnsi="Arial" w:cs="Arial"/>
          <w:vertAlign w:val="superscript"/>
          <w:lang w:val="en-US"/>
        </w:rPr>
      </w:pPr>
      <w:r w:rsidRPr="00D213E5">
        <w:rPr>
          <w:rFonts w:ascii="Arial" w:hAnsi="Arial" w:cs="Arial"/>
          <w:lang w:val="en-US"/>
        </w:rPr>
        <w:t>Claudia Colasante</w:t>
      </w:r>
      <w:r w:rsidRPr="00D213E5">
        <w:rPr>
          <w:rFonts w:ascii="Arial" w:hAnsi="Arial" w:cs="Arial"/>
          <w:vertAlign w:val="superscript"/>
          <w:lang w:val="en-US"/>
        </w:rPr>
        <w:t>1,*</w:t>
      </w:r>
      <w:r w:rsidRPr="00D213E5">
        <w:rPr>
          <w:rFonts w:ascii="Arial" w:hAnsi="Arial" w:cs="Arial"/>
          <w:lang w:val="en-US"/>
        </w:rPr>
        <w:t>, Eva-Maria Distler</w:t>
      </w:r>
      <w:r w:rsidRPr="00D213E5">
        <w:rPr>
          <w:rFonts w:ascii="Arial" w:hAnsi="Arial" w:cs="Arial"/>
          <w:vertAlign w:val="superscript"/>
          <w:lang w:val="en-US"/>
        </w:rPr>
        <w:t>1,*</w:t>
      </w:r>
      <w:r w:rsidRPr="00D213E5">
        <w:rPr>
          <w:rFonts w:ascii="Arial" w:hAnsi="Arial" w:cs="Arial"/>
          <w:lang w:val="en-US"/>
        </w:rPr>
        <w:t>, Shan Wang</w:t>
      </w:r>
      <w:r w:rsidRPr="00D213E5">
        <w:rPr>
          <w:rFonts w:ascii="Arial" w:hAnsi="Arial" w:cs="Arial"/>
          <w:vertAlign w:val="superscript"/>
          <w:lang w:val="en-US"/>
        </w:rPr>
        <w:t>1,3</w:t>
      </w:r>
      <w:r w:rsidRPr="00D213E5">
        <w:rPr>
          <w:rFonts w:ascii="Arial" w:hAnsi="Arial" w:cs="Arial"/>
          <w:lang w:val="en-US"/>
        </w:rPr>
        <w:t>, Philip Grant</w:t>
      </w:r>
      <w:r w:rsidRPr="00D213E5">
        <w:rPr>
          <w:rFonts w:ascii="Arial" w:hAnsi="Arial" w:cs="Arial"/>
          <w:vertAlign w:val="superscript"/>
          <w:lang w:val="en-US"/>
        </w:rPr>
        <w:t>1,</w:t>
      </w:r>
      <w:proofErr w:type="gramStart"/>
      <w:r w:rsidRPr="00D213E5">
        <w:rPr>
          <w:rFonts w:ascii="Arial" w:hAnsi="Arial" w:cs="Arial"/>
          <w:vertAlign w:val="superscript"/>
          <w:lang w:val="en-US"/>
        </w:rPr>
        <w:t>2,</w:t>
      </w:r>
      <w:r w:rsidRPr="00D213E5">
        <w:rPr>
          <w:rFonts w:ascii="Arial" w:hAnsi="Arial" w:cs="Arial"/>
          <w:lang w:val="en-US"/>
        </w:rPr>
        <w:t>,</w:t>
      </w:r>
      <w:proofErr w:type="gramEnd"/>
      <w:r w:rsidRPr="00D213E5">
        <w:rPr>
          <w:rFonts w:ascii="Arial" w:hAnsi="Arial" w:cs="Arial"/>
          <w:lang w:val="en-US"/>
        </w:rPr>
        <w:t xml:space="preserve"> Eveline Baumgart-Vogt</w:t>
      </w:r>
      <w:r w:rsidRPr="00D213E5">
        <w:rPr>
          <w:rFonts w:ascii="Arial" w:hAnsi="Arial" w:cs="Arial"/>
          <w:vertAlign w:val="superscript"/>
          <w:lang w:val="en-US"/>
        </w:rPr>
        <w:t>1</w:t>
      </w:r>
    </w:p>
    <w:p w14:paraId="271C20F1" w14:textId="77777777" w:rsidR="008B4446" w:rsidRPr="00D213E5" w:rsidRDefault="008B4446" w:rsidP="008B4446">
      <w:pPr>
        <w:adjustRightInd w:val="0"/>
        <w:snapToGrid w:val="0"/>
        <w:spacing w:line="360" w:lineRule="auto"/>
        <w:jc w:val="both"/>
        <w:rPr>
          <w:rFonts w:ascii="Arial" w:hAnsi="Arial" w:cs="Arial"/>
          <w:lang w:val="en-US"/>
        </w:rPr>
      </w:pPr>
      <w:r w:rsidRPr="00D213E5">
        <w:rPr>
          <w:rFonts w:ascii="Arial" w:hAnsi="Arial" w:cs="Arial"/>
          <w:lang w:val="en-US"/>
        </w:rPr>
        <w:t>1 Institute for Anatomy and Cell Biology, Division of Medical Cell Biology, Justus Liebig University Giessen, Aulweg 123, 35392 Giessen, Germany</w:t>
      </w:r>
    </w:p>
    <w:p w14:paraId="7D2877FE" w14:textId="77777777" w:rsidR="008B4446" w:rsidRPr="00D213E5" w:rsidRDefault="008B4446" w:rsidP="008B4446">
      <w:pPr>
        <w:shd w:val="clear" w:color="auto" w:fill="FFFFFF"/>
        <w:spacing w:line="360" w:lineRule="auto"/>
        <w:jc w:val="both"/>
        <w:rPr>
          <w:rFonts w:ascii="Arial" w:hAnsi="Arial" w:cs="Arial"/>
          <w:lang w:val="en-US"/>
        </w:rPr>
      </w:pPr>
      <w:r w:rsidRPr="00D213E5">
        <w:rPr>
          <w:rFonts w:ascii="Arial" w:hAnsi="Arial" w:cs="Arial"/>
          <w:bCs/>
          <w:lang w:val="en-US"/>
        </w:rPr>
        <w:t>2</w:t>
      </w:r>
      <w:r w:rsidRPr="00D213E5">
        <w:rPr>
          <w:rFonts w:ascii="Arial" w:hAnsi="Arial" w:cs="Arial"/>
          <w:b/>
          <w:lang w:val="en-US"/>
        </w:rPr>
        <w:t xml:space="preserve"> </w:t>
      </w:r>
      <w:r w:rsidRPr="00D213E5">
        <w:rPr>
          <w:rFonts w:ascii="Arial" w:hAnsi="Arial" w:cs="Arial"/>
          <w:lang w:val="en-US"/>
        </w:rPr>
        <w:t>Psychology School, Fresenius University of Applied Sciences, Marienburgstr. 6 60528 Frankfurt am Main, Germany</w:t>
      </w:r>
    </w:p>
    <w:p w14:paraId="14903F31" w14:textId="77777777" w:rsidR="008B4446" w:rsidRPr="00D213E5" w:rsidRDefault="008B4446" w:rsidP="008B4446">
      <w:pPr>
        <w:shd w:val="clear" w:color="auto" w:fill="FFFFFF"/>
        <w:spacing w:line="360" w:lineRule="auto"/>
        <w:jc w:val="both"/>
        <w:rPr>
          <w:rFonts w:ascii="Arial" w:hAnsi="Arial" w:cs="Arial"/>
          <w:lang w:val="en-US"/>
        </w:rPr>
      </w:pPr>
      <w:r w:rsidRPr="00D213E5">
        <w:rPr>
          <w:rFonts w:ascii="Arial" w:hAnsi="Arial" w:cs="Arial"/>
          <w:lang w:val="en-US"/>
        </w:rPr>
        <w:t>3</w:t>
      </w:r>
      <w:r>
        <w:rPr>
          <w:rFonts w:ascii="Arial" w:hAnsi="Arial" w:cs="Arial"/>
          <w:lang w:val="en-US"/>
        </w:rPr>
        <w:t xml:space="preserve"> </w:t>
      </w:r>
      <w:r w:rsidRPr="00D213E5">
        <w:rPr>
          <w:rFonts w:ascii="Arial" w:hAnsi="Arial" w:cs="Arial"/>
          <w:lang w:val="en-US"/>
        </w:rPr>
        <w:t xml:space="preserve">Department of Biomedical Engineering, </w:t>
      </w:r>
      <w:r w:rsidRPr="00E01F5A">
        <w:rPr>
          <w:rFonts w:ascii="Arial" w:hAnsi="Arial" w:cs="Arial"/>
          <w:lang w:val="en-US"/>
        </w:rPr>
        <w:t>ST415, ST Wing,</w:t>
      </w:r>
      <w:r>
        <w:rPr>
          <w:rFonts w:ascii="Arial" w:hAnsi="Arial" w:cs="Arial"/>
          <w:lang w:val="en-US"/>
        </w:rPr>
        <w:t xml:space="preserve"> </w:t>
      </w:r>
      <w:r w:rsidRPr="00D213E5">
        <w:rPr>
          <w:rFonts w:ascii="Arial" w:hAnsi="Arial" w:cs="Arial"/>
          <w:lang w:val="en-US"/>
        </w:rPr>
        <w:t>The Hong Kong Polytechnic University,</w:t>
      </w:r>
      <w:r w:rsidRPr="00E01F5A">
        <w:rPr>
          <w:rFonts w:ascii="Arial" w:hAnsi="Arial" w:cs="Arial"/>
          <w:lang w:val="en-US"/>
        </w:rPr>
        <w:t xml:space="preserve">11 Yuk Choi Rd, Hung Hom, </w:t>
      </w:r>
      <w:r w:rsidRPr="00D213E5">
        <w:rPr>
          <w:rFonts w:ascii="Arial" w:hAnsi="Arial" w:cs="Arial"/>
          <w:lang w:val="en-US"/>
        </w:rPr>
        <w:t>Hong Kong, China.</w:t>
      </w:r>
    </w:p>
    <w:p w14:paraId="7CD4EE46" w14:textId="77777777" w:rsidR="008B4446" w:rsidRDefault="008B4446" w:rsidP="008B4446">
      <w:pPr>
        <w:adjustRightInd w:val="0"/>
        <w:snapToGrid w:val="0"/>
        <w:spacing w:line="480" w:lineRule="auto"/>
        <w:jc w:val="both"/>
        <w:rPr>
          <w:rFonts w:ascii="Arial" w:hAnsi="Arial" w:cs="Arial"/>
        </w:rPr>
      </w:pPr>
    </w:p>
    <w:p w14:paraId="0FC5EB78" w14:textId="77777777" w:rsidR="008B4446" w:rsidRPr="00E71FC5" w:rsidRDefault="008B4446" w:rsidP="008B4446">
      <w:pPr>
        <w:adjustRightInd w:val="0"/>
        <w:snapToGrid w:val="0"/>
        <w:spacing w:line="360" w:lineRule="auto"/>
        <w:jc w:val="both"/>
        <w:rPr>
          <w:rFonts w:ascii="Arial" w:hAnsi="Arial" w:cs="Arial"/>
        </w:rPr>
      </w:pPr>
      <w:r w:rsidRPr="00D213E5">
        <w:rPr>
          <w:rFonts w:ascii="Arial" w:hAnsi="Arial" w:cs="Arial"/>
          <w:vertAlign w:val="superscript"/>
          <w:lang w:val="en-US"/>
        </w:rPr>
        <w:t>*</w:t>
      </w:r>
      <w:r w:rsidRPr="00D213E5">
        <w:rPr>
          <w:rFonts w:ascii="Arial" w:hAnsi="Arial" w:cs="Arial"/>
          <w:lang w:val="en-US"/>
        </w:rPr>
        <w:t>Claudia Colasante</w:t>
      </w:r>
      <w:r>
        <w:rPr>
          <w:rFonts w:ascii="Arial" w:hAnsi="Arial" w:cs="Arial"/>
          <w:vertAlign w:val="superscript"/>
          <w:lang w:val="en-US"/>
        </w:rPr>
        <w:t xml:space="preserve"> </w:t>
      </w:r>
      <w:r>
        <w:rPr>
          <w:rFonts w:ascii="Arial" w:hAnsi="Arial" w:cs="Arial"/>
          <w:lang w:val="en-US"/>
        </w:rPr>
        <w:t xml:space="preserve">and </w:t>
      </w:r>
      <w:r w:rsidRPr="00D213E5">
        <w:rPr>
          <w:rFonts w:ascii="Arial" w:hAnsi="Arial" w:cs="Arial"/>
          <w:lang w:val="en-US"/>
        </w:rPr>
        <w:t>Eva-Maria Distler</w:t>
      </w:r>
      <w:r>
        <w:rPr>
          <w:rFonts w:ascii="Arial" w:hAnsi="Arial" w:cs="Arial"/>
          <w:vertAlign w:val="superscript"/>
          <w:lang w:val="en-US"/>
        </w:rPr>
        <w:t xml:space="preserve"> </w:t>
      </w:r>
      <w:r w:rsidRPr="00E71FC5">
        <w:rPr>
          <w:rFonts w:ascii="Arial" w:hAnsi="Arial" w:cs="Arial"/>
        </w:rPr>
        <w:t xml:space="preserve">contributed equally to this manuscript </w:t>
      </w:r>
    </w:p>
    <w:p w14:paraId="36E70D9F" w14:textId="77777777" w:rsidR="008B4446" w:rsidRPr="00E71FC5" w:rsidRDefault="008B4446" w:rsidP="008B4446">
      <w:pPr>
        <w:adjustRightInd w:val="0"/>
        <w:snapToGrid w:val="0"/>
        <w:spacing w:line="360" w:lineRule="auto"/>
        <w:jc w:val="both"/>
        <w:rPr>
          <w:rFonts w:ascii="Arial" w:hAnsi="Arial" w:cs="Arial"/>
        </w:rPr>
      </w:pPr>
    </w:p>
    <w:p w14:paraId="59025AFC" w14:textId="77777777" w:rsidR="008B4446" w:rsidRPr="00E71FC5" w:rsidRDefault="008B4446" w:rsidP="008B4446">
      <w:pPr>
        <w:adjustRightInd w:val="0"/>
        <w:snapToGrid w:val="0"/>
        <w:spacing w:line="360" w:lineRule="auto"/>
        <w:jc w:val="both"/>
        <w:rPr>
          <w:rFonts w:ascii="Arial" w:hAnsi="Arial" w:cs="Arial"/>
        </w:rPr>
      </w:pPr>
      <w:r w:rsidRPr="00E71FC5">
        <w:rPr>
          <w:rFonts w:ascii="Arial" w:hAnsi="Arial" w:cs="Arial"/>
        </w:rPr>
        <w:t xml:space="preserve">Corresponding author: </w:t>
      </w:r>
    </w:p>
    <w:p w14:paraId="4A6967AA" w14:textId="77777777" w:rsidR="008B4446" w:rsidRDefault="008B4446" w:rsidP="008B4446">
      <w:pPr>
        <w:adjustRightInd w:val="0"/>
        <w:snapToGrid w:val="0"/>
        <w:spacing w:line="360" w:lineRule="auto"/>
        <w:jc w:val="both"/>
        <w:rPr>
          <w:rFonts w:ascii="Arial" w:hAnsi="Arial" w:cs="Arial"/>
        </w:rPr>
      </w:pPr>
      <w:r w:rsidRPr="00E71FC5">
        <w:rPr>
          <w:rFonts w:ascii="Arial" w:hAnsi="Arial" w:cs="Arial"/>
        </w:rPr>
        <w:t xml:space="preserve">Prof. Dr. med. Eveline Baumgart-Vogt, </w:t>
      </w:r>
    </w:p>
    <w:p w14:paraId="48BAB0BC" w14:textId="77777777" w:rsidR="008B4446" w:rsidRDefault="008B4446" w:rsidP="008B4446">
      <w:pPr>
        <w:adjustRightInd w:val="0"/>
        <w:snapToGrid w:val="0"/>
        <w:spacing w:line="360" w:lineRule="auto"/>
        <w:jc w:val="both"/>
        <w:rPr>
          <w:rFonts w:ascii="Arial" w:hAnsi="Arial" w:cs="Arial"/>
          <w:lang w:val="en-US"/>
        </w:rPr>
      </w:pPr>
      <w:r w:rsidRPr="00E71FC5">
        <w:rPr>
          <w:rFonts w:ascii="Arial" w:hAnsi="Arial" w:cs="Arial"/>
        </w:rPr>
        <w:t>Institute for Anatomy and Cell Biology, Medical Cell Biology Aulweg 123, 35392 Giessen, Germany</w:t>
      </w:r>
      <w:r w:rsidRPr="00E71FC5">
        <w:rPr>
          <w:rFonts w:ascii="Arial" w:hAnsi="Arial" w:cs="Arial"/>
          <w:lang w:val="en-US"/>
        </w:rPr>
        <w:t xml:space="preserve"> </w:t>
      </w:r>
    </w:p>
    <w:p w14:paraId="3D1AFD2E" w14:textId="77777777" w:rsidR="008B4446" w:rsidRDefault="008B4446" w:rsidP="008B4446">
      <w:pPr>
        <w:adjustRightInd w:val="0"/>
        <w:snapToGrid w:val="0"/>
        <w:spacing w:line="360" w:lineRule="auto"/>
        <w:jc w:val="both"/>
        <w:rPr>
          <w:rFonts w:ascii="Arial" w:hAnsi="Arial" w:cs="Arial"/>
        </w:rPr>
      </w:pPr>
      <w:hyperlink r:id="rId4" w:history="1">
        <w:r w:rsidRPr="00AC537B">
          <w:rPr>
            <w:rStyle w:val="Hyperlink"/>
            <w:rFonts w:ascii="Arial" w:hAnsi="Arial" w:cs="Arial"/>
          </w:rPr>
          <w:t>Eveline.Baumgart-Vogt@anatomie.med.uni-giessen.de</w:t>
        </w:r>
      </w:hyperlink>
    </w:p>
    <w:p w14:paraId="4F6FA23B" w14:textId="364CE0A9" w:rsidR="004D1BEE" w:rsidRDefault="004D1BEE">
      <w:pPr>
        <w:rPr>
          <w:rFonts w:ascii="Arial" w:hAnsi="Arial" w:cs="Arial"/>
        </w:rPr>
      </w:pPr>
      <w:r>
        <w:rPr>
          <w:rFonts w:ascii="Arial" w:hAnsi="Arial" w:cs="Arial"/>
        </w:rPr>
        <w:br w:type="page"/>
      </w:r>
    </w:p>
    <w:p w14:paraId="7026EDC3" w14:textId="77777777" w:rsidR="008B4446" w:rsidRPr="001829E4" w:rsidRDefault="008B4446" w:rsidP="008B4446">
      <w:pPr>
        <w:adjustRightInd w:val="0"/>
        <w:snapToGrid w:val="0"/>
        <w:spacing w:line="360" w:lineRule="auto"/>
        <w:rPr>
          <w:rFonts w:ascii="Arial" w:hAnsi="Arial" w:cs="Arial"/>
          <w:b/>
          <w:bCs/>
          <w:color w:val="000000"/>
          <w:sz w:val="32"/>
          <w:szCs w:val="32"/>
          <w:shd w:val="clear" w:color="auto" w:fill="FFFFFF"/>
        </w:rPr>
      </w:pPr>
      <w:r w:rsidRPr="001829E4">
        <w:rPr>
          <w:rFonts w:ascii="Arial" w:hAnsi="Arial" w:cs="Arial"/>
          <w:b/>
          <w:bCs/>
          <w:color w:val="000000"/>
          <w:sz w:val="32"/>
          <w:szCs w:val="32"/>
          <w:shd w:val="clear" w:color="auto" w:fill="FFFFFF"/>
        </w:rPr>
        <w:lastRenderedPageBreak/>
        <w:t>Supplemental Tables</w:t>
      </w:r>
    </w:p>
    <w:p w14:paraId="207C4D2D" w14:textId="77777777" w:rsidR="008B4446" w:rsidRPr="00E71FC5" w:rsidRDefault="008B4446" w:rsidP="008B4446">
      <w:pPr>
        <w:adjustRightInd w:val="0"/>
        <w:snapToGrid w:val="0"/>
        <w:spacing w:line="360" w:lineRule="auto"/>
        <w:rPr>
          <w:rFonts w:ascii="Arial" w:hAnsi="Arial" w:cs="Arial"/>
          <w:b/>
        </w:rPr>
      </w:pPr>
    </w:p>
    <w:p w14:paraId="5BA96A13" w14:textId="77777777" w:rsidR="008B4446" w:rsidRPr="003A26D1" w:rsidRDefault="008B4446" w:rsidP="008B4446">
      <w:pPr>
        <w:adjustRightInd w:val="0"/>
        <w:snapToGrid w:val="0"/>
        <w:spacing w:line="360" w:lineRule="auto"/>
        <w:rPr>
          <w:rFonts w:ascii="Arial" w:hAnsi="Arial" w:cs="Arial"/>
          <w:b/>
        </w:rPr>
      </w:pPr>
      <w:r>
        <w:rPr>
          <w:rFonts w:ascii="Arial" w:hAnsi="Arial" w:cs="Arial"/>
          <w:b/>
        </w:rPr>
        <w:t>Supplemental</w:t>
      </w:r>
      <w:r w:rsidRPr="00E71FC5">
        <w:rPr>
          <w:rFonts w:ascii="Arial" w:hAnsi="Arial" w:cs="Arial"/>
          <w:b/>
        </w:rPr>
        <w:t xml:space="preserve"> Table 1</w:t>
      </w:r>
      <w:r>
        <w:rPr>
          <w:rFonts w:ascii="Arial" w:hAnsi="Arial" w:cs="Arial"/>
          <w:b/>
        </w:rPr>
        <w:t xml:space="preserve"> </w:t>
      </w:r>
      <w:r w:rsidRPr="007D7EEE">
        <w:rPr>
          <w:rFonts w:ascii="Arial" w:hAnsi="Arial" w:cs="Arial"/>
          <w:bCs/>
        </w:rPr>
        <w:t xml:space="preserve">List of primary antibodies used during immunofluorescence analysis </w:t>
      </w:r>
    </w:p>
    <w:tbl>
      <w:tblPr>
        <w:tblW w:w="9579" w:type="dxa"/>
        <w:tblInd w:w="55" w:type="dxa"/>
        <w:tblLayout w:type="fixed"/>
        <w:tblCellMar>
          <w:left w:w="70" w:type="dxa"/>
          <w:right w:w="70" w:type="dxa"/>
        </w:tblCellMar>
        <w:tblLook w:val="04A0" w:firstRow="1" w:lastRow="0" w:firstColumn="1" w:lastColumn="0" w:noHBand="0" w:noVBand="1"/>
      </w:tblPr>
      <w:tblGrid>
        <w:gridCol w:w="3201"/>
        <w:gridCol w:w="992"/>
        <w:gridCol w:w="992"/>
        <w:gridCol w:w="4394"/>
      </w:tblGrid>
      <w:tr w:rsidR="008B4446" w:rsidRPr="00E71FC5" w14:paraId="7E123147" w14:textId="77777777" w:rsidTr="009E6618">
        <w:trPr>
          <w:trHeight w:val="630"/>
        </w:trPr>
        <w:tc>
          <w:tcPr>
            <w:tcW w:w="320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D57339F" w14:textId="77777777" w:rsidR="008B4446" w:rsidRPr="00E71FC5" w:rsidRDefault="008B4446" w:rsidP="009E6618">
            <w:pPr>
              <w:adjustRightInd w:val="0"/>
              <w:snapToGrid w:val="0"/>
              <w:spacing w:line="360" w:lineRule="auto"/>
              <w:rPr>
                <w:rFonts w:ascii="Arial" w:hAnsi="Arial" w:cs="Arial"/>
                <w:b/>
                <w:bCs/>
                <w:color w:val="000000"/>
                <w:sz w:val="20"/>
                <w:szCs w:val="20"/>
              </w:rPr>
            </w:pPr>
            <w:r w:rsidRPr="00E71FC5">
              <w:rPr>
                <w:rFonts w:ascii="Arial" w:hAnsi="Arial" w:cs="Arial"/>
                <w:b/>
                <w:bCs/>
                <w:color w:val="000000"/>
                <w:sz w:val="20"/>
                <w:szCs w:val="20"/>
              </w:rPr>
              <w:t>Primary antibody</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14:paraId="656410A2" w14:textId="77777777" w:rsidR="008B4446" w:rsidRPr="00E71FC5" w:rsidRDefault="008B4446" w:rsidP="009E6618">
            <w:pPr>
              <w:adjustRightInd w:val="0"/>
              <w:snapToGrid w:val="0"/>
              <w:spacing w:line="360" w:lineRule="auto"/>
              <w:jc w:val="center"/>
              <w:rPr>
                <w:rFonts w:ascii="Arial" w:hAnsi="Arial" w:cs="Arial"/>
                <w:b/>
                <w:bCs/>
                <w:color w:val="000000"/>
                <w:sz w:val="20"/>
                <w:szCs w:val="20"/>
              </w:rPr>
            </w:pPr>
            <w:r w:rsidRPr="00E71FC5">
              <w:rPr>
                <w:rFonts w:ascii="Arial" w:hAnsi="Arial" w:cs="Arial"/>
                <w:b/>
                <w:bCs/>
                <w:color w:val="000000"/>
                <w:sz w:val="20"/>
                <w:szCs w:val="20"/>
              </w:rPr>
              <w:t>Species</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14:paraId="4ADF07B1" w14:textId="77777777" w:rsidR="008B4446" w:rsidRPr="00E71FC5" w:rsidRDefault="008B4446" w:rsidP="009E6618">
            <w:pPr>
              <w:adjustRightInd w:val="0"/>
              <w:snapToGrid w:val="0"/>
              <w:spacing w:line="360" w:lineRule="auto"/>
              <w:jc w:val="center"/>
              <w:rPr>
                <w:rFonts w:ascii="Arial" w:hAnsi="Arial" w:cs="Arial"/>
                <w:b/>
                <w:bCs/>
                <w:color w:val="000000"/>
                <w:sz w:val="20"/>
                <w:szCs w:val="20"/>
              </w:rPr>
            </w:pPr>
            <w:r w:rsidRPr="00E71FC5">
              <w:rPr>
                <w:rFonts w:ascii="Arial" w:hAnsi="Arial" w:cs="Arial"/>
                <w:b/>
                <w:bCs/>
                <w:color w:val="000000"/>
                <w:sz w:val="20"/>
                <w:szCs w:val="20"/>
              </w:rPr>
              <w:t>Dilution</w:t>
            </w:r>
          </w:p>
        </w:tc>
        <w:tc>
          <w:tcPr>
            <w:tcW w:w="4394" w:type="dxa"/>
            <w:tcBorders>
              <w:top w:val="single" w:sz="4" w:space="0" w:color="auto"/>
              <w:left w:val="nil"/>
              <w:bottom w:val="single" w:sz="4" w:space="0" w:color="auto"/>
              <w:right w:val="single" w:sz="4" w:space="0" w:color="auto"/>
            </w:tcBorders>
            <w:shd w:val="clear" w:color="000000" w:fill="BFBFBF"/>
            <w:vAlign w:val="center"/>
            <w:hideMark/>
          </w:tcPr>
          <w:p w14:paraId="69370044" w14:textId="77777777" w:rsidR="008B4446" w:rsidRPr="00E71FC5" w:rsidRDefault="008B4446" w:rsidP="009E6618">
            <w:pPr>
              <w:adjustRightInd w:val="0"/>
              <w:snapToGrid w:val="0"/>
              <w:spacing w:line="360" w:lineRule="auto"/>
              <w:rPr>
                <w:rFonts w:ascii="Arial" w:hAnsi="Arial" w:cs="Arial"/>
                <w:b/>
                <w:bCs/>
                <w:color w:val="000000"/>
                <w:sz w:val="20"/>
                <w:szCs w:val="20"/>
              </w:rPr>
            </w:pPr>
            <w:r w:rsidRPr="00E71FC5">
              <w:rPr>
                <w:rFonts w:ascii="Arial" w:hAnsi="Arial" w:cs="Arial"/>
                <w:b/>
                <w:bCs/>
                <w:color w:val="000000"/>
                <w:sz w:val="20"/>
                <w:szCs w:val="20"/>
              </w:rPr>
              <w:t>Supplier</w:t>
            </w:r>
          </w:p>
        </w:tc>
      </w:tr>
      <w:tr w:rsidR="008B4446" w:rsidRPr="00E71FC5" w14:paraId="03193A86" w14:textId="77777777" w:rsidTr="009E6618">
        <w:trPr>
          <w:trHeight w:val="600"/>
        </w:trPr>
        <w:tc>
          <w:tcPr>
            <w:tcW w:w="3201" w:type="dxa"/>
            <w:tcBorders>
              <w:top w:val="nil"/>
              <w:left w:val="single" w:sz="4" w:space="0" w:color="auto"/>
              <w:bottom w:val="single" w:sz="4" w:space="0" w:color="auto"/>
              <w:right w:val="single" w:sz="4" w:space="0" w:color="auto"/>
            </w:tcBorders>
            <w:vAlign w:val="center"/>
          </w:tcPr>
          <w:p w14:paraId="1AF9654F"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themeColor="text1"/>
                <w:sz w:val="20"/>
                <w:szCs w:val="20"/>
              </w:rPr>
              <w:t>8-hydroxy-2'-deoxyguanosine (8OHdg)</w:t>
            </w:r>
          </w:p>
        </w:tc>
        <w:tc>
          <w:tcPr>
            <w:tcW w:w="992" w:type="dxa"/>
            <w:tcBorders>
              <w:top w:val="nil"/>
              <w:left w:val="nil"/>
              <w:bottom w:val="single" w:sz="4" w:space="0" w:color="auto"/>
              <w:right w:val="single" w:sz="4" w:space="0" w:color="auto"/>
            </w:tcBorders>
            <w:vAlign w:val="center"/>
          </w:tcPr>
          <w:p w14:paraId="6CB04C8E" w14:textId="77777777" w:rsidR="008B4446" w:rsidRPr="007E0715" w:rsidRDefault="008B4446" w:rsidP="009E6618">
            <w:pPr>
              <w:adjustRightInd w:val="0"/>
              <w:snapToGrid w:val="0"/>
              <w:spacing w:line="360" w:lineRule="auto"/>
              <w:jc w:val="center"/>
              <w:rPr>
                <w:rFonts w:ascii="Arial" w:hAnsi="Arial" w:cs="Arial"/>
                <w:color w:val="000000"/>
                <w:sz w:val="20"/>
                <w:szCs w:val="20"/>
              </w:rPr>
            </w:pPr>
            <w:r w:rsidRPr="007E0715">
              <w:rPr>
                <w:rFonts w:ascii="Arial" w:hAnsi="Arial" w:cs="Arial"/>
                <w:color w:val="000000" w:themeColor="text1"/>
                <w:sz w:val="20"/>
                <w:szCs w:val="20"/>
              </w:rPr>
              <w:t>goat</w:t>
            </w:r>
          </w:p>
        </w:tc>
        <w:tc>
          <w:tcPr>
            <w:tcW w:w="992" w:type="dxa"/>
            <w:tcBorders>
              <w:top w:val="nil"/>
              <w:left w:val="nil"/>
              <w:bottom w:val="single" w:sz="4" w:space="0" w:color="auto"/>
              <w:right w:val="single" w:sz="4" w:space="0" w:color="auto"/>
            </w:tcBorders>
            <w:vAlign w:val="center"/>
          </w:tcPr>
          <w:p w14:paraId="4275E104" w14:textId="77777777" w:rsidR="008B4446" w:rsidRPr="007E0715" w:rsidRDefault="008B4446" w:rsidP="009E6618">
            <w:pPr>
              <w:adjustRightInd w:val="0"/>
              <w:snapToGrid w:val="0"/>
              <w:spacing w:line="360" w:lineRule="auto"/>
              <w:jc w:val="center"/>
              <w:rPr>
                <w:rFonts w:ascii="Arial" w:hAnsi="Arial" w:cs="Arial"/>
                <w:color w:val="000000"/>
                <w:sz w:val="20"/>
                <w:szCs w:val="20"/>
              </w:rPr>
            </w:pPr>
            <w:r w:rsidRPr="007E0715">
              <w:rPr>
                <w:rFonts w:ascii="Arial" w:hAnsi="Arial" w:cs="Arial"/>
                <w:color w:val="000000" w:themeColor="text1"/>
                <w:sz w:val="20"/>
                <w:szCs w:val="20"/>
              </w:rPr>
              <w:t>1:200</w:t>
            </w:r>
          </w:p>
        </w:tc>
        <w:tc>
          <w:tcPr>
            <w:tcW w:w="4394" w:type="dxa"/>
            <w:tcBorders>
              <w:top w:val="nil"/>
              <w:left w:val="nil"/>
              <w:bottom w:val="single" w:sz="4" w:space="0" w:color="auto"/>
              <w:right w:val="single" w:sz="4" w:space="0" w:color="auto"/>
            </w:tcBorders>
            <w:vAlign w:val="center"/>
          </w:tcPr>
          <w:p w14:paraId="3F4632D7" w14:textId="77777777" w:rsidR="008B4446" w:rsidRPr="007E0715" w:rsidRDefault="008B4446" w:rsidP="009E6618">
            <w:pPr>
              <w:adjustRightInd w:val="0"/>
              <w:snapToGrid w:val="0"/>
              <w:spacing w:line="360" w:lineRule="auto"/>
              <w:rPr>
                <w:rFonts w:ascii="Arial" w:hAnsi="Arial" w:cs="Arial"/>
                <w:color w:val="000000"/>
                <w:sz w:val="20"/>
                <w:szCs w:val="20"/>
              </w:rPr>
            </w:pPr>
            <w:r w:rsidRPr="007E0715">
              <w:rPr>
                <w:rFonts w:ascii="Arial" w:hAnsi="Arial" w:cs="Arial"/>
                <w:color w:val="000000" w:themeColor="text1"/>
                <w:sz w:val="20"/>
                <w:szCs w:val="20"/>
              </w:rPr>
              <w:t>Abcam, ab93295</w:t>
            </w:r>
          </w:p>
        </w:tc>
      </w:tr>
      <w:tr w:rsidR="008B4446" w:rsidRPr="00E71FC5" w14:paraId="64CDC75D" w14:textId="77777777" w:rsidTr="009E6618">
        <w:trPr>
          <w:trHeight w:val="600"/>
        </w:trPr>
        <w:tc>
          <w:tcPr>
            <w:tcW w:w="3201" w:type="dxa"/>
            <w:tcBorders>
              <w:top w:val="nil"/>
              <w:left w:val="single" w:sz="4" w:space="0" w:color="auto"/>
              <w:bottom w:val="single" w:sz="4" w:space="0" w:color="auto"/>
              <w:right w:val="single" w:sz="4" w:space="0" w:color="auto"/>
            </w:tcBorders>
            <w:vAlign w:val="center"/>
            <w:hideMark/>
          </w:tcPr>
          <w:p w14:paraId="79E6E70A"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sz w:val="20"/>
                <w:szCs w:val="20"/>
              </w:rPr>
              <w:t>ATP-binding cassette sub-family D member 3 (ABCD3)</w:t>
            </w:r>
          </w:p>
        </w:tc>
        <w:tc>
          <w:tcPr>
            <w:tcW w:w="992" w:type="dxa"/>
            <w:tcBorders>
              <w:top w:val="nil"/>
              <w:left w:val="nil"/>
              <w:bottom w:val="single" w:sz="4" w:space="0" w:color="auto"/>
              <w:right w:val="single" w:sz="4" w:space="0" w:color="auto"/>
            </w:tcBorders>
            <w:vAlign w:val="center"/>
            <w:hideMark/>
          </w:tcPr>
          <w:p w14:paraId="2A3A6BF7"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rabbit</w:t>
            </w:r>
          </w:p>
        </w:tc>
        <w:tc>
          <w:tcPr>
            <w:tcW w:w="992" w:type="dxa"/>
            <w:tcBorders>
              <w:top w:val="nil"/>
              <w:left w:val="nil"/>
              <w:bottom w:val="single" w:sz="4" w:space="0" w:color="auto"/>
              <w:right w:val="single" w:sz="4" w:space="0" w:color="auto"/>
            </w:tcBorders>
            <w:vAlign w:val="center"/>
            <w:hideMark/>
          </w:tcPr>
          <w:p w14:paraId="1E4C9A68"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1:500</w:t>
            </w:r>
          </w:p>
        </w:tc>
        <w:tc>
          <w:tcPr>
            <w:tcW w:w="4394" w:type="dxa"/>
            <w:tcBorders>
              <w:top w:val="nil"/>
              <w:left w:val="nil"/>
              <w:bottom w:val="single" w:sz="4" w:space="0" w:color="auto"/>
              <w:right w:val="single" w:sz="4" w:space="0" w:color="auto"/>
            </w:tcBorders>
            <w:vAlign w:val="center"/>
            <w:hideMark/>
          </w:tcPr>
          <w:p w14:paraId="7BCC39AE" w14:textId="77777777" w:rsidR="008B4446" w:rsidRPr="00E71FC5" w:rsidRDefault="008B4446" w:rsidP="009E6618">
            <w:pPr>
              <w:adjustRightInd w:val="0"/>
              <w:snapToGrid w:val="0"/>
              <w:spacing w:line="360" w:lineRule="auto"/>
              <w:rPr>
                <w:rFonts w:ascii="Arial" w:hAnsi="Arial" w:cs="Arial"/>
                <w:color w:val="000000"/>
                <w:sz w:val="20"/>
                <w:szCs w:val="20"/>
              </w:rPr>
            </w:pPr>
            <w:r w:rsidRPr="00E71FC5">
              <w:rPr>
                <w:rFonts w:ascii="Arial" w:hAnsi="Arial" w:cs="Arial"/>
                <w:color w:val="000000"/>
                <w:sz w:val="20"/>
                <w:szCs w:val="20"/>
              </w:rPr>
              <w:t>Alfred Völkl, Ruprecht Karls University Heidelberg, Germany</w:t>
            </w:r>
          </w:p>
        </w:tc>
      </w:tr>
      <w:tr w:rsidR="008B4446" w:rsidRPr="00E71FC5" w14:paraId="022465C4" w14:textId="77777777" w:rsidTr="009E6618">
        <w:trPr>
          <w:trHeight w:val="300"/>
        </w:trPr>
        <w:tc>
          <w:tcPr>
            <w:tcW w:w="3201" w:type="dxa"/>
            <w:tcBorders>
              <w:top w:val="nil"/>
              <w:left w:val="single" w:sz="4" w:space="0" w:color="auto"/>
              <w:bottom w:val="single" w:sz="4" w:space="0" w:color="auto"/>
              <w:right w:val="single" w:sz="4" w:space="0" w:color="auto"/>
            </w:tcBorders>
            <w:vAlign w:val="center"/>
            <w:hideMark/>
          </w:tcPr>
          <w:p w14:paraId="45661E11"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sz w:val="20"/>
                <w:szCs w:val="20"/>
              </w:rPr>
              <w:t>Catalase (CAT)</w:t>
            </w:r>
          </w:p>
        </w:tc>
        <w:tc>
          <w:tcPr>
            <w:tcW w:w="992" w:type="dxa"/>
            <w:tcBorders>
              <w:top w:val="nil"/>
              <w:left w:val="nil"/>
              <w:bottom w:val="single" w:sz="4" w:space="0" w:color="auto"/>
              <w:right w:val="single" w:sz="4" w:space="0" w:color="auto"/>
            </w:tcBorders>
            <w:vAlign w:val="center"/>
            <w:hideMark/>
          </w:tcPr>
          <w:p w14:paraId="799C3F80"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rabbit</w:t>
            </w:r>
          </w:p>
        </w:tc>
        <w:tc>
          <w:tcPr>
            <w:tcW w:w="992" w:type="dxa"/>
            <w:tcBorders>
              <w:top w:val="nil"/>
              <w:left w:val="nil"/>
              <w:bottom w:val="single" w:sz="4" w:space="0" w:color="auto"/>
              <w:right w:val="single" w:sz="4" w:space="0" w:color="auto"/>
            </w:tcBorders>
            <w:vAlign w:val="center"/>
            <w:hideMark/>
          </w:tcPr>
          <w:p w14:paraId="7A3CFCB8"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1:500</w:t>
            </w:r>
          </w:p>
        </w:tc>
        <w:tc>
          <w:tcPr>
            <w:tcW w:w="4394" w:type="dxa"/>
            <w:tcBorders>
              <w:top w:val="nil"/>
              <w:left w:val="nil"/>
              <w:bottom w:val="single" w:sz="4" w:space="0" w:color="auto"/>
              <w:right w:val="single" w:sz="4" w:space="0" w:color="auto"/>
            </w:tcBorders>
            <w:vAlign w:val="center"/>
            <w:hideMark/>
          </w:tcPr>
          <w:p w14:paraId="10B81C5A" w14:textId="77777777" w:rsidR="008B4446" w:rsidRPr="00E71FC5" w:rsidRDefault="008B4446" w:rsidP="009E6618">
            <w:pPr>
              <w:adjustRightInd w:val="0"/>
              <w:snapToGrid w:val="0"/>
              <w:spacing w:line="360" w:lineRule="auto"/>
              <w:rPr>
                <w:rFonts w:ascii="Arial" w:hAnsi="Arial" w:cs="Arial"/>
                <w:color w:val="000000"/>
                <w:sz w:val="20"/>
                <w:szCs w:val="20"/>
              </w:rPr>
            </w:pPr>
            <w:r w:rsidRPr="00E71FC5">
              <w:rPr>
                <w:rFonts w:ascii="Arial" w:hAnsi="Arial" w:cs="Arial"/>
                <w:color w:val="000000"/>
                <w:sz w:val="20"/>
                <w:szCs w:val="20"/>
              </w:rPr>
              <w:t xml:space="preserve">Denis I. Crane, School of </w:t>
            </w:r>
            <w:proofErr w:type="spellStart"/>
            <w:r w:rsidRPr="00E71FC5">
              <w:rPr>
                <w:rFonts w:ascii="Arial" w:hAnsi="Arial" w:cs="Arial"/>
                <w:color w:val="000000"/>
                <w:sz w:val="20"/>
                <w:szCs w:val="20"/>
              </w:rPr>
              <w:t>Biomol</w:t>
            </w:r>
            <w:proofErr w:type="spellEnd"/>
            <w:r w:rsidRPr="00E71FC5">
              <w:rPr>
                <w:rFonts w:ascii="Arial" w:hAnsi="Arial" w:cs="Arial"/>
                <w:color w:val="000000"/>
                <w:sz w:val="20"/>
                <w:szCs w:val="20"/>
              </w:rPr>
              <w:t>. Biophys. Sci., Griffith Univ., Nathan, Brisbane, Australia</w:t>
            </w:r>
          </w:p>
        </w:tc>
      </w:tr>
      <w:tr w:rsidR="008B4446" w:rsidRPr="00E71FC5" w14:paraId="50300A32" w14:textId="77777777" w:rsidTr="009E6618">
        <w:trPr>
          <w:trHeight w:val="600"/>
        </w:trPr>
        <w:tc>
          <w:tcPr>
            <w:tcW w:w="3201" w:type="dxa"/>
            <w:tcBorders>
              <w:top w:val="nil"/>
              <w:left w:val="single" w:sz="4" w:space="0" w:color="auto"/>
              <w:bottom w:val="single" w:sz="4" w:space="0" w:color="auto"/>
              <w:right w:val="single" w:sz="4" w:space="0" w:color="auto"/>
            </w:tcBorders>
            <w:vAlign w:val="center"/>
          </w:tcPr>
          <w:p w14:paraId="4960C51A"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themeColor="text1"/>
                <w:sz w:val="20"/>
                <w:szCs w:val="20"/>
              </w:rPr>
              <w:t>Complex IV sub I</w:t>
            </w:r>
          </w:p>
        </w:tc>
        <w:tc>
          <w:tcPr>
            <w:tcW w:w="992" w:type="dxa"/>
            <w:tcBorders>
              <w:top w:val="nil"/>
              <w:left w:val="nil"/>
              <w:bottom w:val="single" w:sz="4" w:space="0" w:color="auto"/>
              <w:right w:val="single" w:sz="4" w:space="0" w:color="auto"/>
            </w:tcBorders>
            <w:vAlign w:val="center"/>
          </w:tcPr>
          <w:p w14:paraId="2076596E" w14:textId="77777777" w:rsidR="008B4446" w:rsidRPr="007E0715" w:rsidRDefault="008B4446" w:rsidP="009E6618">
            <w:pPr>
              <w:adjustRightInd w:val="0"/>
              <w:snapToGrid w:val="0"/>
              <w:spacing w:line="360" w:lineRule="auto"/>
              <w:jc w:val="center"/>
              <w:rPr>
                <w:rFonts w:ascii="Arial" w:hAnsi="Arial" w:cs="Arial"/>
                <w:color w:val="000000"/>
                <w:sz w:val="20"/>
                <w:szCs w:val="20"/>
              </w:rPr>
            </w:pPr>
            <w:r w:rsidRPr="007E0715">
              <w:rPr>
                <w:rFonts w:ascii="Arial" w:hAnsi="Arial" w:cs="Arial"/>
                <w:color w:val="000000" w:themeColor="text1"/>
                <w:sz w:val="20"/>
                <w:szCs w:val="20"/>
              </w:rPr>
              <w:t>mouse</w:t>
            </w:r>
          </w:p>
        </w:tc>
        <w:tc>
          <w:tcPr>
            <w:tcW w:w="992" w:type="dxa"/>
            <w:tcBorders>
              <w:top w:val="nil"/>
              <w:left w:val="nil"/>
              <w:bottom w:val="single" w:sz="4" w:space="0" w:color="auto"/>
              <w:right w:val="single" w:sz="4" w:space="0" w:color="auto"/>
            </w:tcBorders>
            <w:vAlign w:val="center"/>
          </w:tcPr>
          <w:p w14:paraId="7751996A" w14:textId="77777777" w:rsidR="008B4446" w:rsidRPr="007E0715" w:rsidRDefault="008B4446" w:rsidP="009E6618">
            <w:pPr>
              <w:adjustRightInd w:val="0"/>
              <w:snapToGrid w:val="0"/>
              <w:spacing w:line="360" w:lineRule="auto"/>
              <w:jc w:val="center"/>
              <w:rPr>
                <w:rFonts w:ascii="Arial" w:hAnsi="Arial" w:cs="Arial"/>
                <w:color w:val="000000"/>
                <w:sz w:val="20"/>
                <w:szCs w:val="20"/>
              </w:rPr>
            </w:pPr>
            <w:r w:rsidRPr="007E0715">
              <w:rPr>
                <w:rFonts w:ascii="Arial" w:hAnsi="Arial" w:cs="Arial"/>
                <w:color w:val="000000" w:themeColor="text1"/>
                <w:sz w:val="20"/>
                <w:szCs w:val="20"/>
              </w:rPr>
              <w:t>1:500</w:t>
            </w:r>
          </w:p>
        </w:tc>
        <w:tc>
          <w:tcPr>
            <w:tcW w:w="4394" w:type="dxa"/>
            <w:tcBorders>
              <w:top w:val="nil"/>
              <w:left w:val="nil"/>
              <w:bottom w:val="single" w:sz="4" w:space="0" w:color="auto"/>
              <w:right w:val="single" w:sz="4" w:space="0" w:color="auto"/>
            </w:tcBorders>
            <w:vAlign w:val="center"/>
          </w:tcPr>
          <w:p w14:paraId="10776A27" w14:textId="77777777" w:rsidR="008B4446" w:rsidRPr="007E0715" w:rsidRDefault="008B4446" w:rsidP="009E6618">
            <w:pPr>
              <w:adjustRightInd w:val="0"/>
              <w:snapToGrid w:val="0"/>
              <w:spacing w:line="360" w:lineRule="auto"/>
              <w:rPr>
                <w:rFonts w:ascii="Arial" w:hAnsi="Arial" w:cs="Arial"/>
                <w:color w:val="000000"/>
                <w:sz w:val="20"/>
                <w:szCs w:val="20"/>
              </w:rPr>
            </w:pPr>
            <w:r w:rsidRPr="007E0715">
              <w:rPr>
                <w:rFonts w:ascii="Arial" w:hAnsi="Arial" w:cs="Arial"/>
                <w:color w:val="000000" w:themeColor="text1"/>
                <w:sz w:val="20"/>
                <w:szCs w:val="20"/>
              </w:rPr>
              <w:t>Invitrogen, 459600</w:t>
            </w:r>
          </w:p>
        </w:tc>
      </w:tr>
      <w:tr w:rsidR="008B4446" w:rsidRPr="00E71FC5" w14:paraId="0CA3BD11" w14:textId="77777777" w:rsidTr="009E6618">
        <w:trPr>
          <w:trHeight w:val="600"/>
        </w:trPr>
        <w:tc>
          <w:tcPr>
            <w:tcW w:w="3201" w:type="dxa"/>
            <w:tcBorders>
              <w:top w:val="nil"/>
              <w:left w:val="single" w:sz="4" w:space="0" w:color="auto"/>
              <w:bottom w:val="single" w:sz="4" w:space="0" w:color="auto"/>
              <w:right w:val="single" w:sz="4" w:space="0" w:color="auto"/>
            </w:tcBorders>
            <w:vAlign w:val="center"/>
          </w:tcPr>
          <w:p w14:paraId="5E040A90"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themeColor="text1"/>
                <w:sz w:val="20"/>
                <w:szCs w:val="20"/>
              </w:rPr>
              <w:t>Cytochrome c1 (Cyc1)</w:t>
            </w:r>
          </w:p>
        </w:tc>
        <w:tc>
          <w:tcPr>
            <w:tcW w:w="992" w:type="dxa"/>
            <w:tcBorders>
              <w:top w:val="nil"/>
              <w:left w:val="nil"/>
              <w:bottom w:val="single" w:sz="4" w:space="0" w:color="auto"/>
              <w:right w:val="single" w:sz="4" w:space="0" w:color="auto"/>
            </w:tcBorders>
            <w:vAlign w:val="center"/>
          </w:tcPr>
          <w:p w14:paraId="5C160D74" w14:textId="77777777" w:rsidR="008B4446" w:rsidRPr="007E0715" w:rsidRDefault="008B4446" w:rsidP="009E6618">
            <w:pPr>
              <w:adjustRightInd w:val="0"/>
              <w:snapToGrid w:val="0"/>
              <w:spacing w:line="360" w:lineRule="auto"/>
              <w:jc w:val="center"/>
              <w:rPr>
                <w:rFonts w:ascii="Arial" w:hAnsi="Arial" w:cs="Arial"/>
                <w:color w:val="000000"/>
                <w:sz w:val="20"/>
                <w:szCs w:val="20"/>
              </w:rPr>
            </w:pPr>
            <w:r w:rsidRPr="007E0715">
              <w:rPr>
                <w:rFonts w:ascii="Arial" w:hAnsi="Arial" w:cs="Arial"/>
                <w:color w:val="000000" w:themeColor="text1"/>
                <w:sz w:val="20"/>
                <w:szCs w:val="20"/>
              </w:rPr>
              <w:t>rabbit</w:t>
            </w:r>
          </w:p>
        </w:tc>
        <w:tc>
          <w:tcPr>
            <w:tcW w:w="992" w:type="dxa"/>
            <w:tcBorders>
              <w:top w:val="nil"/>
              <w:left w:val="nil"/>
              <w:bottom w:val="single" w:sz="4" w:space="0" w:color="auto"/>
              <w:right w:val="single" w:sz="4" w:space="0" w:color="auto"/>
            </w:tcBorders>
            <w:vAlign w:val="center"/>
          </w:tcPr>
          <w:p w14:paraId="550EFE7F" w14:textId="77777777" w:rsidR="008B4446" w:rsidRPr="007E0715" w:rsidRDefault="008B4446" w:rsidP="009E6618">
            <w:pPr>
              <w:adjustRightInd w:val="0"/>
              <w:snapToGrid w:val="0"/>
              <w:spacing w:line="360" w:lineRule="auto"/>
              <w:jc w:val="center"/>
              <w:rPr>
                <w:rFonts w:ascii="Arial" w:hAnsi="Arial" w:cs="Arial"/>
                <w:color w:val="000000"/>
                <w:sz w:val="20"/>
                <w:szCs w:val="20"/>
              </w:rPr>
            </w:pPr>
            <w:r w:rsidRPr="007E0715">
              <w:rPr>
                <w:rFonts w:ascii="Arial" w:hAnsi="Arial" w:cs="Arial"/>
                <w:color w:val="000000" w:themeColor="text1"/>
                <w:sz w:val="20"/>
                <w:szCs w:val="20"/>
              </w:rPr>
              <w:t>1:200</w:t>
            </w:r>
          </w:p>
        </w:tc>
        <w:tc>
          <w:tcPr>
            <w:tcW w:w="4394" w:type="dxa"/>
            <w:tcBorders>
              <w:top w:val="nil"/>
              <w:left w:val="nil"/>
              <w:bottom w:val="single" w:sz="4" w:space="0" w:color="auto"/>
              <w:right w:val="single" w:sz="4" w:space="0" w:color="auto"/>
            </w:tcBorders>
            <w:vAlign w:val="center"/>
          </w:tcPr>
          <w:p w14:paraId="3B46226F" w14:textId="77777777" w:rsidR="008B4446" w:rsidRPr="007E0715" w:rsidRDefault="008B4446" w:rsidP="009E6618">
            <w:pPr>
              <w:adjustRightInd w:val="0"/>
              <w:snapToGrid w:val="0"/>
              <w:spacing w:line="360" w:lineRule="auto"/>
              <w:rPr>
                <w:rFonts w:ascii="Arial" w:hAnsi="Arial" w:cs="Arial"/>
                <w:color w:val="000000"/>
                <w:sz w:val="20"/>
                <w:szCs w:val="20"/>
              </w:rPr>
            </w:pPr>
            <w:proofErr w:type="spellStart"/>
            <w:r w:rsidRPr="007E0715">
              <w:rPr>
                <w:rFonts w:ascii="Arial" w:hAnsi="Arial" w:cs="Arial"/>
                <w:color w:val="000000" w:themeColor="text1"/>
                <w:sz w:val="20"/>
                <w:szCs w:val="20"/>
              </w:rPr>
              <w:t>Proteintech</w:t>
            </w:r>
            <w:proofErr w:type="spellEnd"/>
            <w:r w:rsidRPr="007E0715">
              <w:rPr>
                <w:rFonts w:ascii="Arial" w:hAnsi="Arial" w:cs="Arial"/>
                <w:color w:val="000000" w:themeColor="text1"/>
                <w:sz w:val="20"/>
                <w:szCs w:val="20"/>
              </w:rPr>
              <w:t xml:space="preserve"> 10242-1-AP</w:t>
            </w:r>
          </w:p>
        </w:tc>
      </w:tr>
      <w:tr w:rsidR="008B4446" w:rsidRPr="00E71FC5" w14:paraId="60C3C06A" w14:textId="77777777" w:rsidTr="009E6618">
        <w:trPr>
          <w:trHeight w:val="600"/>
        </w:trPr>
        <w:tc>
          <w:tcPr>
            <w:tcW w:w="3201" w:type="dxa"/>
            <w:tcBorders>
              <w:top w:val="nil"/>
              <w:left w:val="single" w:sz="4" w:space="0" w:color="auto"/>
              <w:bottom w:val="single" w:sz="4" w:space="0" w:color="auto"/>
              <w:right w:val="single" w:sz="4" w:space="0" w:color="auto"/>
            </w:tcBorders>
            <w:vAlign w:val="center"/>
          </w:tcPr>
          <w:p w14:paraId="0098E642" w14:textId="77777777" w:rsidR="008B4446" w:rsidRPr="005E5D60" w:rsidRDefault="008B4446" w:rsidP="009E6618">
            <w:pPr>
              <w:adjustRightInd w:val="0"/>
              <w:snapToGrid w:val="0"/>
              <w:spacing w:line="360" w:lineRule="auto"/>
              <w:rPr>
                <w:rFonts w:ascii="Arial" w:hAnsi="Arial" w:cs="Arial"/>
                <w:color w:val="000000" w:themeColor="text1"/>
                <w:sz w:val="20"/>
                <w:szCs w:val="20"/>
              </w:rPr>
            </w:pPr>
            <w:r w:rsidRPr="005E5D60">
              <w:rPr>
                <w:rFonts w:ascii="Arial" w:hAnsi="Arial" w:cs="Arial"/>
                <w:color w:val="000000" w:themeColor="text1"/>
                <w:sz w:val="20"/>
                <w:szCs w:val="20"/>
              </w:rPr>
              <w:t>Glutathione reductase (GR)</w:t>
            </w:r>
          </w:p>
        </w:tc>
        <w:tc>
          <w:tcPr>
            <w:tcW w:w="992" w:type="dxa"/>
            <w:tcBorders>
              <w:top w:val="nil"/>
              <w:left w:val="nil"/>
              <w:bottom w:val="single" w:sz="4" w:space="0" w:color="auto"/>
              <w:right w:val="single" w:sz="4" w:space="0" w:color="auto"/>
            </w:tcBorders>
            <w:vAlign w:val="center"/>
          </w:tcPr>
          <w:p w14:paraId="04C6247B" w14:textId="77777777" w:rsidR="008B4446" w:rsidRPr="007E0715" w:rsidRDefault="008B4446" w:rsidP="009E6618">
            <w:pPr>
              <w:adjustRightInd w:val="0"/>
              <w:snapToGrid w:val="0"/>
              <w:spacing w:line="360" w:lineRule="auto"/>
              <w:jc w:val="center"/>
              <w:rPr>
                <w:rFonts w:ascii="Arial" w:hAnsi="Arial" w:cs="Arial"/>
                <w:color w:val="000000" w:themeColor="text1"/>
                <w:sz w:val="20"/>
                <w:szCs w:val="20"/>
              </w:rPr>
            </w:pPr>
            <w:r>
              <w:rPr>
                <w:rFonts w:ascii="Arial" w:hAnsi="Arial" w:cs="Arial"/>
                <w:color w:val="000000" w:themeColor="text1"/>
                <w:sz w:val="20"/>
                <w:szCs w:val="20"/>
              </w:rPr>
              <w:t>rabbit</w:t>
            </w:r>
          </w:p>
        </w:tc>
        <w:tc>
          <w:tcPr>
            <w:tcW w:w="992" w:type="dxa"/>
            <w:tcBorders>
              <w:top w:val="nil"/>
              <w:left w:val="nil"/>
              <w:bottom w:val="single" w:sz="4" w:space="0" w:color="auto"/>
              <w:right w:val="single" w:sz="4" w:space="0" w:color="auto"/>
            </w:tcBorders>
            <w:vAlign w:val="center"/>
          </w:tcPr>
          <w:p w14:paraId="4072467F" w14:textId="77777777" w:rsidR="008B4446" w:rsidRPr="007E0715" w:rsidRDefault="008B4446" w:rsidP="009E6618">
            <w:pPr>
              <w:adjustRightInd w:val="0"/>
              <w:snapToGrid w:val="0"/>
              <w:spacing w:line="360" w:lineRule="auto"/>
              <w:jc w:val="center"/>
              <w:rPr>
                <w:rFonts w:ascii="Arial" w:hAnsi="Arial" w:cs="Arial"/>
                <w:color w:val="000000" w:themeColor="text1"/>
                <w:sz w:val="20"/>
                <w:szCs w:val="20"/>
              </w:rPr>
            </w:pPr>
            <w:r>
              <w:rPr>
                <w:rFonts w:ascii="Arial" w:hAnsi="Arial" w:cs="Arial"/>
                <w:color w:val="000000" w:themeColor="text1"/>
                <w:sz w:val="20"/>
                <w:szCs w:val="20"/>
              </w:rPr>
              <w:t>1:500</w:t>
            </w:r>
          </w:p>
        </w:tc>
        <w:tc>
          <w:tcPr>
            <w:tcW w:w="4394" w:type="dxa"/>
            <w:tcBorders>
              <w:top w:val="nil"/>
              <w:left w:val="nil"/>
              <w:bottom w:val="single" w:sz="4" w:space="0" w:color="auto"/>
              <w:right w:val="single" w:sz="4" w:space="0" w:color="auto"/>
            </w:tcBorders>
            <w:vAlign w:val="center"/>
          </w:tcPr>
          <w:p w14:paraId="7B0743DF" w14:textId="77777777" w:rsidR="008B4446" w:rsidRPr="007E0715" w:rsidRDefault="008B4446" w:rsidP="009E6618">
            <w:pPr>
              <w:adjustRightInd w:val="0"/>
              <w:snapToGrid w:val="0"/>
              <w:spacing w:line="360" w:lineRule="auto"/>
              <w:rPr>
                <w:rFonts w:ascii="Arial" w:hAnsi="Arial" w:cs="Arial"/>
                <w:color w:val="000000" w:themeColor="text1"/>
                <w:sz w:val="20"/>
                <w:szCs w:val="20"/>
              </w:rPr>
            </w:pPr>
            <w:r>
              <w:rPr>
                <w:rFonts w:ascii="Arial" w:hAnsi="Arial" w:cs="Arial"/>
                <w:color w:val="000000" w:themeColor="text1"/>
                <w:sz w:val="20"/>
                <w:szCs w:val="20"/>
              </w:rPr>
              <w:t>Abcam, ab16801</w:t>
            </w:r>
          </w:p>
        </w:tc>
      </w:tr>
      <w:tr w:rsidR="008B4446" w:rsidRPr="00E71FC5" w14:paraId="6AA6977B" w14:textId="77777777" w:rsidTr="009E6618">
        <w:trPr>
          <w:trHeight w:val="600"/>
        </w:trPr>
        <w:tc>
          <w:tcPr>
            <w:tcW w:w="3201" w:type="dxa"/>
            <w:tcBorders>
              <w:top w:val="nil"/>
              <w:left w:val="single" w:sz="4" w:space="0" w:color="auto"/>
              <w:bottom w:val="single" w:sz="4" w:space="0" w:color="auto"/>
              <w:right w:val="single" w:sz="4" w:space="0" w:color="auto"/>
            </w:tcBorders>
            <w:vAlign w:val="center"/>
            <w:hideMark/>
          </w:tcPr>
          <w:p w14:paraId="50B98CD5"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sz w:val="20"/>
                <w:szCs w:val="20"/>
              </w:rPr>
              <w:t>Glyceronephosphate acyltransferase (GNPAT)</w:t>
            </w:r>
          </w:p>
        </w:tc>
        <w:tc>
          <w:tcPr>
            <w:tcW w:w="992" w:type="dxa"/>
            <w:tcBorders>
              <w:top w:val="nil"/>
              <w:left w:val="nil"/>
              <w:bottom w:val="single" w:sz="4" w:space="0" w:color="auto"/>
              <w:right w:val="single" w:sz="4" w:space="0" w:color="auto"/>
            </w:tcBorders>
            <w:vAlign w:val="center"/>
            <w:hideMark/>
          </w:tcPr>
          <w:p w14:paraId="795C978D"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rabbit</w:t>
            </w:r>
          </w:p>
        </w:tc>
        <w:tc>
          <w:tcPr>
            <w:tcW w:w="992" w:type="dxa"/>
            <w:tcBorders>
              <w:top w:val="nil"/>
              <w:left w:val="nil"/>
              <w:bottom w:val="single" w:sz="4" w:space="0" w:color="auto"/>
              <w:right w:val="single" w:sz="4" w:space="0" w:color="auto"/>
            </w:tcBorders>
            <w:vAlign w:val="center"/>
            <w:hideMark/>
          </w:tcPr>
          <w:p w14:paraId="702EE3B2"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1:500</w:t>
            </w:r>
          </w:p>
        </w:tc>
        <w:tc>
          <w:tcPr>
            <w:tcW w:w="4394" w:type="dxa"/>
            <w:tcBorders>
              <w:top w:val="nil"/>
              <w:left w:val="nil"/>
              <w:bottom w:val="single" w:sz="4" w:space="0" w:color="auto"/>
              <w:right w:val="single" w:sz="4" w:space="0" w:color="auto"/>
            </w:tcBorders>
            <w:vAlign w:val="center"/>
            <w:hideMark/>
          </w:tcPr>
          <w:p w14:paraId="51E21E05" w14:textId="77777777" w:rsidR="008B4446" w:rsidRPr="00E71FC5" w:rsidRDefault="008B4446" w:rsidP="009E6618">
            <w:pPr>
              <w:adjustRightInd w:val="0"/>
              <w:snapToGrid w:val="0"/>
              <w:spacing w:line="360" w:lineRule="auto"/>
              <w:rPr>
                <w:rFonts w:ascii="Arial" w:hAnsi="Arial" w:cs="Arial"/>
                <w:color w:val="000000"/>
                <w:sz w:val="20"/>
                <w:szCs w:val="20"/>
              </w:rPr>
            </w:pPr>
            <w:proofErr w:type="spellStart"/>
            <w:r w:rsidRPr="00E71FC5">
              <w:rPr>
                <w:rFonts w:ascii="Arial" w:hAnsi="Arial" w:cs="Arial"/>
                <w:color w:val="000000"/>
                <w:sz w:val="20"/>
                <w:szCs w:val="20"/>
              </w:rPr>
              <w:t>Proteintech</w:t>
            </w:r>
            <w:proofErr w:type="spellEnd"/>
            <w:r w:rsidRPr="00E71FC5">
              <w:rPr>
                <w:rFonts w:ascii="Arial" w:hAnsi="Arial" w:cs="Arial"/>
                <w:color w:val="000000"/>
                <w:sz w:val="20"/>
                <w:szCs w:val="20"/>
              </w:rPr>
              <w:t xml:space="preserve">, </w:t>
            </w:r>
            <w:proofErr w:type="spellStart"/>
            <w:proofErr w:type="gramStart"/>
            <w:r w:rsidRPr="00E71FC5">
              <w:rPr>
                <w:rFonts w:ascii="Arial" w:hAnsi="Arial" w:cs="Arial"/>
                <w:color w:val="000000"/>
                <w:sz w:val="20"/>
                <w:szCs w:val="20"/>
              </w:rPr>
              <w:t>Manchester,UK</w:t>
            </w:r>
            <w:proofErr w:type="gramEnd"/>
            <w:r w:rsidRPr="00E71FC5">
              <w:rPr>
                <w:rFonts w:ascii="Arial" w:hAnsi="Arial" w:cs="Arial"/>
                <w:color w:val="000000"/>
                <w:sz w:val="20"/>
                <w:szCs w:val="20"/>
              </w:rPr>
              <w:t>,Cat.no</w:t>
            </w:r>
            <w:proofErr w:type="spellEnd"/>
            <w:r w:rsidRPr="00E71FC5">
              <w:rPr>
                <w:rFonts w:ascii="Arial" w:hAnsi="Arial" w:cs="Arial"/>
                <w:color w:val="000000"/>
                <w:sz w:val="20"/>
                <w:szCs w:val="20"/>
              </w:rPr>
              <w:t>: 14931-1-AP</w:t>
            </w:r>
          </w:p>
        </w:tc>
      </w:tr>
      <w:tr w:rsidR="008B4446" w:rsidRPr="00E71FC5" w14:paraId="3A76AB49" w14:textId="77777777" w:rsidTr="009E6618">
        <w:trPr>
          <w:trHeight w:val="600"/>
        </w:trPr>
        <w:tc>
          <w:tcPr>
            <w:tcW w:w="3201" w:type="dxa"/>
            <w:tcBorders>
              <w:top w:val="nil"/>
              <w:left w:val="single" w:sz="4" w:space="0" w:color="auto"/>
              <w:bottom w:val="single" w:sz="4" w:space="0" w:color="auto"/>
              <w:right w:val="single" w:sz="4" w:space="0" w:color="auto"/>
            </w:tcBorders>
            <w:vAlign w:val="center"/>
            <w:hideMark/>
          </w:tcPr>
          <w:p w14:paraId="140E3895"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sz w:val="20"/>
                <w:szCs w:val="20"/>
              </w:rPr>
              <w:t>Multiple functional protein 2 (MFP2)</w:t>
            </w:r>
          </w:p>
        </w:tc>
        <w:tc>
          <w:tcPr>
            <w:tcW w:w="992" w:type="dxa"/>
            <w:tcBorders>
              <w:top w:val="nil"/>
              <w:left w:val="nil"/>
              <w:bottom w:val="single" w:sz="4" w:space="0" w:color="auto"/>
              <w:right w:val="single" w:sz="4" w:space="0" w:color="auto"/>
            </w:tcBorders>
            <w:vAlign w:val="center"/>
            <w:hideMark/>
          </w:tcPr>
          <w:p w14:paraId="009D5904"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rabbit</w:t>
            </w:r>
          </w:p>
        </w:tc>
        <w:tc>
          <w:tcPr>
            <w:tcW w:w="992" w:type="dxa"/>
            <w:tcBorders>
              <w:top w:val="nil"/>
              <w:left w:val="nil"/>
              <w:bottom w:val="single" w:sz="4" w:space="0" w:color="auto"/>
              <w:right w:val="single" w:sz="4" w:space="0" w:color="auto"/>
            </w:tcBorders>
            <w:vAlign w:val="center"/>
            <w:hideMark/>
          </w:tcPr>
          <w:p w14:paraId="2F6C9A5D"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1:500</w:t>
            </w:r>
          </w:p>
        </w:tc>
        <w:tc>
          <w:tcPr>
            <w:tcW w:w="4394" w:type="dxa"/>
            <w:tcBorders>
              <w:top w:val="nil"/>
              <w:left w:val="nil"/>
              <w:bottom w:val="single" w:sz="4" w:space="0" w:color="auto"/>
              <w:right w:val="single" w:sz="4" w:space="0" w:color="auto"/>
            </w:tcBorders>
            <w:vAlign w:val="center"/>
            <w:hideMark/>
          </w:tcPr>
          <w:p w14:paraId="746AA631" w14:textId="77777777" w:rsidR="008B4446" w:rsidRPr="00E71FC5" w:rsidRDefault="008B4446" w:rsidP="009E6618">
            <w:pPr>
              <w:adjustRightInd w:val="0"/>
              <w:snapToGrid w:val="0"/>
              <w:spacing w:line="360" w:lineRule="auto"/>
              <w:rPr>
                <w:rFonts w:ascii="Arial" w:hAnsi="Arial" w:cs="Arial"/>
                <w:color w:val="000000"/>
                <w:sz w:val="20"/>
                <w:szCs w:val="20"/>
              </w:rPr>
            </w:pPr>
            <w:r w:rsidRPr="00E71FC5">
              <w:rPr>
                <w:rFonts w:ascii="Arial" w:hAnsi="Arial" w:cs="Arial"/>
                <w:color w:val="000000"/>
                <w:sz w:val="20"/>
                <w:szCs w:val="20"/>
              </w:rPr>
              <w:t>Abcam, Cambridge, UK, Cat. no: ab97971</w:t>
            </w:r>
          </w:p>
        </w:tc>
      </w:tr>
      <w:tr w:rsidR="008B4446" w:rsidRPr="00E71FC5" w14:paraId="28443885" w14:textId="77777777" w:rsidTr="009E6618">
        <w:trPr>
          <w:trHeight w:val="900"/>
        </w:trPr>
        <w:tc>
          <w:tcPr>
            <w:tcW w:w="3201" w:type="dxa"/>
            <w:tcBorders>
              <w:top w:val="nil"/>
              <w:left w:val="single" w:sz="4" w:space="0" w:color="auto"/>
              <w:bottom w:val="single" w:sz="4" w:space="0" w:color="auto"/>
              <w:right w:val="single" w:sz="4" w:space="0" w:color="auto"/>
            </w:tcBorders>
            <w:vAlign w:val="center"/>
            <w:hideMark/>
          </w:tcPr>
          <w:p w14:paraId="7595ECF4"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sz w:val="20"/>
                <w:szCs w:val="20"/>
              </w:rPr>
              <w:t>Peroxisomal biogenesis factor 13 (PEX13p)</w:t>
            </w:r>
          </w:p>
        </w:tc>
        <w:tc>
          <w:tcPr>
            <w:tcW w:w="992" w:type="dxa"/>
            <w:tcBorders>
              <w:top w:val="nil"/>
              <w:left w:val="nil"/>
              <w:bottom w:val="single" w:sz="4" w:space="0" w:color="auto"/>
              <w:right w:val="single" w:sz="4" w:space="0" w:color="auto"/>
            </w:tcBorders>
            <w:vAlign w:val="center"/>
            <w:hideMark/>
          </w:tcPr>
          <w:p w14:paraId="13B039E4"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rabbit</w:t>
            </w:r>
          </w:p>
        </w:tc>
        <w:tc>
          <w:tcPr>
            <w:tcW w:w="992" w:type="dxa"/>
            <w:tcBorders>
              <w:top w:val="nil"/>
              <w:left w:val="nil"/>
              <w:bottom w:val="single" w:sz="4" w:space="0" w:color="auto"/>
              <w:right w:val="single" w:sz="4" w:space="0" w:color="auto"/>
            </w:tcBorders>
            <w:vAlign w:val="center"/>
            <w:hideMark/>
          </w:tcPr>
          <w:p w14:paraId="6AA98CDC"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1:1000</w:t>
            </w:r>
          </w:p>
        </w:tc>
        <w:tc>
          <w:tcPr>
            <w:tcW w:w="4394" w:type="dxa"/>
            <w:tcBorders>
              <w:top w:val="nil"/>
              <w:left w:val="nil"/>
              <w:bottom w:val="single" w:sz="4" w:space="0" w:color="auto"/>
              <w:right w:val="single" w:sz="4" w:space="0" w:color="auto"/>
            </w:tcBorders>
            <w:vAlign w:val="center"/>
            <w:hideMark/>
          </w:tcPr>
          <w:p w14:paraId="058DB422" w14:textId="77777777" w:rsidR="008B4446" w:rsidRPr="00E71FC5" w:rsidRDefault="008B4446" w:rsidP="009E6618">
            <w:pPr>
              <w:adjustRightInd w:val="0"/>
              <w:snapToGrid w:val="0"/>
              <w:spacing w:line="360" w:lineRule="auto"/>
              <w:rPr>
                <w:rFonts w:ascii="Arial" w:hAnsi="Arial" w:cs="Arial"/>
                <w:color w:val="000000"/>
                <w:sz w:val="20"/>
                <w:szCs w:val="20"/>
              </w:rPr>
            </w:pPr>
            <w:r w:rsidRPr="00E71FC5">
              <w:rPr>
                <w:rFonts w:ascii="Arial" w:hAnsi="Arial" w:cs="Arial"/>
                <w:color w:val="000000"/>
                <w:sz w:val="20"/>
                <w:szCs w:val="20"/>
              </w:rPr>
              <w:t xml:space="preserve">Denis I. Crane, School of </w:t>
            </w:r>
            <w:proofErr w:type="spellStart"/>
            <w:r w:rsidRPr="00E71FC5">
              <w:rPr>
                <w:rFonts w:ascii="Arial" w:hAnsi="Arial" w:cs="Arial"/>
                <w:color w:val="000000"/>
                <w:sz w:val="20"/>
                <w:szCs w:val="20"/>
              </w:rPr>
              <w:t>Biomol</w:t>
            </w:r>
            <w:proofErr w:type="spellEnd"/>
            <w:r w:rsidRPr="00E71FC5">
              <w:rPr>
                <w:rFonts w:ascii="Arial" w:hAnsi="Arial" w:cs="Arial"/>
                <w:color w:val="000000"/>
                <w:sz w:val="20"/>
                <w:szCs w:val="20"/>
              </w:rPr>
              <w:t>. Biophys. Sci., Griffith Univ., Nathan, Brisbane, Australia</w:t>
            </w:r>
          </w:p>
        </w:tc>
      </w:tr>
      <w:tr w:rsidR="008B4446" w:rsidRPr="00E71FC5" w14:paraId="5C0A3D6A" w14:textId="77777777" w:rsidTr="009E6618">
        <w:trPr>
          <w:trHeight w:val="900"/>
        </w:trPr>
        <w:tc>
          <w:tcPr>
            <w:tcW w:w="3201" w:type="dxa"/>
            <w:tcBorders>
              <w:top w:val="nil"/>
              <w:left w:val="single" w:sz="4" w:space="0" w:color="auto"/>
              <w:bottom w:val="single" w:sz="4" w:space="0" w:color="auto"/>
              <w:right w:val="single" w:sz="4" w:space="0" w:color="auto"/>
            </w:tcBorders>
            <w:vAlign w:val="center"/>
            <w:hideMark/>
          </w:tcPr>
          <w:p w14:paraId="5C391AAF"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sz w:val="20"/>
                <w:szCs w:val="20"/>
              </w:rPr>
              <w:t>Peroxisomal biogenesis factor 14 (PEX14p)</w:t>
            </w:r>
          </w:p>
        </w:tc>
        <w:tc>
          <w:tcPr>
            <w:tcW w:w="992" w:type="dxa"/>
            <w:tcBorders>
              <w:top w:val="nil"/>
              <w:left w:val="nil"/>
              <w:bottom w:val="single" w:sz="4" w:space="0" w:color="auto"/>
              <w:right w:val="single" w:sz="4" w:space="0" w:color="auto"/>
            </w:tcBorders>
            <w:vAlign w:val="center"/>
            <w:hideMark/>
          </w:tcPr>
          <w:p w14:paraId="15C199A6"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rabbit</w:t>
            </w:r>
          </w:p>
        </w:tc>
        <w:tc>
          <w:tcPr>
            <w:tcW w:w="992" w:type="dxa"/>
            <w:tcBorders>
              <w:top w:val="nil"/>
              <w:left w:val="nil"/>
              <w:bottom w:val="single" w:sz="4" w:space="0" w:color="auto"/>
              <w:right w:val="single" w:sz="4" w:space="0" w:color="auto"/>
            </w:tcBorders>
            <w:vAlign w:val="center"/>
            <w:hideMark/>
          </w:tcPr>
          <w:p w14:paraId="3F302243"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1:2000</w:t>
            </w:r>
          </w:p>
        </w:tc>
        <w:tc>
          <w:tcPr>
            <w:tcW w:w="4394" w:type="dxa"/>
            <w:tcBorders>
              <w:top w:val="nil"/>
              <w:left w:val="nil"/>
              <w:bottom w:val="single" w:sz="4" w:space="0" w:color="auto"/>
              <w:right w:val="single" w:sz="4" w:space="0" w:color="auto"/>
            </w:tcBorders>
            <w:vAlign w:val="center"/>
            <w:hideMark/>
          </w:tcPr>
          <w:p w14:paraId="349F3D95" w14:textId="77777777" w:rsidR="008B4446" w:rsidRPr="00E71FC5" w:rsidRDefault="008B4446" w:rsidP="009E6618">
            <w:pPr>
              <w:adjustRightInd w:val="0"/>
              <w:snapToGrid w:val="0"/>
              <w:spacing w:line="360" w:lineRule="auto"/>
              <w:rPr>
                <w:rFonts w:ascii="Arial" w:hAnsi="Arial" w:cs="Arial"/>
                <w:color w:val="000000"/>
                <w:sz w:val="20"/>
                <w:szCs w:val="20"/>
              </w:rPr>
            </w:pPr>
            <w:r w:rsidRPr="00E71FC5">
              <w:rPr>
                <w:rFonts w:ascii="Arial" w:hAnsi="Arial" w:cs="Arial"/>
                <w:color w:val="000000"/>
                <w:sz w:val="20"/>
                <w:szCs w:val="20"/>
              </w:rPr>
              <w:t xml:space="preserve">Denis I. Crane, School of </w:t>
            </w:r>
            <w:proofErr w:type="spellStart"/>
            <w:r w:rsidRPr="00E71FC5">
              <w:rPr>
                <w:rFonts w:ascii="Arial" w:hAnsi="Arial" w:cs="Arial"/>
                <w:color w:val="000000"/>
                <w:sz w:val="20"/>
                <w:szCs w:val="20"/>
              </w:rPr>
              <w:t>Biomol</w:t>
            </w:r>
            <w:proofErr w:type="spellEnd"/>
            <w:r w:rsidRPr="00E71FC5">
              <w:rPr>
                <w:rFonts w:ascii="Arial" w:hAnsi="Arial" w:cs="Arial"/>
                <w:color w:val="000000"/>
                <w:sz w:val="20"/>
                <w:szCs w:val="20"/>
              </w:rPr>
              <w:t>. Biophys. Sci., Griffith Univ., Nathan, Brisbane, Australia</w:t>
            </w:r>
          </w:p>
        </w:tc>
      </w:tr>
      <w:tr w:rsidR="008B4446" w:rsidRPr="00E71FC5" w14:paraId="4F257980" w14:textId="77777777" w:rsidTr="009E6618">
        <w:trPr>
          <w:trHeight w:val="328"/>
        </w:trPr>
        <w:tc>
          <w:tcPr>
            <w:tcW w:w="3201" w:type="dxa"/>
            <w:tcBorders>
              <w:top w:val="nil"/>
              <w:left w:val="single" w:sz="4" w:space="0" w:color="auto"/>
              <w:bottom w:val="single" w:sz="4" w:space="0" w:color="auto"/>
              <w:right w:val="single" w:sz="4" w:space="0" w:color="auto"/>
            </w:tcBorders>
            <w:vAlign w:val="center"/>
            <w:hideMark/>
          </w:tcPr>
          <w:p w14:paraId="0FE305DE"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sz w:val="20"/>
                <w:szCs w:val="20"/>
              </w:rPr>
              <w:t>Peroxisomal biogenesis factor 19 (PEX19p)</w:t>
            </w:r>
          </w:p>
        </w:tc>
        <w:tc>
          <w:tcPr>
            <w:tcW w:w="992" w:type="dxa"/>
            <w:tcBorders>
              <w:top w:val="nil"/>
              <w:left w:val="nil"/>
              <w:bottom w:val="single" w:sz="4" w:space="0" w:color="auto"/>
              <w:right w:val="single" w:sz="4" w:space="0" w:color="auto"/>
            </w:tcBorders>
            <w:vAlign w:val="center"/>
            <w:hideMark/>
          </w:tcPr>
          <w:p w14:paraId="1364E0E1"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rabbit</w:t>
            </w:r>
          </w:p>
        </w:tc>
        <w:tc>
          <w:tcPr>
            <w:tcW w:w="992" w:type="dxa"/>
            <w:tcBorders>
              <w:top w:val="nil"/>
              <w:left w:val="nil"/>
              <w:bottom w:val="single" w:sz="4" w:space="0" w:color="auto"/>
              <w:right w:val="single" w:sz="4" w:space="0" w:color="auto"/>
            </w:tcBorders>
            <w:vAlign w:val="center"/>
            <w:hideMark/>
          </w:tcPr>
          <w:p w14:paraId="2013D94E"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1:300</w:t>
            </w:r>
          </w:p>
        </w:tc>
        <w:tc>
          <w:tcPr>
            <w:tcW w:w="4394" w:type="dxa"/>
            <w:tcBorders>
              <w:top w:val="nil"/>
              <w:left w:val="nil"/>
              <w:bottom w:val="single" w:sz="4" w:space="0" w:color="auto"/>
              <w:right w:val="single" w:sz="4" w:space="0" w:color="auto"/>
            </w:tcBorders>
            <w:vAlign w:val="center"/>
            <w:hideMark/>
          </w:tcPr>
          <w:p w14:paraId="34843657" w14:textId="77777777" w:rsidR="008B4446" w:rsidRPr="00E71FC5" w:rsidRDefault="008B4446" w:rsidP="009E6618">
            <w:pPr>
              <w:adjustRightInd w:val="0"/>
              <w:snapToGrid w:val="0"/>
              <w:spacing w:line="360" w:lineRule="auto"/>
              <w:rPr>
                <w:rFonts w:ascii="Arial" w:hAnsi="Arial" w:cs="Arial"/>
                <w:color w:val="000000"/>
                <w:sz w:val="20"/>
                <w:szCs w:val="20"/>
              </w:rPr>
            </w:pPr>
            <w:r>
              <w:rPr>
                <w:rFonts w:ascii="Arial" w:hAnsi="Arial" w:cs="Arial"/>
                <w:color w:val="4EA72E" w:themeColor="accent6"/>
                <w:sz w:val="20"/>
                <w:szCs w:val="20"/>
              </w:rPr>
              <w:fldChar w:fldCharType="begin" w:fldLock="1"/>
            </w:r>
            <w:r>
              <w:rPr>
                <w:rFonts w:ascii="Arial" w:hAnsi="Arial" w:cs="Arial"/>
                <w:color w:val="4EA72E" w:themeColor="accent6"/>
                <w:sz w:val="20"/>
                <w:szCs w:val="20"/>
              </w:rPr>
              <w:instrText>ADDIN CSL_CITATION {"citationItems":[{"id":"ITEM-1","itemData":{"DOI":"10.1371/journal.pone.0183150","ISSN":"19326203","PMID":"28817674","abstract":"Peroxisomes are ubiquitous organelles mainly involved in ROS and lipid metabolism. Their abundance, protein composition and metabolic function vary depending on the cell type and adjust to different intracellular and environmental factors such as oxidative stress or nutrition. The biogenesis and proliferation of these important organelles are regulated by proteins belonging to the peroxin (PEX) family. PEX3, an integral peroxisomal membrane protein, and the cytosolic shuttling receptor PEX19 are thought to be responsible for the early steps of peroxisome biogenesis and assembly of their matrix protein import machinery. Recently, both peroxins were suggested to be also involved in the autophagy of peroxisomes (pexophagy). Despite the fact that distribution and intracellular abundance of these proteins might regulate the turnover of the peroxisomal compartment in a cell type-specific manner, a comprehensive analysis of the endogenous PEX3 and PEX19 distribution in different organs is still missing. In this study, we have therefore generated antibodies against endogenous mouse PEX3 and PEX19 and analysed their abundance and subcellular localisation in various mouse organs, tissues and cell types and compared it to the one of three commonly used peroxisomal markers (PEX14, ABCD3 and catalase). Our results revealed that the abundance of PEX3, PEX19, PEX14, ABCD3 and catalase strongly varies in the analysed organs and cell types, suggesting that peroxisome abundance, biogenesis and matrix protein import are independently regulated. We further found that in some organs, such as heart and skeletal muscle, the majority of the shuttling receptor PEX19 is bound to the peroxisomal membrane and that a strong variability exists in the cell type-specific ratio of cytosol- and peroxisome-associated PEX19. In conclusion, our results indicate that peroxisomes in various cell types are heterogeneous with regards to their matrix, membrane and biogenesis proteins.","author":[{"dropping-particle":"","family":"Colasante","given":"Claudia","non-dropping-particle":"","parse-names":false,"suffix":""},{"dropping-particle":"","family":"Chen","given":"Jiangping","non-dropping-particle":"","parse-names":false,"suffix":""},{"dropping-particle":"","family":"Ahlemeyer","given":"Barbara","non-dropping-particle":"","parse-names":false,"suffix":""},{"dropping-particle":"","family":"Bonilla-Martinez","given":"Rocio","non-dropping-particle":"","parse-names":false,"suffix":""},{"dropping-particle":"","family":"Karnati","given":"Srikanth","non-dropping-particle":"","parse-names":false,"suffix":""},{"dropping-particle":"","family":"Baumgart-Vogt","given":"Eveline","non-dropping-particle":"","parse-names":false,"suffix":""}],"container-title":"PLoS ONE","id":"ITEM-1","issue":"8","issued":{"date-parts":[["2017"]]},"title":"New insights into the distribution, protein abundance and subcellular localisation of the endogenous peroxisomal biogenesis proteins PEX3 and PEX19 in different organs and cell types of the adult mouse","type":"article-journal","volume":"12"},"uris":["http://www.mendeley.com/documents/?uuid=b46f731c-7336-35b2-be52-dc8061161b20"]}],"mendeley":{"formattedCitation":"(Colasante et al. 2017)","plainTextFormattedCitation":"(Colasante et al. 2017)","previouslyFormattedCitation":"(Colasante et al. 2017)"},"properties":{"noteIndex":0},"schema":"https://github.com/citation-style-language/schema/raw/master/csl-citation.json"}</w:instrText>
            </w:r>
            <w:r>
              <w:rPr>
                <w:rFonts w:ascii="Arial" w:hAnsi="Arial" w:cs="Arial"/>
                <w:color w:val="4EA72E" w:themeColor="accent6"/>
                <w:sz w:val="20"/>
                <w:szCs w:val="20"/>
              </w:rPr>
              <w:fldChar w:fldCharType="separate"/>
            </w:r>
            <w:r w:rsidRPr="0087634A">
              <w:rPr>
                <w:rFonts w:ascii="Arial" w:hAnsi="Arial" w:cs="Arial"/>
                <w:noProof/>
                <w:color w:val="4EA72E" w:themeColor="accent6"/>
                <w:sz w:val="20"/>
                <w:szCs w:val="20"/>
              </w:rPr>
              <w:t>(Colasante et al. 2017)</w:t>
            </w:r>
            <w:r>
              <w:rPr>
                <w:rFonts w:ascii="Arial" w:hAnsi="Arial" w:cs="Arial"/>
                <w:color w:val="4EA72E" w:themeColor="accent6"/>
                <w:sz w:val="20"/>
                <w:szCs w:val="20"/>
              </w:rPr>
              <w:fldChar w:fldCharType="end"/>
            </w:r>
          </w:p>
        </w:tc>
      </w:tr>
      <w:tr w:rsidR="008B4446" w:rsidRPr="00E71FC5" w14:paraId="0F8F395B" w14:textId="77777777" w:rsidTr="009E6618">
        <w:trPr>
          <w:trHeight w:val="378"/>
        </w:trPr>
        <w:tc>
          <w:tcPr>
            <w:tcW w:w="3201" w:type="dxa"/>
            <w:tcBorders>
              <w:top w:val="nil"/>
              <w:left w:val="single" w:sz="4" w:space="0" w:color="auto"/>
              <w:bottom w:val="single" w:sz="4" w:space="0" w:color="auto"/>
              <w:right w:val="single" w:sz="4" w:space="0" w:color="auto"/>
            </w:tcBorders>
            <w:vAlign w:val="center"/>
            <w:hideMark/>
          </w:tcPr>
          <w:p w14:paraId="6BB311CB"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sz w:val="20"/>
                <w:szCs w:val="20"/>
              </w:rPr>
              <w:t>Peroxisomal biogenesis factor 3 (PEX3p)</w:t>
            </w:r>
          </w:p>
        </w:tc>
        <w:tc>
          <w:tcPr>
            <w:tcW w:w="992" w:type="dxa"/>
            <w:tcBorders>
              <w:top w:val="nil"/>
              <w:left w:val="nil"/>
              <w:bottom w:val="single" w:sz="4" w:space="0" w:color="auto"/>
              <w:right w:val="single" w:sz="4" w:space="0" w:color="auto"/>
            </w:tcBorders>
            <w:vAlign w:val="center"/>
            <w:hideMark/>
          </w:tcPr>
          <w:p w14:paraId="4FBE80F9"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rat</w:t>
            </w:r>
          </w:p>
        </w:tc>
        <w:tc>
          <w:tcPr>
            <w:tcW w:w="992" w:type="dxa"/>
            <w:tcBorders>
              <w:top w:val="nil"/>
              <w:left w:val="nil"/>
              <w:bottom w:val="single" w:sz="4" w:space="0" w:color="auto"/>
              <w:right w:val="single" w:sz="4" w:space="0" w:color="auto"/>
            </w:tcBorders>
            <w:vAlign w:val="center"/>
            <w:hideMark/>
          </w:tcPr>
          <w:p w14:paraId="5A669D68"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1:100</w:t>
            </w:r>
          </w:p>
        </w:tc>
        <w:tc>
          <w:tcPr>
            <w:tcW w:w="4394" w:type="dxa"/>
            <w:tcBorders>
              <w:top w:val="nil"/>
              <w:left w:val="nil"/>
              <w:bottom w:val="single" w:sz="4" w:space="0" w:color="auto"/>
              <w:right w:val="single" w:sz="4" w:space="0" w:color="auto"/>
            </w:tcBorders>
            <w:vAlign w:val="center"/>
            <w:hideMark/>
          </w:tcPr>
          <w:p w14:paraId="2DB18D87" w14:textId="77777777" w:rsidR="008B4446" w:rsidRPr="00E71FC5" w:rsidRDefault="008B4446" w:rsidP="009E6618">
            <w:pPr>
              <w:adjustRightInd w:val="0"/>
              <w:snapToGrid w:val="0"/>
              <w:spacing w:line="360" w:lineRule="auto"/>
              <w:rPr>
                <w:rFonts w:ascii="Arial" w:hAnsi="Arial" w:cs="Arial"/>
                <w:color w:val="000000"/>
                <w:sz w:val="20"/>
                <w:szCs w:val="20"/>
              </w:rPr>
            </w:pPr>
            <w:r>
              <w:rPr>
                <w:rFonts w:ascii="Arial" w:hAnsi="Arial" w:cs="Arial"/>
                <w:color w:val="4EA72E" w:themeColor="accent6"/>
                <w:sz w:val="20"/>
                <w:szCs w:val="20"/>
              </w:rPr>
              <w:fldChar w:fldCharType="begin" w:fldLock="1"/>
            </w:r>
            <w:r>
              <w:rPr>
                <w:rFonts w:ascii="Arial" w:hAnsi="Arial" w:cs="Arial"/>
                <w:color w:val="4EA72E" w:themeColor="accent6"/>
                <w:sz w:val="20"/>
                <w:szCs w:val="20"/>
              </w:rPr>
              <w:instrText>ADDIN CSL_CITATION {"citationItems":[{"id":"ITEM-1","itemData":{"DOI":"10.1371/journal.pone.0183150","ISSN":"19326203","PMID":"28817674","abstract":"Peroxisomes are ubiquitous organelles mainly involved in ROS and lipid metabolism. Their abundance, protein composition and metabolic function vary depending on the cell type and adjust to different intracellular and environmental factors such as oxidative stress or nutrition. The biogenesis and proliferation of these important organelles are regulated by proteins belonging to the peroxin (PEX) family. PEX3, an integral peroxisomal membrane protein, and the cytosolic shuttling receptor PEX19 are thought to be responsible for the early steps of peroxisome biogenesis and assembly of their matrix protein import machinery. Recently, both peroxins were suggested to be also involved in the autophagy of peroxisomes (pexophagy). Despite the fact that distribution and intracellular abundance of these proteins might regulate the turnover of the peroxisomal compartment in a cell type-specific manner, a comprehensive analysis of the endogenous PEX3 and PEX19 distribution in different organs is still missing. In this study, we have therefore generated antibodies against endogenous mouse PEX3 and PEX19 and analysed their abundance and subcellular localisation in various mouse organs, tissues and cell types and compared it to the one of three commonly used peroxisomal markers (PEX14, ABCD3 and catalase). Our results revealed that the abundance of PEX3, PEX19, PEX14, ABCD3 and catalase strongly varies in the analysed organs and cell types, suggesting that peroxisome abundance, biogenesis and matrix protein import are independently regulated. We further found that in some organs, such as heart and skeletal muscle, the majority of the shuttling receptor PEX19 is bound to the peroxisomal membrane and that a strong variability exists in the cell type-specific ratio of cytosol- and peroxisome-associated PEX19. In conclusion, our results indicate that peroxisomes in various cell types are heterogeneous with regards to their matrix, membrane and biogenesis proteins.","author":[{"dropping-particle":"","family":"Colasante","given":"Claudia","non-dropping-particle":"","parse-names":false,"suffix":""},{"dropping-particle":"","family":"Chen","given":"Jiangping","non-dropping-particle":"","parse-names":false,"suffix":""},{"dropping-particle":"","family":"Ahlemeyer","given":"Barbara","non-dropping-particle":"","parse-names":false,"suffix":""},{"dropping-particle":"","family":"Bonilla-Martinez","given":"Rocio","non-dropping-particle":"","parse-names":false,"suffix":""},{"dropping-particle":"","family":"Karnati","given":"Srikanth","non-dropping-particle":"","parse-names":false,"suffix":""},{"dropping-particle":"","family":"Baumgart-Vogt","given":"Eveline","non-dropping-particle":"","parse-names":false,"suffix":""}],"container-title":"PLoS ONE","id":"ITEM-1","issue":"8","issued":{"date-parts":[["2017"]]},"title":"New insights into the distribution, protein abundance and subcellular localisation of the endogenous peroxisomal biogenesis proteins PEX3 and PEX19 in different organs and cell types of the adult mouse","type":"article-journal","volume":"12"},"uris":["http://www.mendeley.com/documents/?uuid=b46f731c-7336-35b2-be52-dc8061161b20"]}],"mendeley":{"formattedCitation":"(Colasante et al. 2017)","plainTextFormattedCitation":"(Colasante et al. 2017)","previouslyFormattedCitation":"(Colasante et al. 2017)"},"properties":{"noteIndex":0},"schema":"https://github.com/citation-style-language/schema/raw/master/csl-citation.json"}</w:instrText>
            </w:r>
            <w:r>
              <w:rPr>
                <w:rFonts w:ascii="Arial" w:hAnsi="Arial" w:cs="Arial"/>
                <w:color w:val="4EA72E" w:themeColor="accent6"/>
                <w:sz w:val="20"/>
                <w:szCs w:val="20"/>
              </w:rPr>
              <w:fldChar w:fldCharType="separate"/>
            </w:r>
            <w:r w:rsidRPr="0087634A">
              <w:rPr>
                <w:rFonts w:ascii="Arial" w:hAnsi="Arial" w:cs="Arial"/>
                <w:noProof/>
                <w:color w:val="4EA72E" w:themeColor="accent6"/>
                <w:sz w:val="20"/>
                <w:szCs w:val="20"/>
              </w:rPr>
              <w:t>(Colasante et al. 2017)</w:t>
            </w:r>
            <w:r>
              <w:rPr>
                <w:rFonts w:ascii="Arial" w:hAnsi="Arial" w:cs="Arial"/>
                <w:color w:val="4EA72E" w:themeColor="accent6"/>
                <w:sz w:val="20"/>
                <w:szCs w:val="20"/>
              </w:rPr>
              <w:fldChar w:fldCharType="end"/>
            </w:r>
          </w:p>
        </w:tc>
      </w:tr>
      <w:tr w:rsidR="008B4446" w:rsidRPr="00E71FC5" w14:paraId="56616ADE" w14:textId="77777777" w:rsidTr="009E6618">
        <w:trPr>
          <w:trHeight w:val="712"/>
        </w:trPr>
        <w:tc>
          <w:tcPr>
            <w:tcW w:w="3201" w:type="dxa"/>
            <w:tcBorders>
              <w:top w:val="nil"/>
              <w:left w:val="single" w:sz="4" w:space="0" w:color="auto"/>
              <w:bottom w:val="single" w:sz="4" w:space="0" w:color="auto"/>
              <w:right w:val="single" w:sz="4" w:space="0" w:color="auto"/>
            </w:tcBorders>
            <w:vAlign w:val="center"/>
            <w:hideMark/>
          </w:tcPr>
          <w:p w14:paraId="04980C36"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sz w:val="20"/>
                <w:szCs w:val="20"/>
              </w:rPr>
              <w:t>Peroxisomal biogenesis factor 5 (PEX5p)</w:t>
            </w:r>
          </w:p>
        </w:tc>
        <w:tc>
          <w:tcPr>
            <w:tcW w:w="992" w:type="dxa"/>
            <w:tcBorders>
              <w:top w:val="nil"/>
              <w:left w:val="nil"/>
              <w:bottom w:val="single" w:sz="4" w:space="0" w:color="auto"/>
              <w:right w:val="single" w:sz="4" w:space="0" w:color="auto"/>
            </w:tcBorders>
            <w:vAlign w:val="center"/>
            <w:hideMark/>
          </w:tcPr>
          <w:p w14:paraId="58193747"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rabbit</w:t>
            </w:r>
          </w:p>
        </w:tc>
        <w:tc>
          <w:tcPr>
            <w:tcW w:w="992" w:type="dxa"/>
            <w:tcBorders>
              <w:top w:val="nil"/>
              <w:left w:val="nil"/>
              <w:bottom w:val="single" w:sz="4" w:space="0" w:color="auto"/>
              <w:right w:val="single" w:sz="4" w:space="0" w:color="auto"/>
            </w:tcBorders>
            <w:vAlign w:val="center"/>
            <w:hideMark/>
          </w:tcPr>
          <w:p w14:paraId="5A6A7974" w14:textId="77777777" w:rsidR="008B4446" w:rsidRPr="00E71FC5" w:rsidRDefault="008B4446" w:rsidP="009E6618">
            <w:pPr>
              <w:adjustRightInd w:val="0"/>
              <w:snapToGrid w:val="0"/>
              <w:spacing w:line="360" w:lineRule="auto"/>
              <w:jc w:val="center"/>
              <w:rPr>
                <w:rFonts w:ascii="Arial" w:hAnsi="Arial" w:cs="Arial"/>
                <w:color w:val="000000"/>
                <w:sz w:val="20"/>
                <w:szCs w:val="20"/>
              </w:rPr>
            </w:pPr>
            <w:r w:rsidRPr="00E71FC5">
              <w:rPr>
                <w:rFonts w:ascii="Arial" w:hAnsi="Arial" w:cs="Arial"/>
                <w:color w:val="000000"/>
                <w:sz w:val="20"/>
                <w:szCs w:val="20"/>
              </w:rPr>
              <w:t>1:300</w:t>
            </w:r>
          </w:p>
        </w:tc>
        <w:tc>
          <w:tcPr>
            <w:tcW w:w="4394" w:type="dxa"/>
            <w:tcBorders>
              <w:top w:val="nil"/>
              <w:left w:val="nil"/>
              <w:bottom w:val="single" w:sz="4" w:space="0" w:color="auto"/>
              <w:right w:val="single" w:sz="4" w:space="0" w:color="auto"/>
            </w:tcBorders>
            <w:vAlign w:val="center"/>
            <w:hideMark/>
          </w:tcPr>
          <w:p w14:paraId="41C24F1A" w14:textId="77777777" w:rsidR="008B4446" w:rsidRPr="00E71FC5" w:rsidRDefault="008B4446" w:rsidP="009E6618">
            <w:pPr>
              <w:adjustRightInd w:val="0"/>
              <w:snapToGrid w:val="0"/>
              <w:spacing w:line="360" w:lineRule="auto"/>
              <w:rPr>
                <w:rFonts w:ascii="Arial" w:hAnsi="Arial" w:cs="Arial"/>
                <w:color w:val="000000"/>
                <w:sz w:val="20"/>
                <w:szCs w:val="20"/>
              </w:rPr>
            </w:pPr>
            <w:r w:rsidRPr="00E71FC5">
              <w:rPr>
                <w:rFonts w:ascii="Arial" w:hAnsi="Arial" w:cs="Arial"/>
                <w:color w:val="000000"/>
                <w:sz w:val="20"/>
                <w:szCs w:val="20"/>
              </w:rPr>
              <w:t>Steven Gould, Johns Hopkins University, Dept. Biol. Chem., Baltimore, MD, USA</w:t>
            </w:r>
          </w:p>
        </w:tc>
      </w:tr>
      <w:tr w:rsidR="008B4446" w:rsidRPr="00E71FC5" w14:paraId="1C927EDA" w14:textId="77777777" w:rsidTr="009E6618">
        <w:trPr>
          <w:trHeight w:val="502"/>
        </w:trPr>
        <w:tc>
          <w:tcPr>
            <w:tcW w:w="3201" w:type="dxa"/>
            <w:tcBorders>
              <w:top w:val="nil"/>
              <w:left w:val="single" w:sz="4" w:space="0" w:color="auto"/>
              <w:bottom w:val="single" w:sz="4" w:space="0" w:color="auto"/>
              <w:right w:val="single" w:sz="4" w:space="0" w:color="auto"/>
            </w:tcBorders>
            <w:vAlign w:val="center"/>
          </w:tcPr>
          <w:p w14:paraId="724D98FE"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themeColor="text1"/>
                <w:sz w:val="20"/>
                <w:szCs w:val="20"/>
              </w:rPr>
              <w:t>Succinate dehydrogenase (SDH)</w:t>
            </w:r>
          </w:p>
        </w:tc>
        <w:tc>
          <w:tcPr>
            <w:tcW w:w="992" w:type="dxa"/>
            <w:tcBorders>
              <w:top w:val="nil"/>
              <w:left w:val="nil"/>
              <w:bottom w:val="single" w:sz="4" w:space="0" w:color="auto"/>
              <w:right w:val="single" w:sz="4" w:space="0" w:color="auto"/>
            </w:tcBorders>
            <w:vAlign w:val="center"/>
          </w:tcPr>
          <w:p w14:paraId="25F33A04" w14:textId="77777777" w:rsidR="008B4446" w:rsidRPr="007E0715" w:rsidRDefault="008B4446" w:rsidP="009E6618">
            <w:pPr>
              <w:adjustRightInd w:val="0"/>
              <w:snapToGrid w:val="0"/>
              <w:spacing w:line="360" w:lineRule="auto"/>
              <w:jc w:val="center"/>
              <w:rPr>
                <w:rFonts w:ascii="Arial" w:hAnsi="Arial" w:cs="Arial"/>
                <w:color w:val="000000"/>
                <w:sz w:val="20"/>
                <w:szCs w:val="20"/>
              </w:rPr>
            </w:pPr>
            <w:r w:rsidRPr="007E0715">
              <w:rPr>
                <w:rFonts w:ascii="Arial" w:hAnsi="Arial" w:cs="Arial"/>
                <w:color w:val="000000" w:themeColor="text1"/>
                <w:sz w:val="20"/>
                <w:szCs w:val="20"/>
              </w:rPr>
              <w:t>rabbit</w:t>
            </w:r>
          </w:p>
        </w:tc>
        <w:tc>
          <w:tcPr>
            <w:tcW w:w="992" w:type="dxa"/>
            <w:tcBorders>
              <w:top w:val="nil"/>
              <w:left w:val="nil"/>
              <w:bottom w:val="single" w:sz="4" w:space="0" w:color="auto"/>
              <w:right w:val="single" w:sz="4" w:space="0" w:color="auto"/>
            </w:tcBorders>
            <w:vAlign w:val="center"/>
          </w:tcPr>
          <w:p w14:paraId="7F057AF3" w14:textId="77777777" w:rsidR="008B4446" w:rsidRPr="007E0715" w:rsidRDefault="008B4446" w:rsidP="009E6618">
            <w:pPr>
              <w:adjustRightInd w:val="0"/>
              <w:snapToGrid w:val="0"/>
              <w:spacing w:line="360" w:lineRule="auto"/>
              <w:jc w:val="center"/>
              <w:rPr>
                <w:rFonts w:ascii="Arial" w:hAnsi="Arial" w:cs="Arial"/>
                <w:color w:val="000000"/>
                <w:sz w:val="20"/>
                <w:szCs w:val="20"/>
              </w:rPr>
            </w:pPr>
            <w:r w:rsidRPr="007E0715">
              <w:rPr>
                <w:rFonts w:ascii="Arial" w:hAnsi="Arial" w:cs="Arial"/>
                <w:color w:val="000000" w:themeColor="text1"/>
                <w:sz w:val="20"/>
                <w:szCs w:val="20"/>
              </w:rPr>
              <w:t>1:400</w:t>
            </w:r>
          </w:p>
        </w:tc>
        <w:tc>
          <w:tcPr>
            <w:tcW w:w="4394" w:type="dxa"/>
            <w:tcBorders>
              <w:top w:val="nil"/>
              <w:left w:val="nil"/>
              <w:bottom w:val="single" w:sz="4" w:space="0" w:color="auto"/>
              <w:right w:val="single" w:sz="4" w:space="0" w:color="auto"/>
            </w:tcBorders>
            <w:vAlign w:val="center"/>
          </w:tcPr>
          <w:p w14:paraId="104AB1C5" w14:textId="77777777" w:rsidR="008B4446" w:rsidRPr="007E0715" w:rsidRDefault="008B4446" w:rsidP="009E6618">
            <w:pPr>
              <w:adjustRightInd w:val="0"/>
              <w:snapToGrid w:val="0"/>
              <w:spacing w:line="360" w:lineRule="auto"/>
              <w:rPr>
                <w:rFonts w:ascii="Arial" w:hAnsi="Arial" w:cs="Arial"/>
                <w:color w:val="000000"/>
                <w:sz w:val="20"/>
                <w:szCs w:val="20"/>
              </w:rPr>
            </w:pPr>
            <w:proofErr w:type="spellStart"/>
            <w:r w:rsidRPr="007E0715">
              <w:rPr>
                <w:rFonts w:ascii="Arial" w:hAnsi="Arial" w:cs="Arial"/>
                <w:color w:val="000000" w:themeColor="text1"/>
                <w:sz w:val="20"/>
                <w:szCs w:val="20"/>
              </w:rPr>
              <w:t>Proteintech</w:t>
            </w:r>
            <w:proofErr w:type="spellEnd"/>
            <w:r w:rsidRPr="007E0715">
              <w:rPr>
                <w:rFonts w:ascii="Arial" w:hAnsi="Arial" w:cs="Arial"/>
                <w:color w:val="000000" w:themeColor="text1"/>
                <w:sz w:val="20"/>
                <w:szCs w:val="20"/>
              </w:rPr>
              <w:t>, 14865-1-AP</w:t>
            </w:r>
          </w:p>
        </w:tc>
      </w:tr>
      <w:tr w:rsidR="008B4446" w:rsidRPr="00E71FC5" w14:paraId="2B930A2C" w14:textId="77777777" w:rsidTr="009E6618">
        <w:trPr>
          <w:trHeight w:val="454"/>
        </w:trPr>
        <w:tc>
          <w:tcPr>
            <w:tcW w:w="3201" w:type="dxa"/>
            <w:tcBorders>
              <w:top w:val="nil"/>
              <w:left w:val="single" w:sz="4" w:space="0" w:color="auto"/>
              <w:bottom w:val="single" w:sz="4" w:space="0" w:color="auto"/>
              <w:right w:val="single" w:sz="4" w:space="0" w:color="auto"/>
            </w:tcBorders>
            <w:vAlign w:val="center"/>
          </w:tcPr>
          <w:p w14:paraId="3B193215" w14:textId="77777777" w:rsidR="008B4446" w:rsidRPr="005E5D60" w:rsidRDefault="008B4446" w:rsidP="009E6618">
            <w:pPr>
              <w:adjustRightInd w:val="0"/>
              <w:snapToGrid w:val="0"/>
              <w:spacing w:line="360" w:lineRule="auto"/>
              <w:rPr>
                <w:rFonts w:ascii="Arial" w:hAnsi="Arial" w:cs="Arial"/>
                <w:color w:val="000000"/>
                <w:sz w:val="20"/>
                <w:szCs w:val="20"/>
              </w:rPr>
            </w:pPr>
            <w:r w:rsidRPr="005E5D60">
              <w:rPr>
                <w:rFonts w:ascii="Arial" w:hAnsi="Arial" w:cs="Arial"/>
                <w:color w:val="000000" w:themeColor="text1"/>
                <w:sz w:val="20"/>
                <w:szCs w:val="20"/>
              </w:rPr>
              <w:t>Superoxide dismutase 2 (SOD2)</w:t>
            </w:r>
          </w:p>
        </w:tc>
        <w:tc>
          <w:tcPr>
            <w:tcW w:w="992" w:type="dxa"/>
            <w:tcBorders>
              <w:top w:val="nil"/>
              <w:left w:val="nil"/>
              <w:bottom w:val="single" w:sz="4" w:space="0" w:color="auto"/>
              <w:right w:val="single" w:sz="4" w:space="0" w:color="auto"/>
            </w:tcBorders>
            <w:vAlign w:val="center"/>
          </w:tcPr>
          <w:p w14:paraId="50A33502" w14:textId="77777777" w:rsidR="008B4446" w:rsidRPr="007E0715" w:rsidRDefault="008B4446" w:rsidP="009E6618">
            <w:pPr>
              <w:adjustRightInd w:val="0"/>
              <w:snapToGrid w:val="0"/>
              <w:spacing w:line="360" w:lineRule="auto"/>
              <w:jc w:val="center"/>
              <w:rPr>
                <w:rFonts w:ascii="Arial" w:hAnsi="Arial" w:cs="Arial"/>
                <w:color w:val="000000"/>
                <w:sz w:val="20"/>
                <w:szCs w:val="20"/>
              </w:rPr>
            </w:pPr>
            <w:r w:rsidRPr="007E0715">
              <w:rPr>
                <w:rFonts w:ascii="Arial" w:hAnsi="Arial" w:cs="Arial"/>
                <w:color w:val="000000" w:themeColor="text1"/>
                <w:sz w:val="20"/>
                <w:szCs w:val="20"/>
              </w:rPr>
              <w:t>rabbit</w:t>
            </w:r>
          </w:p>
        </w:tc>
        <w:tc>
          <w:tcPr>
            <w:tcW w:w="992" w:type="dxa"/>
            <w:tcBorders>
              <w:top w:val="nil"/>
              <w:left w:val="nil"/>
              <w:bottom w:val="single" w:sz="4" w:space="0" w:color="auto"/>
              <w:right w:val="single" w:sz="4" w:space="0" w:color="auto"/>
            </w:tcBorders>
            <w:vAlign w:val="center"/>
          </w:tcPr>
          <w:p w14:paraId="20355E5A" w14:textId="77777777" w:rsidR="008B4446" w:rsidRPr="007E0715" w:rsidRDefault="008B4446" w:rsidP="009E6618">
            <w:pPr>
              <w:adjustRightInd w:val="0"/>
              <w:snapToGrid w:val="0"/>
              <w:spacing w:line="360" w:lineRule="auto"/>
              <w:jc w:val="center"/>
              <w:rPr>
                <w:rFonts w:ascii="Arial" w:hAnsi="Arial" w:cs="Arial"/>
                <w:color w:val="000000"/>
                <w:sz w:val="20"/>
                <w:szCs w:val="20"/>
              </w:rPr>
            </w:pPr>
            <w:r w:rsidRPr="007E0715">
              <w:rPr>
                <w:rFonts w:ascii="Arial" w:hAnsi="Arial" w:cs="Arial"/>
                <w:color w:val="000000" w:themeColor="text1"/>
                <w:sz w:val="20"/>
                <w:szCs w:val="20"/>
              </w:rPr>
              <w:t>1:500</w:t>
            </w:r>
          </w:p>
        </w:tc>
        <w:tc>
          <w:tcPr>
            <w:tcW w:w="4394" w:type="dxa"/>
            <w:tcBorders>
              <w:top w:val="nil"/>
              <w:left w:val="nil"/>
              <w:bottom w:val="single" w:sz="4" w:space="0" w:color="auto"/>
              <w:right w:val="single" w:sz="4" w:space="0" w:color="auto"/>
            </w:tcBorders>
            <w:vAlign w:val="center"/>
          </w:tcPr>
          <w:p w14:paraId="3A716741" w14:textId="77777777" w:rsidR="008B4446" w:rsidRPr="007E0715" w:rsidRDefault="008B4446" w:rsidP="009E6618">
            <w:pPr>
              <w:adjustRightInd w:val="0"/>
              <w:snapToGrid w:val="0"/>
              <w:spacing w:line="360" w:lineRule="auto"/>
              <w:rPr>
                <w:rFonts w:ascii="Arial" w:hAnsi="Arial" w:cs="Arial"/>
                <w:color w:val="000000"/>
                <w:sz w:val="20"/>
                <w:szCs w:val="20"/>
              </w:rPr>
            </w:pPr>
            <w:r w:rsidRPr="007E0715">
              <w:rPr>
                <w:rFonts w:ascii="Arial" w:hAnsi="Arial" w:cs="Arial"/>
                <w:color w:val="000000" w:themeColor="text1"/>
                <w:sz w:val="20"/>
                <w:szCs w:val="20"/>
              </w:rPr>
              <w:t>Abcam, ab13533</w:t>
            </w:r>
          </w:p>
        </w:tc>
      </w:tr>
    </w:tbl>
    <w:p w14:paraId="42FA007E" w14:textId="77777777" w:rsidR="008B4446" w:rsidRDefault="008B4446" w:rsidP="008B4446">
      <w:pPr>
        <w:adjustRightInd w:val="0"/>
        <w:snapToGrid w:val="0"/>
        <w:spacing w:line="360" w:lineRule="auto"/>
        <w:jc w:val="both"/>
        <w:rPr>
          <w:rFonts w:ascii="Arial" w:hAnsi="Arial" w:cs="Arial"/>
        </w:rPr>
      </w:pPr>
    </w:p>
    <w:p w14:paraId="0BF1B8B2" w14:textId="77777777" w:rsidR="008B4446" w:rsidRDefault="008B4446" w:rsidP="008B4446">
      <w:pPr>
        <w:spacing w:after="200" w:line="276" w:lineRule="auto"/>
        <w:rPr>
          <w:rFonts w:ascii="Arial" w:hAnsi="Arial" w:cs="Arial"/>
        </w:rPr>
      </w:pPr>
      <w:r>
        <w:rPr>
          <w:rFonts w:ascii="Arial" w:hAnsi="Arial" w:cs="Arial"/>
        </w:rPr>
        <w:br w:type="page"/>
      </w:r>
    </w:p>
    <w:p w14:paraId="53472CC0" w14:textId="77777777" w:rsidR="008B4446" w:rsidRPr="003A26D1" w:rsidRDefault="008B4446" w:rsidP="008B4446">
      <w:pPr>
        <w:adjustRightInd w:val="0"/>
        <w:snapToGrid w:val="0"/>
        <w:spacing w:line="360" w:lineRule="auto"/>
        <w:rPr>
          <w:rFonts w:ascii="Arial" w:hAnsi="Arial" w:cs="Arial"/>
          <w:b/>
        </w:rPr>
      </w:pPr>
      <w:r>
        <w:rPr>
          <w:rFonts w:ascii="Arial" w:hAnsi="Arial" w:cs="Arial"/>
          <w:b/>
        </w:rPr>
        <w:lastRenderedPageBreak/>
        <w:t>Supplemental</w:t>
      </w:r>
      <w:r w:rsidRPr="00E71FC5">
        <w:rPr>
          <w:rFonts w:ascii="Arial" w:hAnsi="Arial" w:cs="Arial"/>
          <w:b/>
        </w:rPr>
        <w:t xml:space="preserve"> Table </w:t>
      </w:r>
      <w:r>
        <w:rPr>
          <w:rFonts w:ascii="Arial" w:hAnsi="Arial" w:cs="Arial"/>
          <w:b/>
        </w:rPr>
        <w:t xml:space="preserve">2 </w:t>
      </w:r>
      <w:r w:rsidRPr="007D7EEE">
        <w:rPr>
          <w:rFonts w:ascii="Arial" w:hAnsi="Arial" w:cs="Arial"/>
          <w:bCs/>
        </w:rPr>
        <w:t xml:space="preserve">List of </w:t>
      </w:r>
      <w:r>
        <w:rPr>
          <w:rFonts w:ascii="Arial" w:hAnsi="Arial" w:cs="Arial"/>
          <w:bCs/>
        </w:rPr>
        <w:t>secondary</w:t>
      </w:r>
      <w:r w:rsidRPr="007D7EEE">
        <w:rPr>
          <w:rFonts w:ascii="Arial" w:hAnsi="Arial" w:cs="Arial"/>
          <w:bCs/>
        </w:rPr>
        <w:t xml:space="preserve"> antibodies used during immunofluorescence analysis </w:t>
      </w:r>
    </w:p>
    <w:tbl>
      <w:tblPr>
        <w:tblW w:w="92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9"/>
        <w:gridCol w:w="1567"/>
        <w:gridCol w:w="4670"/>
      </w:tblGrid>
      <w:tr w:rsidR="008B4446" w:rsidRPr="00E71FC5" w14:paraId="4C129FDF" w14:textId="77777777" w:rsidTr="009E6618">
        <w:trPr>
          <w:trHeight w:val="630"/>
        </w:trPr>
        <w:tc>
          <w:tcPr>
            <w:tcW w:w="3059" w:type="dxa"/>
            <w:shd w:val="clear" w:color="000000" w:fill="BFBFBF"/>
            <w:vAlign w:val="center"/>
            <w:hideMark/>
          </w:tcPr>
          <w:p w14:paraId="6C8CA268" w14:textId="77777777" w:rsidR="008B4446" w:rsidRPr="00E71FC5" w:rsidRDefault="008B4446" w:rsidP="009E6618">
            <w:pPr>
              <w:adjustRightInd w:val="0"/>
              <w:snapToGrid w:val="0"/>
              <w:spacing w:line="360" w:lineRule="auto"/>
              <w:rPr>
                <w:rFonts w:ascii="Arial" w:hAnsi="Arial" w:cs="Arial"/>
                <w:b/>
                <w:bCs/>
                <w:color w:val="000000"/>
                <w:sz w:val="20"/>
                <w:szCs w:val="20"/>
              </w:rPr>
            </w:pPr>
            <w:r w:rsidRPr="00E71FC5">
              <w:rPr>
                <w:rFonts w:ascii="Arial" w:hAnsi="Arial" w:cs="Arial"/>
                <w:b/>
                <w:bCs/>
                <w:color w:val="000000"/>
                <w:sz w:val="20"/>
                <w:szCs w:val="20"/>
              </w:rPr>
              <w:t>Secondary antibody</w:t>
            </w:r>
          </w:p>
        </w:tc>
        <w:tc>
          <w:tcPr>
            <w:tcW w:w="1567" w:type="dxa"/>
            <w:shd w:val="clear" w:color="000000" w:fill="BFBFBF"/>
            <w:vAlign w:val="center"/>
            <w:hideMark/>
          </w:tcPr>
          <w:p w14:paraId="6A3F55C2" w14:textId="77777777" w:rsidR="008B4446" w:rsidRPr="00E71FC5" w:rsidRDefault="008B4446" w:rsidP="009E6618">
            <w:pPr>
              <w:adjustRightInd w:val="0"/>
              <w:snapToGrid w:val="0"/>
              <w:spacing w:line="360" w:lineRule="auto"/>
              <w:rPr>
                <w:rFonts w:ascii="Arial" w:hAnsi="Arial" w:cs="Arial"/>
                <w:b/>
                <w:bCs/>
                <w:color w:val="000000"/>
                <w:sz w:val="20"/>
                <w:szCs w:val="20"/>
              </w:rPr>
            </w:pPr>
            <w:r w:rsidRPr="00E71FC5">
              <w:rPr>
                <w:rFonts w:ascii="Arial" w:hAnsi="Arial" w:cs="Arial"/>
                <w:b/>
                <w:bCs/>
                <w:color w:val="000000"/>
                <w:sz w:val="20"/>
                <w:szCs w:val="20"/>
              </w:rPr>
              <w:t>Dilution</w:t>
            </w:r>
          </w:p>
        </w:tc>
        <w:tc>
          <w:tcPr>
            <w:tcW w:w="4670" w:type="dxa"/>
            <w:shd w:val="clear" w:color="000000" w:fill="BFBFBF"/>
            <w:vAlign w:val="center"/>
            <w:hideMark/>
          </w:tcPr>
          <w:p w14:paraId="1AC9D58F" w14:textId="77777777" w:rsidR="008B4446" w:rsidRPr="00E71FC5" w:rsidRDefault="008B4446" w:rsidP="009E6618">
            <w:pPr>
              <w:adjustRightInd w:val="0"/>
              <w:snapToGrid w:val="0"/>
              <w:spacing w:line="360" w:lineRule="auto"/>
              <w:rPr>
                <w:rFonts w:ascii="Arial" w:hAnsi="Arial" w:cs="Arial"/>
                <w:b/>
                <w:bCs/>
                <w:color w:val="000000"/>
                <w:sz w:val="20"/>
                <w:szCs w:val="20"/>
              </w:rPr>
            </w:pPr>
            <w:r w:rsidRPr="00E71FC5">
              <w:rPr>
                <w:rFonts w:ascii="Arial" w:hAnsi="Arial" w:cs="Arial"/>
                <w:b/>
                <w:bCs/>
                <w:color w:val="000000"/>
                <w:sz w:val="20"/>
                <w:szCs w:val="20"/>
              </w:rPr>
              <w:t>Supplier</w:t>
            </w:r>
          </w:p>
        </w:tc>
      </w:tr>
      <w:tr w:rsidR="008B4446" w:rsidRPr="00E71FC5" w14:paraId="16F5502B" w14:textId="77777777" w:rsidTr="009E6618">
        <w:trPr>
          <w:trHeight w:val="600"/>
        </w:trPr>
        <w:tc>
          <w:tcPr>
            <w:tcW w:w="3059" w:type="dxa"/>
            <w:vAlign w:val="center"/>
            <w:hideMark/>
          </w:tcPr>
          <w:p w14:paraId="018C0E73" w14:textId="77777777" w:rsidR="008B4446" w:rsidRPr="00B9792D" w:rsidRDefault="008B4446" w:rsidP="009E6618">
            <w:pPr>
              <w:adjustRightInd w:val="0"/>
              <w:snapToGrid w:val="0"/>
              <w:spacing w:line="360" w:lineRule="auto"/>
              <w:rPr>
                <w:rFonts w:ascii="Arial" w:hAnsi="Arial" w:cs="Arial"/>
                <w:color w:val="000000"/>
                <w:sz w:val="20"/>
                <w:szCs w:val="20"/>
              </w:rPr>
            </w:pPr>
            <w:r w:rsidRPr="00B9792D">
              <w:rPr>
                <w:rFonts w:ascii="Arial" w:hAnsi="Arial" w:cs="Arial"/>
                <w:color w:val="000000"/>
                <w:sz w:val="20"/>
                <w:szCs w:val="20"/>
              </w:rPr>
              <w:t>anti-</w:t>
            </w:r>
            <w:r>
              <w:rPr>
                <w:rFonts w:ascii="Arial" w:hAnsi="Arial" w:cs="Arial"/>
                <w:color w:val="000000"/>
                <w:sz w:val="20"/>
                <w:szCs w:val="20"/>
              </w:rPr>
              <w:t>r</w:t>
            </w:r>
            <w:r w:rsidRPr="00B9792D">
              <w:rPr>
                <w:rFonts w:ascii="Arial" w:hAnsi="Arial" w:cs="Arial"/>
                <w:color w:val="000000"/>
                <w:sz w:val="20"/>
                <w:szCs w:val="20"/>
              </w:rPr>
              <w:t>abbit-IgG Alexa Fluor 488</w:t>
            </w:r>
          </w:p>
        </w:tc>
        <w:tc>
          <w:tcPr>
            <w:tcW w:w="1567" w:type="dxa"/>
            <w:vAlign w:val="center"/>
            <w:hideMark/>
          </w:tcPr>
          <w:p w14:paraId="7512FC7C" w14:textId="77777777" w:rsidR="008B4446" w:rsidRPr="00B9792D" w:rsidRDefault="008B4446" w:rsidP="009E6618">
            <w:pPr>
              <w:adjustRightInd w:val="0"/>
              <w:snapToGrid w:val="0"/>
              <w:spacing w:line="360" w:lineRule="auto"/>
              <w:rPr>
                <w:rFonts w:ascii="Arial" w:hAnsi="Arial" w:cs="Arial"/>
                <w:color w:val="000000"/>
                <w:sz w:val="20"/>
                <w:szCs w:val="20"/>
              </w:rPr>
            </w:pPr>
            <w:r w:rsidRPr="00B9792D">
              <w:rPr>
                <w:rFonts w:ascii="Arial" w:hAnsi="Arial" w:cs="Arial"/>
                <w:color w:val="000000"/>
                <w:sz w:val="20"/>
                <w:szCs w:val="20"/>
              </w:rPr>
              <w:t>1:300</w:t>
            </w:r>
          </w:p>
        </w:tc>
        <w:tc>
          <w:tcPr>
            <w:tcW w:w="4670" w:type="dxa"/>
            <w:vAlign w:val="center"/>
            <w:hideMark/>
          </w:tcPr>
          <w:p w14:paraId="746D0F6A" w14:textId="0185DD10" w:rsidR="008B4446" w:rsidRPr="00B9792D" w:rsidRDefault="00890EE3" w:rsidP="009E6618">
            <w:pPr>
              <w:adjustRightInd w:val="0"/>
              <w:snapToGrid w:val="0"/>
              <w:spacing w:line="360" w:lineRule="auto"/>
              <w:rPr>
                <w:rFonts w:ascii="Arial" w:hAnsi="Arial" w:cs="Arial"/>
                <w:color w:val="000000"/>
                <w:sz w:val="20"/>
                <w:szCs w:val="20"/>
              </w:rPr>
            </w:pPr>
            <w:proofErr w:type="spellStart"/>
            <w:r>
              <w:rPr>
                <w:rFonts w:ascii="Arial" w:hAnsi="Arial" w:cs="Arial"/>
                <w:color w:val="000000"/>
                <w:sz w:val="20"/>
                <w:szCs w:val="20"/>
              </w:rPr>
              <w:t>Thermo</w:t>
            </w:r>
            <w:proofErr w:type="spellEnd"/>
            <w:r>
              <w:rPr>
                <w:rFonts w:ascii="Arial" w:hAnsi="Arial" w:cs="Arial"/>
                <w:color w:val="000000"/>
                <w:sz w:val="20"/>
                <w:szCs w:val="20"/>
              </w:rPr>
              <w:t xml:space="preserve"> Fisher</w:t>
            </w:r>
            <w:r w:rsidR="008B4446" w:rsidRPr="00B9792D">
              <w:rPr>
                <w:rFonts w:ascii="Arial" w:hAnsi="Arial" w:cs="Arial"/>
                <w:color w:val="000000"/>
                <w:sz w:val="20"/>
                <w:szCs w:val="20"/>
              </w:rPr>
              <w:t>, Cat. no: A21206</w:t>
            </w:r>
          </w:p>
        </w:tc>
      </w:tr>
      <w:tr w:rsidR="008B4446" w:rsidRPr="00E71FC5" w14:paraId="4EA9912E" w14:textId="77777777" w:rsidTr="009E6618">
        <w:trPr>
          <w:trHeight w:val="600"/>
        </w:trPr>
        <w:tc>
          <w:tcPr>
            <w:tcW w:w="3059" w:type="dxa"/>
            <w:vAlign w:val="center"/>
            <w:hideMark/>
          </w:tcPr>
          <w:p w14:paraId="5C11426F" w14:textId="2E4E204C" w:rsidR="008B4446" w:rsidRPr="00B9792D" w:rsidRDefault="008B4446" w:rsidP="009E6618">
            <w:pPr>
              <w:adjustRightInd w:val="0"/>
              <w:snapToGrid w:val="0"/>
              <w:spacing w:line="360" w:lineRule="auto"/>
              <w:rPr>
                <w:rFonts w:ascii="Arial" w:hAnsi="Arial" w:cs="Arial"/>
                <w:color w:val="000000"/>
                <w:sz w:val="20"/>
                <w:szCs w:val="20"/>
              </w:rPr>
            </w:pPr>
            <w:r w:rsidRPr="00B9792D">
              <w:rPr>
                <w:rFonts w:ascii="Arial" w:hAnsi="Arial" w:cs="Arial"/>
                <w:color w:val="000000"/>
                <w:sz w:val="20"/>
                <w:szCs w:val="20"/>
              </w:rPr>
              <w:t>anti-</w:t>
            </w:r>
            <w:r>
              <w:rPr>
                <w:rFonts w:ascii="Arial" w:hAnsi="Arial" w:cs="Arial"/>
                <w:color w:val="000000"/>
                <w:sz w:val="20"/>
                <w:szCs w:val="20"/>
              </w:rPr>
              <w:t>r</w:t>
            </w:r>
            <w:r w:rsidRPr="00B9792D">
              <w:rPr>
                <w:rFonts w:ascii="Arial" w:hAnsi="Arial" w:cs="Arial"/>
                <w:color w:val="000000"/>
                <w:sz w:val="20"/>
                <w:szCs w:val="20"/>
              </w:rPr>
              <w:t xml:space="preserve">at-IgG Alexa Fluor </w:t>
            </w:r>
            <w:r w:rsidR="00564F30">
              <w:rPr>
                <w:rFonts w:ascii="Arial" w:hAnsi="Arial" w:cs="Arial"/>
                <w:color w:val="000000"/>
                <w:sz w:val="20"/>
                <w:szCs w:val="20"/>
              </w:rPr>
              <w:t>488</w:t>
            </w:r>
          </w:p>
        </w:tc>
        <w:tc>
          <w:tcPr>
            <w:tcW w:w="1567" w:type="dxa"/>
            <w:vAlign w:val="center"/>
            <w:hideMark/>
          </w:tcPr>
          <w:p w14:paraId="1D2E7ABC" w14:textId="77777777" w:rsidR="008B4446" w:rsidRPr="00B9792D" w:rsidRDefault="008B4446" w:rsidP="009E6618">
            <w:pPr>
              <w:adjustRightInd w:val="0"/>
              <w:snapToGrid w:val="0"/>
              <w:spacing w:line="360" w:lineRule="auto"/>
              <w:rPr>
                <w:rFonts w:ascii="Arial" w:hAnsi="Arial" w:cs="Arial"/>
                <w:color w:val="000000"/>
                <w:sz w:val="20"/>
                <w:szCs w:val="20"/>
              </w:rPr>
            </w:pPr>
            <w:r w:rsidRPr="00B9792D">
              <w:rPr>
                <w:rFonts w:ascii="Arial" w:hAnsi="Arial" w:cs="Arial"/>
                <w:color w:val="000000"/>
                <w:sz w:val="20"/>
                <w:szCs w:val="20"/>
              </w:rPr>
              <w:t>1:300</w:t>
            </w:r>
          </w:p>
        </w:tc>
        <w:tc>
          <w:tcPr>
            <w:tcW w:w="4670" w:type="dxa"/>
            <w:vAlign w:val="center"/>
            <w:hideMark/>
          </w:tcPr>
          <w:p w14:paraId="1B27530B" w14:textId="6D777432" w:rsidR="008B4446" w:rsidRPr="00B9792D" w:rsidRDefault="00890EE3" w:rsidP="009E6618">
            <w:pPr>
              <w:adjustRightInd w:val="0"/>
              <w:snapToGrid w:val="0"/>
              <w:spacing w:line="360" w:lineRule="auto"/>
              <w:rPr>
                <w:rFonts w:ascii="Arial" w:hAnsi="Arial" w:cs="Arial"/>
                <w:color w:val="000000"/>
                <w:sz w:val="20"/>
                <w:szCs w:val="20"/>
              </w:rPr>
            </w:pPr>
            <w:proofErr w:type="spellStart"/>
            <w:r>
              <w:rPr>
                <w:rFonts w:ascii="Arial" w:hAnsi="Arial" w:cs="Arial"/>
                <w:color w:val="000000"/>
                <w:sz w:val="20"/>
                <w:szCs w:val="20"/>
              </w:rPr>
              <w:t>Thermo</w:t>
            </w:r>
            <w:proofErr w:type="spellEnd"/>
            <w:r>
              <w:rPr>
                <w:rFonts w:ascii="Arial" w:hAnsi="Arial" w:cs="Arial"/>
                <w:color w:val="000000"/>
                <w:sz w:val="20"/>
                <w:szCs w:val="20"/>
              </w:rPr>
              <w:t xml:space="preserve"> Fisher</w:t>
            </w:r>
            <w:r w:rsidR="008B4446" w:rsidRPr="00B9792D">
              <w:rPr>
                <w:rFonts w:ascii="Arial" w:hAnsi="Arial" w:cs="Arial"/>
                <w:color w:val="000000"/>
                <w:sz w:val="20"/>
                <w:szCs w:val="20"/>
              </w:rPr>
              <w:t xml:space="preserve">, Cat. no: </w:t>
            </w:r>
            <w:r>
              <w:rPr>
                <w:rFonts w:ascii="Helvetica Neue" w:hAnsi="Helvetica Neue"/>
                <w:color w:val="222222"/>
                <w:sz w:val="21"/>
                <w:szCs w:val="21"/>
                <w:shd w:val="clear" w:color="auto" w:fill="FAFAFA"/>
              </w:rPr>
              <w:t>A11006</w:t>
            </w:r>
          </w:p>
        </w:tc>
      </w:tr>
      <w:tr w:rsidR="008B4446" w:rsidRPr="00E71FC5" w14:paraId="75227BC4" w14:textId="77777777" w:rsidTr="009E6618">
        <w:trPr>
          <w:trHeight w:val="600"/>
        </w:trPr>
        <w:tc>
          <w:tcPr>
            <w:tcW w:w="3059" w:type="dxa"/>
          </w:tcPr>
          <w:p w14:paraId="5A3376CA" w14:textId="543AF2C1" w:rsidR="008B4446" w:rsidRPr="00B9792D" w:rsidRDefault="008B4446" w:rsidP="009E6618">
            <w:pPr>
              <w:adjustRightInd w:val="0"/>
              <w:snapToGrid w:val="0"/>
              <w:spacing w:line="360" w:lineRule="auto"/>
              <w:rPr>
                <w:rFonts w:ascii="Arial" w:hAnsi="Arial" w:cs="Arial"/>
                <w:color w:val="000000"/>
                <w:sz w:val="20"/>
                <w:szCs w:val="20"/>
              </w:rPr>
            </w:pPr>
            <w:r w:rsidRPr="00B9792D">
              <w:rPr>
                <w:rFonts w:ascii="Arial" w:hAnsi="Arial" w:cs="Arial"/>
                <w:color w:val="000000"/>
                <w:sz w:val="20"/>
                <w:szCs w:val="20"/>
              </w:rPr>
              <w:t>anti-mouse</w:t>
            </w:r>
            <w:r>
              <w:rPr>
                <w:rFonts w:ascii="Arial" w:hAnsi="Arial" w:cs="Arial"/>
                <w:color w:val="000000"/>
                <w:sz w:val="20"/>
                <w:szCs w:val="20"/>
              </w:rPr>
              <w:t xml:space="preserve"> </w:t>
            </w:r>
            <w:r w:rsidRPr="00B9792D">
              <w:rPr>
                <w:rFonts w:ascii="Arial" w:hAnsi="Arial" w:cs="Arial"/>
                <w:color w:val="000000"/>
                <w:sz w:val="20"/>
                <w:szCs w:val="20"/>
              </w:rPr>
              <w:t>Alexa</w:t>
            </w:r>
            <w:r w:rsidR="00890EE3">
              <w:rPr>
                <w:rFonts w:ascii="Arial" w:hAnsi="Arial" w:cs="Arial"/>
                <w:color w:val="000000"/>
                <w:sz w:val="20"/>
                <w:szCs w:val="20"/>
              </w:rPr>
              <w:t xml:space="preserve"> F</w:t>
            </w:r>
            <w:r w:rsidRPr="00B9792D">
              <w:rPr>
                <w:rFonts w:ascii="Arial" w:hAnsi="Arial" w:cs="Arial"/>
                <w:color w:val="000000"/>
                <w:sz w:val="20"/>
                <w:szCs w:val="20"/>
              </w:rPr>
              <w:t>luor 555</w:t>
            </w:r>
          </w:p>
        </w:tc>
        <w:tc>
          <w:tcPr>
            <w:tcW w:w="1567" w:type="dxa"/>
          </w:tcPr>
          <w:p w14:paraId="0360FE80" w14:textId="77777777" w:rsidR="008B4446" w:rsidRPr="00B9792D" w:rsidRDefault="008B4446" w:rsidP="009E6618">
            <w:pPr>
              <w:adjustRightInd w:val="0"/>
              <w:snapToGrid w:val="0"/>
              <w:spacing w:line="360" w:lineRule="auto"/>
              <w:rPr>
                <w:rFonts w:ascii="Arial" w:hAnsi="Arial" w:cs="Arial"/>
                <w:color w:val="000000"/>
                <w:sz w:val="20"/>
                <w:szCs w:val="20"/>
              </w:rPr>
            </w:pPr>
            <w:r w:rsidRPr="00B9792D">
              <w:rPr>
                <w:rFonts w:ascii="Arial" w:hAnsi="Arial" w:cs="Arial"/>
                <w:color w:val="000000"/>
                <w:sz w:val="20"/>
                <w:szCs w:val="20"/>
              </w:rPr>
              <w:t>1:400</w:t>
            </w:r>
          </w:p>
        </w:tc>
        <w:tc>
          <w:tcPr>
            <w:tcW w:w="4670" w:type="dxa"/>
          </w:tcPr>
          <w:p w14:paraId="3B10232E" w14:textId="77777777" w:rsidR="008B4446" w:rsidRPr="00B9792D" w:rsidRDefault="008B4446" w:rsidP="009E6618">
            <w:pPr>
              <w:adjustRightInd w:val="0"/>
              <w:snapToGrid w:val="0"/>
              <w:spacing w:line="360" w:lineRule="auto"/>
              <w:rPr>
                <w:rFonts w:ascii="Arial" w:hAnsi="Arial" w:cs="Arial"/>
                <w:color w:val="000000"/>
                <w:sz w:val="20"/>
                <w:szCs w:val="20"/>
              </w:rPr>
            </w:pPr>
            <w:r w:rsidRPr="00B9792D">
              <w:rPr>
                <w:rFonts w:ascii="Arial" w:hAnsi="Arial" w:cs="Arial"/>
                <w:color w:val="000000"/>
                <w:sz w:val="20"/>
                <w:szCs w:val="20"/>
              </w:rPr>
              <w:t>Molecular Probes, A31570</w:t>
            </w:r>
          </w:p>
        </w:tc>
      </w:tr>
      <w:tr w:rsidR="008B4446" w:rsidRPr="00E71FC5" w14:paraId="634E3F54" w14:textId="77777777" w:rsidTr="009E6618">
        <w:trPr>
          <w:trHeight w:val="600"/>
        </w:trPr>
        <w:tc>
          <w:tcPr>
            <w:tcW w:w="3059" w:type="dxa"/>
          </w:tcPr>
          <w:p w14:paraId="46F30929" w14:textId="56C527C5" w:rsidR="008B4446" w:rsidRPr="00B9792D" w:rsidRDefault="008B4446" w:rsidP="009E6618">
            <w:pPr>
              <w:adjustRightInd w:val="0"/>
              <w:snapToGrid w:val="0"/>
              <w:spacing w:line="360" w:lineRule="auto"/>
              <w:rPr>
                <w:rFonts w:ascii="Arial" w:hAnsi="Arial" w:cs="Arial"/>
                <w:color w:val="000000"/>
                <w:sz w:val="20"/>
                <w:szCs w:val="20"/>
              </w:rPr>
            </w:pPr>
            <w:r w:rsidRPr="00B9792D">
              <w:rPr>
                <w:rFonts w:ascii="Arial" w:hAnsi="Arial" w:cs="Arial"/>
                <w:color w:val="000000"/>
                <w:sz w:val="20"/>
                <w:szCs w:val="20"/>
              </w:rPr>
              <w:t>anti-goat Alexa</w:t>
            </w:r>
            <w:r w:rsidR="00890EE3">
              <w:rPr>
                <w:rFonts w:ascii="Arial" w:hAnsi="Arial" w:cs="Arial"/>
                <w:color w:val="000000"/>
                <w:sz w:val="20"/>
                <w:szCs w:val="20"/>
              </w:rPr>
              <w:t xml:space="preserve"> F</w:t>
            </w:r>
            <w:r w:rsidRPr="00B9792D">
              <w:rPr>
                <w:rFonts w:ascii="Arial" w:hAnsi="Arial" w:cs="Arial"/>
                <w:color w:val="000000"/>
                <w:sz w:val="20"/>
                <w:szCs w:val="20"/>
              </w:rPr>
              <w:t>luor 594</w:t>
            </w:r>
          </w:p>
        </w:tc>
        <w:tc>
          <w:tcPr>
            <w:tcW w:w="1567" w:type="dxa"/>
          </w:tcPr>
          <w:p w14:paraId="74B34694" w14:textId="77777777" w:rsidR="008B4446" w:rsidRPr="00B9792D" w:rsidRDefault="008B4446" w:rsidP="009E6618">
            <w:pPr>
              <w:adjustRightInd w:val="0"/>
              <w:snapToGrid w:val="0"/>
              <w:spacing w:line="360" w:lineRule="auto"/>
              <w:rPr>
                <w:rFonts w:ascii="Arial" w:hAnsi="Arial" w:cs="Arial"/>
                <w:color w:val="000000"/>
                <w:sz w:val="20"/>
                <w:szCs w:val="20"/>
              </w:rPr>
            </w:pPr>
            <w:r w:rsidRPr="00B9792D">
              <w:rPr>
                <w:rFonts w:ascii="Arial" w:hAnsi="Arial" w:cs="Arial"/>
                <w:color w:val="000000"/>
                <w:sz w:val="20"/>
                <w:szCs w:val="20"/>
              </w:rPr>
              <w:t>1:300</w:t>
            </w:r>
          </w:p>
        </w:tc>
        <w:tc>
          <w:tcPr>
            <w:tcW w:w="4670" w:type="dxa"/>
          </w:tcPr>
          <w:p w14:paraId="1CA7900F" w14:textId="77777777" w:rsidR="008B4446" w:rsidRPr="00B9792D" w:rsidRDefault="008B4446" w:rsidP="009E6618">
            <w:pPr>
              <w:adjustRightInd w:val="0"/>
              <w:snapToGrid w:val="0"/>
              <w:spacing w:line="360" w:lineRule="auto"/>
              <w:rPr>
                <w:rFonts w:ascii="Arial" w:hAnsi="Arial" w:cs="Arial"/>
                <w:color w:val="000000"/>
                <w:sz w:val="20"/>
                <w:szCs w:val="20"/>
              </w:rPr>
            </w:pPr>
            <w:r w:rsidRPr="00B9792D">
              <w:rPr>
                <w:rFonts w:ascii="Arial" w:hAnsi="Arial" w:cs="Arial"/>
                <w:color w:val="000000"/>
                <w:sz w:val="20"/>
                <w:szCs w:val="20"/>
              </w:rPr>
              <w:t>Molecular Probes, A11058</w:t>
            </w:r>
          </w:p>
        </w:tc>
      </w:tr>
    </w:tbl>
    <w:p w14:paraId="4BE055FA" w14:textId="77777777" w:rsidR="008B4446" w:rsidRPr="00E71FC5" w:rsidRDefault="008B4446" w:rsidP="008B4446">
      <w:pPr>
        <w:adjustRightInd w:val="0"/>
        <w:snapToGrid w:val="0"/>
        <w:spacing w:line="360" w:lineRule="auto"/>
        <w:jc w:val="both"/>
        <w:rPr>
          <w:rFonts w:ascii="Arial" w:hAnsi="Arial" w:cs="Arial"/>
        </w:rPr>
      </w:pPr>
    </w:p>
    <w:p w14:paraId="784F3733" w14:textId="77777777" w:rsidR="008B4446" w:rsidRPr="00E71FC5" w:rsidRDefault="008B4446" w:rsidP="008B4446">
      <w:pPr>
        <w:adjustRightInd w:val="0"/>
        <w:snapToGrid w:val="0"/>
        <w:spacing w:line="360" w:lineRule="auto"/>
        <w:rPr>
          <w:rFonts w:ascii="Arial" w:hAnsi="Arial" w:cs="Arial"/>
        </w:rPr>
      </w:pPr>
      <w:r w:rsidRPr="00E71FC5">
        <w:rPr>
          <w:rFonts w:ascii="Arial" w:hAnsi="Arial" w:cs="Arial"/>
        </w:rPr>
        <w:br w:type="page"/>
      </w:r>
    </w:p>
    <w:p w14:paraId="1205A880" w14:textId="77777777" w:rsidR="008B4446" w:rsidRPr="001829E4" w:rsidRDefault="008B4446" w:rsidP="008B4446">
      <w:pPr>
        <w:pStyle w:val="EndNoteBibliography"/>
        <w:adjustRightInd w:val="0"/>
        <w:snapToGrid w:val="0"/>
        <w:spacing w:line="360" w:lineRule="auto"/>
        <w:jc w:val="both"/>
        <w:rPr>
          <w:rFonts w:ascii="Arial" w:hAnsi="Arial" w:cs="Arial"/>
          <w:b/>
          <w:bCs/>
          <w:noProof w:val="0"/>
          <w:sz w:val="32"/>
          <w:szCs w:val="32"/>
          <w:lang w:val="en-GB"/>
        </w:rPr>
      </w:pPr>
      <w:r w:rsidRPr="001829E4">
        <w:rPr>
          <w:rFonts w:ascii="Arial" w:hAnsi="Arial" w:cs="Arial"/>
          <w:b/>
          <w:bCs/>
          <w:noProof w:val="0"/>
          <w:sz w:val="32"/>
          <w:szCs w:val="32"/>
          <w:lang w:val="en-GB"/>
        </w:rPr>
        <w:lastRenderedPageBreak/>
        <w:t>Supplemental Figures</w:t>
      </w:r>
    </w:p>
    <w:p w14:paraId="7E1DEB79" w14:textId="77777777" w:rsidR="008B4446" w:rsidRPr="00E71FC5" w:rsidRDefault="008B4446" w:rsidP="008B4446">
      <w:pPr>
        <w:pStyle w:val="EndNoteBibliography"/>
        <w:adjustRightInd w:val="0"/>
        <w:snapToGrid w:val="0"/>
        <w:spacing w:line="360" w:lineRule="auto"/>
        <w:jc w:val="both"/>
        <w:rPr>
          <w:rFonts w:ascii="Arial" w:hAnsi="Arial" w:cs="Arial"/>
          <w:b/>
          <w:bCs/>
          <w:noProof w:val="0"/>
          <w:lang w:val="en-GB"/>
        </w:rPr>
      </w:pPr>
    </w:p>
    <w:p w14:paraId="5CDF6AE7" w14:textId="5B4216CD" w:rsidR="008B4446" w:rsidRPr="00E71FC5" w:rsidRDefault="00B74072" w:rsidP="008B4446">
      <w:pPr>
        <w:pStyle w:val="EndNoteBibliography"/>
        <w:adjustRightInd w:val="0"/>
        <w:snapToGrid w:val="0"/>
        <w:spacing w:line="360" w:lineRule="auto"/>
        <w:jc w:val="center"/>
        <w:rPr>
          <w:rFonts w:ascii="Arial" w:hAnsi="Arial" w:cs="Arial"/>
          <w:color w:val="000000" w:themeColor="text1"/>
        </w:rPr>
      </w:pPr>
      <w:r>
        <w:rPr>
          <w:rFonts w:ascii="Arial" w:hAnsi="Arial" w:cs="Arial"/>
          <w:color w:val="000000" w:themeColor="text1"/>
          <w14:ligatures w14:val="standardContextual"/>
        </w:rPr>
        <w:drawing>
          <wp:inline distT="0" distB="0" distL="0" distR="0" wp14:anchorId="572BB410" wp14:editId="16C2B810">
            <wp:extent cx="5759450" cy="4331335"/>
            <wp:effectExtent l="0" t="0" r="6350" b="0"/>
            <wp:docPr id="2047719833" name="Grafik 1" descr="Ein Bild, das Kart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19833" name="Grafik 1" descr="Ein Bild, das Karte, Screenshot enthält.&#10;&#10;KI-generierte Inhalte können fehlerhaft sein."/>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9450" cy="4331335"/>
                    </a:xfrm>
                    <a:prstGeom prst="rect">
                      <a:avLst/>
                    </a:prstGeom>
                  </pic:spPr>
                </pic:pic>
              </a:graphicData>
            </a:graphic>
          </wp:inline>
        </w:drawing>
      </w:r>
    </w:p>
    <w:p w14:paraId="7E926189" w14:textId="079D2C09" w:rsidR="008B4446" w:rsidRDefault="008B4446" w:rsidP="005F60C1">
      <w:pPr>
        <w:pStyle w:val="EndNoteBibliography"/>
        <w:adjustRightInd w:val="0"/>
        <w:snapToGrid w:val="0"/>
        <w:spacing w:line="360" w:lineRule="auto"/>
        <w:jc w:val="both"/>
        <w:rPr>
          <w:rFonts w:ascii="Arial" w:hAnsi="Arial" w:cs="Arial"/>
          <w:color w:val="000000" w:themeColor="text1"/>
        </w:rPr>
      </w:pPr>
      <w:r w:rsidRPr="005F60C1">
        <w:rPr>
          <w:rFonts w:ascii="Arial" w:hAnsi="Arial" w:cs="Arial"/>
          <w:b/>
          <w:bCs/>
          <w:color w:val="000000" w:themeColor="text1"/>
        </w:rPr>
        <w:t>Fig. S1 Histological</w:t>
      </w:r>
      <w:r>
        <w:rPr>
          <w:rFonts w:ascii="Arial" w:hAnsi="Arial" w:cs="Arial"/>
          <w:b/>
          <w:bCs/>
          <w:color w:val="000000" w:themeColor="text1"/>
        </w:rPr>
        <w:t xml:space="preserve"> determination of oestrus cycle phase.</w:t>
      </w:r>
      <w:r w:rsidRPr="00E71FC5">
        <w:rPr>
          <w:rFonts w:ascii="Arial" w:hAnsi="Arial" w:cs="Arial"/>
          <w:b/>
          <w:bCs/>
          <w:color w:val="000000" w:themeColor="text1"/>
        </w:rPr>
        <w:t xml:space="preserve"> </w:t>
      </w:r>
      <w:r w:rsidRPr="0048777B">
        <w:rPr>
          <w:rFonts w:ascii="Arial" w:hAnsi="Arial" w:cs="Arial"/>
          <w:color w:val="000000" w:themeColor="text1"/>
        </w:rPr>
        <w:t>a-d: PAP-stained vaginal smears in different</w:t>
      </w:r>
      <w:r>
        <w:rPr>
          <w:rFonts w:ascii="Arial" w:hAnsi="Arial" w:cs="Arial"/>
          <w:color w:val="000000" w:themeColor="text1"/>
        </w:rPr>
        <w:t xml:space="preserve"> </w:t>
      </w:r>
      <w:r w:rsidRPr="0048777B">
        <w:rPr>
          <w:rFonts w:ascii="Arial" w:hAnsi="Arial" w:cs="Arial"/>
          <w:color w:val="000000" w:themeColor="text1"/>
        </w:rPr>
        <w:t xml:space="preserve">oestrus cycle stages. In PE mostly large intermediate and superficial cells can be seen (a). In E the majority of cells </w:t>
      </w:r>
      <w:r w:rsidRPr="005E5D60">
        <w:rPr>
          <w:rFonts w:ascii="Arial" w:hAnsi="Arial" w:cs="Arial"/>
          <w:noProof w:val="0"/>
          <w:color w:val="000000" w:themeColor="text1"/>
          <w:lang w:val="en-US"/>
        </w:rPr>
        <w:t>are</w:t>
      </w:r>
      <w:r w:rsidRPr="0048777B">
        <w:rPr>
          <w:rFonts w:ascii="Arial" w:hAnsi="Arial" w:cs="Arial"/>
          <w:noProof w:val="0"/>
          <w:color w:val="000000"/>
        </w:rPr>
        <w:t xml:space="preserve"> </w:t>
      </w:r>
      <w:r w:rsidRPr="0048777B">
        <w:rPr>
          <w:rFonts w:ascii="Arial" w:hAnsi="Arial" w:cs="Arial"/>
          <w:color w:val="202122"/>
        </w:rPr>
        <w:t>anuclear superficial cells (b). During the ME phase the number of neutrophylic granulocytes in the smear increases (c). In DE the superficial cells disappear and are replaced by parabasal and intermediate cells. e-h: Vaginal histology in different oestrus</w:t>
      </w:r>
      <w:r w:rsidRPr="0048777B">
        <w:rPr>
          <w:rFonts w:ascii="Arial" w:hAnsi="Arial" w:cs="Arial"/>
          <w:color w:val="000000" w:themeColor="text1"/>
        </w:rPr>
        <w:t xml:space="preserve"> cycle stages assessed by PAP-staining. During PE the vaginal epithelium starts partial squamification (e) which reaches it</w:t>
      </w:r>
      <w:r w:rsidR="00E157C9">
        <w:rPr>
          <w:rFonts w:ascii="Arial" w:hAnsi="Arial" w:cs="Arial"/>
          <w:color w:val="000000" w:themeColor="text1"/>
        </w:rPr>
        <w:t>s</w:t>
      </w:r>
      <w:r w:rsidRPr="0048777B">
        <w:rPr>
          <w:rFonts w:ascii="Arial" w:hAnsi="Arial" w:cs="Arial"/>
          <w:color w:val="000000" w:themeColor="text1"/>
        </w:rPr>
        <w:t xml:space="preserve"> maximum during E (f). With the onset of ME the squamified cell layer is lost and polymorphic leukocyte transmigration becomes evident (g). During DE mucus-secreting luminal cells become evident. i-l: Ovarian</w:t>
      </w:r>
      <w:r w:rsidRPr="00E71FC5">
        <w:rPr>
          <w:rFonts w:ascii="Arial" w:hAnsi="Arial" w:cs="Arial"/>
          <w:b/>
          <w:bCs/>
          <w:color w:val="000000" w:themeColor="text1"/>
        </w:rPr>
        <w:t xml:space="preserve"> </w:t>
      </w:r>
      <w:r w:rsidRPr="00E71FC5">
        <w:rPr>
          <w:rFonts w:ascii="Arial" w:hAnsi="Arial" w:cs="Arial"/>
          <w:color w:val="202122"/>
        </w:rPr>
        <w:t>histology in different</w:t>
      </w:r>
      <w:r>
        <w:rPr>
          <w:rFonts w:ascii="Arial" w:hAnsi="Arial" w:cs="Arial"/>
          <w:color w:val="202122"/>
        </w:rPr>
        <w:t xml:space="preserve"> oestrus</w:t>
      </w:r>
      <w:r w:rsidRPr="00E71FC5">
        <w:rPr>
          <w:rFonts w:ascii="Arial" w:hAnsi="Arial" w:cs="Arial"/>
          <w:color w:val="000000" w:themeColor="text1"/>
        </w:rPr>
        <w:t xml:space="preserve"> cycle stages assessed by Azan staining. The ovary in the PE is characterised by the presence of the corpus luteus, vacuolization and the presence of fibrous tissue (i). In the E and ME degenerated corpus luteus can be visualised (j and k). In DE a large corpus luteum is observed as well with the fibrotic tissue. </w:t>
      </w:r>
      <w:r w:rsidRPr="00E71FC5">
        <w:rPr>
          <w:rFonts w:ascii="Arial" w:hAnsi="Arial" w:cs="Arial"/>
          <w:lang w:val="en-GB"/>
        </w:rPr>
        <w:t>PE, Proestrus; E,</w:t>
      </w:r>
      <w:r>
        <w:rPr>
          <w:rFonts w:ascii="Arial" w:hAnsi="Arial" w:cs="Arial"/>
          <w:lang w:val="en-GB"/>
        </w:rPr>
        <w:t xml:space="preserve"> oestrus</w:t>
      </w:r>
      <w:r w:rsidRPr="00E71FC5">
        <w:rPr>
          <w:rFonts w:ascii="Arial" w:hAnsi="Arial" w:cs="Arial"/>
          <w:lang w:val="en-GB"/>
        </w:rPr>
        <w:t>; ME, Metestrus; DE, Diestrus</w:t>
      </w:r>
      <w:r>
        <w:rPr>
          <w:rFonts w:ascii="Arial" w:hAnsi="Arial" w:cs="Arial"/>
          <w:color w:val="000000" w:themeColor="text1"/>
        </w:rPr>
        <w:br w:type="page"/>
      </w:r>
    </w:p>
    <w:p w14:paraId="69F41D9A" w14:textId="77777777" w:rsidR="00B74072" w:rsidRDefault="00B74072" w:rsidP="008B4446">
      <w:pPr>
        <w:pStyle w:val="EndNoteBibliography"/>
        <w:adjustRightInd w:val="0"/>
        <w:snapToGrid w:val="0"/>
        <w:spacing w:line="360" w:lineRule="auto"/>
        <w:jc w:val="center"/>
        <w:rPr>
          <w:rFonts w:ascii="Arial" w:hAnsi="Arial" w:cs="Arial"/>
          <w:noProof w:val="0"/>
          <w:sz w:val="20"/>
          <w:szCs w:val="20"/>
          <w:lang w:val="en-GB"/>
        </w:rPr>
      </w:pPr>
    </w:p>
    <w:p w14:paraId="50B4BD2E" w14:textId="15D00FA0" w:rsidR="008B4446" w:rsidRPr="00E71FC5" w:rsidRDefault="00B74072" w:rsidP="008B4446">
      <w:pPr>
        <w:pStyle w:val="EndNoteBibliography"/>
        <w:adjustRightInd w:val="0"/>
        <w:snapToGrid w:val="0"/>
        <w:spacing w:line="360" w:lineRule="auto"/>
        <w:jc w:val="center"/>
        <w:rPr>
          <w:rFonts w:ascii="Arial" w:hAnsi="Arial" w:cs="Arial"/>
          <w:noProof w:val="0"/>
          <w:sz w:val="20"/>
          <w:szCs w:val="20"/>
          <w:lang w:val="en-GB"/>
        </w:rPr>
      </w:pPr>
      <w:r>
        <w:rPr>
          <w:rFonts w:ascii="Arial" w:hAnsi="Arial" w:cs="Arial"/>
          <w:b/>
          <w:lang w:val="en-GB"/>
          <w14:ligatures w14:val="standardContextual"/>
        </w:rPr>
        <w:drawing>
          <wp:inline distT="0" distB="0" distL="0" distR="0" wp14:anchorId="4C44D717" wp14:editId="4ED32F19">
            <wp:extent cx="5759450" cy="2682240"/>
            <wp:effectExtent l="0" t="0" r="6350" b="0"/>
            <wp:docPr id="1779027556" name="Grafik 2" descr="Ein Bild, das Text, Software, Multimedia-Software, Grafik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27245" name="Grafik 2" descr="Ein Bild, das Text, Software, Multimedia-Software, Grafiksoftware enthält.&#10;&#10;KI-generierte Inhalte können fehlerhaft sein."/>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2682240"/>
                    </a:xfrm>
                    <a:prstGeom prst="rect">
                      <a:avLst/>
                    </a:prstGeom>
                  </pic:spPr>
                </pic:pic>
              </a:graphicData>
            </a:graphic>
          </wp:inline>
        </w:drawing>
      </w:r>
    </w:p>
    <w:p w14:paraId="40CA7A95" w14:textId="26953980" w:rsidR="008B4446" w:rsidRPr="005F60C1" w:rsidRDefault="008B4446" w:rsidP="008B4446">
      <w:pPr>
        <w:pStyle w:val="EndNoteBibliography"/>
        <w:adjustRightInd w:val="0"/>
        <w:snapToGrid w:val="0"/>
        <w:spacing w:line="360" w:lineRule="auto"/>
        <w:jc w:val="both"/>
        <w:rPr>
          <w:rFonts w:ascii="Arial" w:hAnsi="Arial" w:cs="Arial"/>
          <w:noProof w:val="0"/>
          <w:lang w:val="en-GB"/>
        </w:rPr>
      </w:pPr>
      <w:r w:rsidRPr="005F60C1">
        <w:rPr>
          <w:rFonts w:ascii="Arial" w:hAnsi="Arial" w:cs="Arial"/>
          <w:b/>
          <w:noProof w:val="0"/>
          <w:lang w:val="en-GB"/>
        </w:rPr>
        <w:t xml:space="preserve">Fig. S2 Selection of the oocyte region of interest (ROI) in </w:t>
      </w:r>
      <w:proofErr w:type="spellStart"/>
      <w:r w:rsidRPr="005F60C1">
        <w:rPr>
          <w:rFonts w:ascii="Arial" w:hAnsi="Arial" w:cs="Arial"/>
          <w:b/>
          <w:noProof w:val="0"/>
          <w:lang w:val="en-GB"/>
        </w:rPr>
        <w:t>imageJ</w:t>
      </w:r>
      <w:proofErr w:type="spellEnd"/>
      <w:r w:rsidRPr="005F60C1">
        <w:rPr>
          <w:rFonts w:ascii="Arial" w:hAnsi="Arial" w:cs="Arial"/>
          <w:b/>
          <w:noProof w:val="0"/>
          <w:lang w:val="en-GB"/>
        </w:rPr>
        <w:t xml:space="preserve">. </w:t>
      </w:r>
      <w:r w:rsidRPr="005F60C1">
        <w:rPr>
          <w:rFonts w:ascii="Arial" w:hAnsi="Arial" w:cs="Arial"/>
          <w:noProof w:val="0"/>
          <w:lang w:val="en-GB"/>
        </w:rPr>
        <w:t xml:space="preserve">After labelling of the oocyte area with a circle (see </w:t>
      </w:r>
      <w:r w:rsidR="003B7D9F" w:rsidRPr="005F60C1">
        <w:rPr>
          <w:rFonts w:ascii="Arial" w:hAnsi="Arial" w:cs="Arial"/>
          <w:noProof w:val="0"/>
          <w:lang w:val="en-GB"/>
        </w:rPr>
        <w:t>the</w:t>
      </w:r>
      <w:r w:rsidRPr="005F60C1">
        <w:rPr>
          <w:rFonts w:ascii="Arial" w:hAnsi="Arial" w:cs="Arial"/>
          <w:noProof w:val="0"/>
          <w:lang w:val="en-GB"/>
        </w:rPr>
        <w:t xml:space="preserve"> window</w:t>
      </w:r>
      <w:r w:rsidR="003B7D9F" w:rsidRPr="005F60C1">
        <w:rPr>
          <w:rFonts w:ascii="Arial" w:hAnsi="Arial" w:cs="Arial"/>
          <w:noProof w:val="0"/>
          <w:lang w:val="en-GB"/>
        </w:rPr>
        <w:t xml:space="preserve"> named</w:t>
      </w:r>
      <w:r w:rsidRPr="005F60C1">
        <w:rPr>
          <w:rFonts w:ascii="Arial" w:hAnsi="Arial" w:cs="Arial"/>
          <w:noProof w:val="0"/>
          <w:lang w:val="en-GB"/>
        </w:rPr>
        <w:t xml:space="preserve"> </w:t>
      </w:r>
      <w:r w:rsidR="003B7D9F" w:rsidRPr="005F60C1">
        <w:rPr>
          <w:rFonts w:ascii="Arial" w:hAnsi="Arial" w:cs="Arial"/>
          <w:noProof w:val="0"/>
          <w:lang w:val="en-GB"/>
        </w:rPr>
        <w:t>“</w:t>
      </w:r>
      <w:r w:rsidRPr="005F60C1">
        <w:rPr>
          <w:rFonts w:ascii="Arial" w:hAnsi="Arial" w:cs="Arial"/>
          <w:noProof w:val="0"/>
          <w:lang w:val="en-GB"/>
        </w:rPr>
        <w:t>ImageJ</w:t>
      </w:r>
      <w:r w:rsidR="003B7D9F" w:rsidRPr="005F60C1">
        <w:rPr>
          <w:rFonts w:ascii="Arial" w:hAnsi="Arial" w:cs="Arial"/>
          <w:noProof w:val="0"/>
          <w:lang w:val="en-GB"/>
        </w:rPr>
        <w:t>”</w:t>
      </w:r>
      <w:r w:rsidRPr="005F60C1">
        <w:rPr>
          <w:rFonts w:ascii="Arial" w:hAnsi="Arial" w:cs="Arial"/>
          <w:noProof w:val="0"/>
          <w:lang w:val="en-GB"/>
        </w:rPr>
        <w:t>) and defining the threshold values (</w:t>
      </w:r>
      <w:r w:rsidR="00E9144F" w:rsidRPr="005F60C1">
        <w:rPr>
          <w:rFonts w:ascii="Arial" w:hAnsi="Arial" w:cs="Arial"/>
          <w:noProof w:val="0"/>
          <w:lang w:val="en-GB"/>
        </w:rPr>
        <w:t>see the window named “</w:t>
      </w:r>
      <w:proofErr w:type="spellStart"/>
      <w:r w:rsidRPr="005F60C1">
        <w:rPr>
          <w:rFonts w:ascii="Arial" w:hAnsi="Arial" w:cs="Arial"/>
          <w:noProof w:val="0"/>
          <w:lang w:val="en-GB"/>
        </w:rPr>
        <w:t>Threshhold</w:t>
      </w:r>
      <w:proofErr w:type="spellEnd"/>
      <w:r w:rsidR="00E9144F" w:rsidRPr="005F60C1">
        <w:rPr>
          <w:rFonts w:ascii="Arial" w:hAnsi="Arial" w:cs="Arial"/>
          <w:noProof w:val="0"/>
          <w:lang w:val="en-GB"/>
        </w:rPr>
        <w:t>”</w:t>
      </w:r>
      <w:r w:rsidRPr="005F60C1">
        <w:rPr>
          <w:rFonts w:ascii="Arial" w:hAnsi="Arial" w:cs="Arial"/>
          <w:noProof w:val="0"/>
          <w:lang w:val="en-GB"/>
        </w:rPr>
        <w:t>) the % area of the fluorescent signals (</w:t>
      </w:r>
      <w:r w:rsidR="00E175D7" w:rsidRPr="005F60C1">
        <w:rPr>
          <w:rFonts w:ascii="Arial" w:hAnsi="Arial" w:cs="Arial"/>
          <w:noProof w:val="0"/>
          <w:lang w:val="en-GB"/>
        </w:rPr>
        <w:t>see the window named “</w:t>
      </w:r>
      <w:r w:rsidRPr="005F60C1">
        <w:rPr>
          <w:rFonts w:ascii="Arial" w:hAnsi="Arial" w:cs="Arial"/>
          <w:noProof w:val="0"/>
          <w:lang w:val="en-GB"/>
        </w:rPr>
        <w:t>Summary</w:t>
      </w:r>
      <w:r w:rsidR="00E175D7" w:rsidRPr="005F60C1">
        <w:rPr>
          <w:rFonts w:ascii="Arial" w:hAnsi="Arial" w:cs="Arial"/>
          <w:noProof w:val="0"/>
          <w:lang w:val="en-GB"/>
        </w:rPr>
        <w:t>”</w:t>
      </w:r>
      <w:r w:rsidRPr="005F60C1">
        <w:rPr>
          <w:rFonts w:ascii="Arial" w:hAnsi="Arial" w:cs="Arial"/>
          <w:noProof w:val="0"/>
          <w:lang w:val="en-GB"/>
        </w:rPr>
        <w:t>) was calculated by the ImageJ software program</w:t>
      </w:r>
    </w:p>
    <w:p w14:paraId="32CD7D0C" w14:textId="77777777" w:rsidR="008B4446" w:rsidRPr="005F60C1" w:rsidRDefault="008B4446" w:rsidP="008B4446">
      <w:pPr>
        <w:pStyle w:val="EndNoteBibliography"/>
        <w:adjustRightInd w:val="0"/>
        <w:snapToGrid w:val="0"/>
        <w:spacing w:line="360" w:lineRule="auto"/>
        <w:jc w:val="both"/>
        <w:rPr>
          <w:rFonts w:ascii="Arial" w:hAnsi="Arial" w:cs="Arial"/>
          <w:b/>
          <w:noProof w:val="0"/>
          <w:lang w:val="en-GB"/>
        </w:rPr>
      </w:pPr>
    </w:p>
    <w:p w14:paraId="104303D0" w14:textId="0FCE1788" w:rsidR="008B4446" w:rsidRPr="005F60C1" w:rsidRDefault="00B74072" w:rsidP="008B4446">
      <w:pPr>
        <w:pStyle w:val="EndNoteBibliography"/>
        <w:adjustRightInd w:val="0"/>
        <w:snapToGrid w:val="0"/>
        <w:spacing w:line="360" w:lineRule="auto"/>
        <w:jc w:val="center"/>
        <w:rPr>
          <w:rFonts w:ascii="Arial" w:hAnsi="Arial" w:cs="Arial"/>
          <w:noProof w:val="0"/>
          <w:color w:val="FF0000"/>
          <w:lang w:val="en-GB"/>
        </w:rPr>
      </w:pPr>
      <w:r w:rsidRPr="005F60C1">
        <w:rPr>
          <w:rFonts w:ascii="Arial" w:hAnsi="Arial" w:cs="Arial"/>
          <w:color w:val="FF0000"/>
          <w:lang w:val="en-GB"/>
          <w14:ligatures w14:val="standardContextual"/>
        </w:rPr>
        <w:drawing>
          <wp:inline distT="0" distB="0" distL="0" distR="0" wp14:anchorId="03469244" wp14:editId="52D19F25">
            <wp:extent cx="5759450" cy="2287270"/>
            <wp:effectExtent l="0" t="0" r="6350" b="0"/>
            <wp:docPr id="1805439807" name="Grafik 3" descr="Ein Bild, das Screenshot, Software, Multimedia-Software, Grafik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39807" name="Grafik 3" descr="Ein Bild, das Screenshot, Software, Multimedia-Software, Grafiksoftware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2287270"/>
                    </a:xfrm>
                    <a:prstGeom prst="rect">
                      <a:avLst/>
                    </a:prstGeom>
                  </pic:spPr>
                </pic:pic>
              </a:graphicData>
            </a:graphic>
          </wp:inline>
        </w:drawing>
      </w:r>
    </w:p>
    <w:p w14:paraId="75F5FCDB" w14:textId="736F3850" w:rsidR="008B4446" w:rsidRPr="005F60C1" w:rsidRDefault="008B4446" w:rsidP="008B4446">
      <w:pPr>
        <w:adjustRightInd w:val="0"/>
        <w:snapToGrid w:val="0"/>
        <w:spacing w:line="360" w:lineRule="auto"/>
        <w:jc w:val="both"/>
        <w:rPr>
          <w:rFonts w:ascii="Arial" w:hAnsi="Arial" w:cs="Arial"/>
        </w:rPr>
      </w:pPr>
      <w:r w:rsidRPr="005F60C1">
        <w:rPr>
          <w:rFonts w:ascii="Arial" w:hAnsi="Arial" w:cs="Arial"/>
          <w:b/>
        </w:rPr>
        <w:t xml:space="preserve">Fig. S3 Determination of tissue section thickness. </w:t>
      </w:r>
      <w:r w:rsidRPr="005F60C1">
        <w:rPr>
          <w:rFonts w:ascii="Arial" w:hAnsi="Arial" w:cs="Arial"/>
        </w:rPr>
        <w:t>After scanning a PEX14p labelled section in XZ-direction five different regions of interest were measured to calculate the thickness of the stained area in a paraffin section. The PEX14p labelling is shown in channel 1 in the right window in green, the nuclear staining in channel 2 in blue. The measured values at a given region of interest (ROI 1-5) are depicted in the two channels in the left window. The mean of 5 ROI values was calculated thereafter</w:t>
      </w:r>
    </w:p>
    <w:p w14:paraId="78F24388" w14:textId="77777777" w:rsidR="008B4446" w:rsidRPr="005F60C1" w:rsidRDefault="008B4446" w:rsidP="008B4446">
      <w:pPr>
        <w:adjustRightInd w:val="0"/>
        <w:snapToGrid w:val="0"/>
        <w:spacing w:line="360" w:lineRule="auto"/>
        <w:jc w:val="both"/>
        <w:rPr>
          <w:rFonts w:ascii="Arial" w:hAnsi="Arial" w:cs="Arial"/>
        </w:rPr>
      </w:pPr>
      <w:r w:rsidRPr="005F60C1">
        <w:rPr>
          <w:rFonts w:ascii="Arial" w:hAnsi="Arial" w:cs="Arial"/>
          <w:b/>
        </w:rPr>
        <w:br w:type="page"/>
      </w:r>
    </w:p>
    <w:p w14:paraId="0115C0DB" w14:textId="7A13C3EE" w:rsidR="008B4446" w:rsidRPr="005F60C1" w:rsidRDefault="00B74072" w:rsidP="008B4446">
      <w:pPr>
        <w:spacing w:line="360" w:lineRule="auto"/>
        <w:jc w:val="center"/>
        <w:rPr>
          <w:rFonts w:ascii="Arial" w:hAnsi="Arial" w:cs="Arial"/>
          <w:b/>
          <w:bCs/>
        </w:rPr>
      </w:pPr>
      <w:r w:rsidRPr="005F60C1">
        <w:rPr>
          <w:rFonts w:ascii="Arial" w:hAnsi="Arial" w:cs="Arial"/>
          <w:b/>
          <w:bCs/>
          <w:noProof/>
        </w:rPr>
        <w:lastRenderedPageBreak/>
        <w:drawing>
          <wp:inline distT="0" distB="0" distL="0" distR="0" wp14:anchorId="2D053374" wp14:editId="69F76459">
            <wp:extent cx="5759450" cy="4696460"/>
            <wp:effectExtent l="0" t="0" r="6350" b="2540"/>
            <wp:docPr id="1651464743" name="Grafik 4" descr="Ein Bild, das Screenshot, Kug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64743" name="Grafik 4" descr="Ein Bild, das Screenshot, Kugel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696460"/>
                    </a:xfrm>
                    <a:prstGeom prst="rect">
                      <a:avLst/>
                    </a:prstGeom>
                  </pic:spPr>
                </pic:pic>
              </a:graphicData>
            </a:graphic>
          </wp:inline>
        </w:drawing>
      </w:r>
    </w:p>
    <w:p w14:paraId="3A943C32" w14:textId="77777777" w:rsidR="008B4446" w:rsidRPr="005F60C1" w:rsidRDefault="008B4446" w:rsidP="008B4446">
      <w:pPr>
        <w:spacing w:line="360" w:lineRule="auto"/>
        <w:jc w:val="both"/>
        <w:rPr>
          <w:rFonts w:ascii="Arial" w:hAnsi="Arial" w:cs="Arial"/>
        </w:rPr>
      </w:pPr>
      <w:r w:rsidRPr="005F60C1">
        <w:rPr>
          <w:rFonts w:ascii="Arial" w:hAnsi="Arial" w:cs="Arial"/>
          <w:b/>
          <w:bCs/>
        </w:rPr>
        <w:t>Fig. S4 Immunofluorescence analysis of peroxisomal enzymes in degenerating oocytes</w:t>
      </w:r>
      <w:r w:rsidRPr="005F60C1">
        <w:rPr>
          <w:rFonts w:ascii="Arial" w:hAnsi="Arial" w:cs="Arial"/>
        </w:rPr>
        <w:t>. a-d: The immunofluorescence analysis was performed using antibodies against PEX13p (a and b), PEX14p (c) and GNPAT (d). Abbr.: o, oocyte; gr, granulosa cells</w:t>
      </w:r>
    </w:p>
    <w:p w14:paraId="63D60B33" w14:textId="77777777" w:rsidR="008B4446" w:rsidRPr="005F60C1" w:rsidRDefault="008B4446" w:rsidP="008B4446">
      <w:pPr>
        <w:spacing w:line="360" w:lineRule="auto"/>
        <w:jc w:val="both"/>
        <w:rPr>
          <w:rFonts w:ascii="Arial" w:hAnsi="Arial" w:cs="Arial"/>
        </w:rPr>
      </w:pPr>
      <w:r w:rsidRPr="005F60C1">
        <w:rPr>
          <w:rFonts w:ascii="Arial" w:hAnsi="Arial" w:cs="Arial"/>
        </w:rPr>
        <w:br w:type="page"/>
      </w:r>
    </w:p>
    <w:p w14:paraId="2578A24F" w14:textId="2377772C" w:rsidR="008B4446" w:rsidRPr="005F60C1" w:rsidRDefault="00B74072" w:rsidP="008B4446">
      <w:pPr>
        <w:spacing w:line="360" w:lineRule="auto"/>
        <w:jc w:val="center"/>
        <w:rPr>
          <w:rFonts w:ascii="Arial" w:hAnsi="Arial" w:cs="Arial"/>
        </w:rPr>
      </w:pPr>
      <w:r w:rsidRPr="005F60C1">
        <w:rPr>
          <w:rFonts w:ascii="Arial" w:hAnsi="Arial" w:cs="Arial"/>
          <w:noProof/>
        </w:rPr>
        <w:lastRenderedPageBreak/>
        <w:drawing>
          <wp:inline distT="0" distB="0" distL="0" distR="0" wp14:anchorId="4D3EB1AF" wp14:editId="4E212E3B">
            <wp:extent cx="3594100" cy="1803400"/>
            <wp:effectExtent l="0" t="0" r="0" b="0"/>
            <wp:docPr id="2129436408" name="Grafik 6" descr="Ein Bild, das Screensho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36408" name="Grafik 6" descr="Ein Bild, das Screenshot, Kreis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4100" cy="1803400"/>
                    </a:xfrm>
                    <a:prstGeom prst="rect">
                      <a:avLst/>
                    </a:prstGeom>
                  </pic:spPr>
                </pic:pic>
              </a:graphicData>
            </a:graphic>
          </wp:inline>
        </w:drawing>
      </w:r>
    </w:p>
    <w:p w14:paraId="1FF77111" w14:textId="6857C781" w:rsidR="008B4446" w:rsidRDefault="008B4446" w:rsidP="008B4446">
      <w:pPr>
        <w:spacing w:line="360" w:lineRule="auto"/>
        <w:jc w:val="both"/>
        <w:rPr>
          <w:rFonts w:ascii="Arial" w:hAnsi="Arial" w:cs="Arial"/>
        </w:rPr>
      </w:pPr>
      <w:r w:rsidRPr="005F60C1">
        <w:rPr>
          <w:rFonts w:ascii="Arial" w:hAnsi="Arial" w:cs="Arial"/>
          <w:b/>
          <w:bCs/>
        </w:rPr>
        <w:t xml:space="preserve">Fig. S5 Immunofluorescence analysis of Cyc1 and Complex IV. </w:t>
      </w:r>
      <w:r w:rsidRPr="005F60C1">
        <w:rPr>
          <w:rFonts w:ascii="Arial" w:hAnsi="Arial" w:cs="Arial"/>
        </w:rPr>
        <w:t>a-b: Colocalization of the fluorescent signal of Cyc1 (green) and Complex</w:t>
      </w:r>
      <w:r w:rsidR="00163EB9" w:rsidRPr="005F60C1">
        <w:rPr>
          <w:rFonts w:ascii="Arial" w:hAnsi="Arial" w:cs="Arial"/>
        </w:rPr>
        <w:t xml:space="preserve"> </w:t>
      </w:r>
      <w:r w:rsidRPr="005F60C1">
        <w:rPr>
          <w:rFonts w:ascii="Arial" w:hAnsi="Arial" w:cs="Arial"/>
        </w:rPr>
        <w:t>IV (red) from the secondary (a) and tertiary (b) follicles shown in Fig 8e, f, I and j. Abbr.: o, oocyte; gr, granulosa cells; th, theca cells</w:t>
      </w:r>
    </w:p>
    <w:p w14:paraId="72B94DC6" w14:textId="77777777" w:rsidR="008B4446" w:rsidRPr="005E6FF0" w:rsidRDefault="008B4446" w:rsidP="008B4446">
      <w:pPr>
        <w:spacing w:after="200" w:line="276" w:lineRule="auto"/>
        <w:rPr>
          <w:rFonts w:ascii="Arial" w:hAnsi="Arial" w:cs="Arial"/>
        </w:rPr>
      </w:pPr>
    </w:p>
    <w:p w14:paraId="187107D9" w14:textId="77777777" w:rsidR="00BD0E2F" w:rsidRDefault="00BD0E2F"/>
    <w:sectPr w:rsidR="00BD0E2F" w:rsidSect="008B4446">
      <w:pgSz w:w="11906" w:h="16838"/>
      <w:pgMar w:top="1418" w:right="1418" w:bottom="1134"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46"/>
    <w:rsid w:val="00045923"/>
    <w:rsid w:val="000B1C0F"/>
    <w:rsid w:val="000D125B"/>
    <w:rsid w:val="00163EB9"/>
    <w:rsid w:val="001829E4"/>
    <w:rsid w:val="00183090"/>
    <w:rsid w:val="0020216C"/>
    <w:rsid w:val="003B7D9F"/>
    <w:rsid w:val="003C7048"/>
    <w:rsid w:val="004145BB"/>
    <w:rsid w:val="004D1BEE"/>
    <w:rsid w:val="00564F30"/>
    <w:rsid w:val="00591DA8"/>
    <w:rsid w:val="005E5D60"/>
    <w:rsid w:val="005F60C1"/>
    <w:rsid w:val="008009FF"/>
    <w:rsid w:val="00890EE3"/>
    <w:rsid w:val="008B4446"/>
    <w:rsid w:val="008F2B4C"/>
    <w:rsid w:val="00B17663"/>
    <w:rsid w:val="00B74072"/>
    <w:rsid w:val="00BA3D7E"/>
    <w:rsid w:val="00BD0E2F"/>
    <w:rsid w:val="00C13835"/>
    <w:rsid w:val="00C936D8"/>
    <w:rsid w:val="00D146B5"/>
    <w:rsid w:val="00D24B56"/>
    <w:rsid w:val="00DC18AD"/>
    <w:rsid w:val="00E157C9"/>
    <w:rsid w:val="00E175D7"/>
    <w:rsid w:val="00E901E8"/>
    <w:rsid w:val="00E9144F"/>
    <w:rsid w:val="00F83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2E93631"/>
  <w15:chartTrackingRefBased/>
  <w15:docId w15:val="{3A53CDE6-B672-EA4A-B605-05E42703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8B4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B4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B444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B444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B444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B444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B444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B444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B444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4446"/>
    <w:rPr>
      <w:rFonts w:asciiTheme="majorHAnsi" w:eastAsiaTheme="majorEastAsia" w:hAnsiTheme="majorHAnsi" w:cstheme="majorBidi"/>
      <w:color w:val="0F4761" w:themeColor="accent1" w:themeShade="BF"/>
      <w:sz w:val="40"/>
      <w:szCs w:val="40"/>
      <w:lang w:val="en-GB"/>
    </w:rPr>
  </w:style>
  <w:style w:type="character" w:customStyle="1" w:styleId="berschrift2Zchn">
    <w:name w:val="Überschrift 2 Zchn"/>
    <w:basedOn w:val="Absatz-Standardschriftart"/>
    <w:link w:val="berschrift2"/>
    <w:uiPriority w:val="9"/>
    <w:semiHidden/>
    <w:rsid w:val="008B4446"/>
    <w:rPr>
      <w:rFonts w:asciiTheme="majorHAnsi" w:eastAsiaTheme="majorEastAsia" w:hAnsiTheme="majorHAnsi" w:cstheme="majorBidi"/>
      <w:color w:val="0F4761" w:themeColor="accent1" w:themeShade="BF"/>
      <w:sz w:val="32"/>
      <w:szCs w:val="32"/>
      <w:lang w:val="en-GB"/>
    </w:rPr>
  </w:style>
  <w:style w:type="character" w:customStyle="1" w:styleId="berschrift3Zchn">
    <w:name w:val="Überschrift 3 Zchn"/>
    <w:basedOn w:val="Absatz-Standardschriftart"/>
    <w:link w:val="berschrift3"/>
    <w:uiPriority w:val="9"/>
    <w:semiHidden/>
    <w:rsid w:val="008B4446"/>
    <w:rPr>
      <w:rFonts w:eastAsiaTheme="majorEastAsia" w:cstheme="majorBidi"/>
      <w:color w:val="0F4761" w:themeColor="accent1" w:themeShade="BF"/>
      <w:sz w:val="28"/>
      <w:szCs w:val="28"/>
      <w:lang w:val="en-GB"/>
    </w:rPr>
  </w:style>
  <w:style w:type="character" w:customStyle="1" w:styleId="berschrift4Zchn">
    <w:name w:val="Überschrift 4 Zchn"/>
    <w:basedOn w:val="Absatz-Standardschriftart"/>
    <w:link w:val="berschrift4"/>
    <w:uiPriority w:val="9"/>
    <w:semiHidden/>
    <w:rsid w:val="008B4446"/>
    <w:rPr>
      <w:rFonts w:eastAsiaTheme="majorEastAsia" w:cstheme="majorBidi"/>
      <w:i/>
      <w:iCs/>
      <w:color w:val="0F4761" w:themeColor="accent1" w:themeShade="BF"/>
      <w:lang w:val="en-GB"/>
    </w:rPr>
  </w:style>
  <w:style w:type="character" w:customStyle="1" w:styleId="berschrift5Zchn">
    <w:name w:val="Überschrift 5 Zchn"/>
    <w:basedOn w:val="Absatz-Standardschriftart"/>
    <w:link w:val="berschrift5"/>
    <w:uiPriority w:val="9"/>
    <w:semiHidden/>
    <w:rsid w:val="008B4446"/>
    <w:rPr>
      <w:rFonts w:eastAsiaTheme="majorEastAsia" w:cstheme="majorBidi"/>
      <w:color w:val="0F4761" w:themeColor="accent1" w:themeShade="BF"/>
      <w:lang w:val="en-GB"/>
    </w:rPr>
  </w:style>
  <w:style w:type="character" w:customStyle="1" w:styleId="berschrift6Zchn">
    <w:name w:val="Überschrift 6 Zchn"/>
    <w:basedOn w:val="Absatz-Standardschriftart"/>
    <w:link w:val="berschrift6"/>
    <w:uiPriority w:val="9"/>
    <w:semiHidden/>
    <w:rsid w:val="008B4446"/>
    <w:rPr>
      <w:rFonts w:eastAsiaTheme="majorEastAsia" w:cstheme="majorBidi"/>
      <w:i/>
      <w:iCs/>
      <w:color w:val="595959" w:themeColor="text1" w:themeTint="A6"/>
      <w:lang w:val="en-GB"/>
    </w:rPr>
  </w:style>
  <w:style w:type="character" w:customStyle="1" w:styleId="berschrift7Zchn">
    <w:name w:val="Überschrift 7 Zchn"/>
    <w:basedOn w:val="Absatz-Standardschriftart"/>
    <w:link w:val="berschrift7"/>
    <w:uiPriority w:val="9"/>
    <w:semiHidden/>
    <w:rsid w:val="008B4446"/>
    <w:rPr>
      <w:rFonts w:eastAsiaTheme="majorEastAsia" w:cstheme="majorBidi"/>
      <w:color w:val="595959" w:themeColor="text1" w:themeTint="A6"/>
      <w:lang w:val="en-GB"/>
    </w:rPr>
  </w:style>
  <w:style w:type="character" w:customStyle="1" w:styleId="berschrift8Zchn">
    <w:name w:val="Überschrift 8 Zchn"/>
    <w:basedOn w:val="Absatz-Standardschriftart"/>
    <w:link w:val="berschrift8"/>
    <w:uiPriority w:val="9"/>
    <w:semiHidden/>
    <w:rsid w:val="008B4446"/>
    <w:rPr>
      <w:rFonts w:eastAsiaTheme="majorEastAsia" w:cstheme="majorBidi"/>
      <w:i/>
      <w:iCs/>
      <w:color w:val="272727" w:themeColor="text1" w:themeTint="D8"/>
      <w:lang w:val="en-GB"/>
    </w:rPr>
  </w:style>
  <w:style w:type="character" w:customStyle="1" w:styleId="berschrift9Zchn">
    <w:name w:val="Überschrift 9 Zchn"/>
    <w:basedOn w:val="Absatz-Standardschriftart"/>
    <w:link w:val="berschrift9"/>
    <w:uiPriority w:val="9"/>
    <w:semiHidden/>
    <w:rsid w:val="008B4446"/>
    <w:rPr>
      <w:rFonts w:eastAsiaTheme="majorEastAsia" w:cstheme="majorBidi"/>
      <w:color w:val="272727" w:themeColor="text1" w:themeTint="D8"/>
      <w:lang w:val="en-GB"/>
    </w:rPr>
  </w:style>
  <w:style w:type="paragraph" w:styleId="Titel">
    <w:name w:val="Title"/>
    <w:basedOn w:val="Standard"/>
    <w:next w:val="Standard"/>
    <w:link w:val="TitelZchn"/>
    <w:uiPriority w:val="10"/>
    <w:qFormat/>
    <w:rsid w:val="008B444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B4446"/>
    <w:rPr>
      <w:rFonts w:asciiTheme="majorHAnsi" w:eastAsiaTheme="majorEastAsia" w:hAnsiTheme="majorHAnsi" w:cstheme="majorBidi"/>
      <w:spacing w:val="-10"/>
      <w:kern w:val="28"/>
      <w:sz w:val="56"/>
      <w:szCs w:val="56"/>
      <w:lang w:val="en-GB"/>
    </w:rPr>
  </w:style>
  <w:style w:type="paragraph" w:styleId="Untertitel">
    <w:name w:val="Subtitle"/>
    <w:basedOn w:val="Standard"/>
    <w:next w:val="Standard"/>
    <w:link w:val="UntertitelZchn"/>
    <w:uiPriority w:val="11"/>
    <w:qFormat/>
    <w:rsid w:val="008B444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B4446"/>
    <w:rPr>
      <w:rFonts w:eastAsiaTheme="majorEastAsia" w:cstheme="majorBidi"/>
      <w:color w:val="595959" w:themeColor="text1" w:themeTint="A6"/>
      <w:spacing w:val="15"/>
      <w:sz w:val="28"/>
      <w:szCs w:val="28"/>
      <w:lang w:val="en-GB"/>
    </w:rPr>
  </w:style>
  <w:style w:type="paragraph" w:styleId="Zitat">
    <w:name w:val="Quote"/>
    <w:basedOn w:val="Standard"/>
    <w:next w:val="Standard"/>
    <w:link w:val="ZitatZchn"/>
    <w:uiPriority w:val="29"/>
    <w:qFormat/>
    <w:rsid w:val="008B444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B4446"/>
    <w:rPr>
      <w:i/>
      <w:iCs/>
      <w:color w:val="404040" w:themeColor="text1" w:themeTint="BF"/>
      <w:lang w:val="en-GB"/>
    </w:rPr>
  </w:style>
  <w:style w:type="paragraph" w:styleId="Listenabsatz">
    <w:name w:val="List Paragraph"/>
    <w:basedOn w:val="Standard"/>
    <w:uiPriority w:val="34"/>
    <w:qFormat/>
    <w:rsid w:val="008B4446"/>
    <w:pPr>
      <w:ind w:left="720"/>
      <w:contextualSpacing/>
    </w:pPr>
  </w:style>
  <w:style w:type="character" w:styleId="IntensiveHervorhebung">
    <w:name w:val="Intense Emphasis"/>
    <w:basedOn w:val="Absatz-Standardschriftart"/>
    <w:uiPriority w:val="21"/>
    <w:qFormat/>
    <w:rsid w:val="008B4446"/>
    <w:rPr>
      <w:i/>
      <w:iCs/>
      <w:color w:val="0F4761" w:themeColor="accent1" w:themeShade="BF"/>
    </w:rPr>
  </w:style>
  <w:style w:type="paragraph" w:styleId="IntensivesZitat">
    <w:name w:val="Intense Quote"/>
    <w:basedOn w:val="Standard"/>
    <w:next w:val="Standard"/>
    <w:link w:val="IntensivesZitatZchn"/>
    <w:uiPriority w:val="30"/>
    <w:qFormat/>
    <w:rsid w:val="008B4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B4446"/>
    <w:rPr>
      <w:i/>
      <w:iCs/>
      <w:color w:val="0F4761" w:themeColor="accent1" w:themeShade="BF"/>
      <w:lang w:val="en-GB"/>
    </w:rPr>
  </w:style>
  <w:style w:type="character" w:styleId="IntensiverVerweis">
    <w:name w:val="Intense Reference"/>
    <w:basedOn w:val="Absatz-Standardschriftart"/>
    <w:uiPriority w:val="32"/>
    <w:qFormat/>
    <w:rsid w:val="008B4446"/>
    <w:rPr>
      <w:b/>
      <w:bCs/>
      <w:smallCaps/>
      <w:color w:val="0F4761" w:themeColor="accent1" w:themeShade="BF"/>
      <w:spacing w:val="5"/>
    </w:rPr>
  </w:style>
  <w:style w:type="paragraph" w:customStyle="1" w:styleId="EndNoteBibliography">
    <w:name w:val="EndNote Bibliography"/>
    <w:basedOn w:val="Standard"/>
    <w:link w:val="EndNoteBibliographyZchn"/>
    <w:rsid w:val="008B4446"/>
    <w:rPr>
      <w:rFonts w:ascii="Calibri" w:eastAsia="Times New Roman" w:hAnsi="Calibri" w:cs="Times New Roman"/>
      <w:noProof/>
      <w:kern w:val="0"/>
      <w:lang w:val="de-DE" w:eastAsia="de-DE"/>
      <w14:ligatures w14:val="none"/>
    </w:rPr>
  </w:style>
  <w:style w:type="character" w:customStyle="1" w:styleId="EndNoteBibliographyZchn">
    <w:name w:val="EndNote Bibliography Zchn"/>
    <w:basedOn w:val="Absatz-Standardschriftart"/>
    <w:link w:val="EndNoteBibliography"/>
    <w:rsid w:val="008B4446"/>
    <w:rPr>
      <w:rFonts w:ascii="Calibri" w:eastAsia="Times New Roman" w:hAnsi="Calibri" w:cs="Times New Roman"/>
      <w:noProof/>
      <w:kern w:val="0"/>
      <w:lang w:eastAsia="de-DE"/>
      <w14:ligatures w14:val="none"/>
    </w:rPr>
  </w:style>
  <w:style w:type="character" w:styleId="Zeilennummer">
    <w:name w:val="line number"/>
    <w:basedOn w:val="Absatz-Standardschriftart"/>
    <w:uiPriority w:val="99"/>
    <w:semiHidden/>
    <w:unhideWhenUsed/>
    <w:rsid w:val="008B4446"/>
  </w:style>
  <w:style w:type="character" w:styleId="Hyperlink">
    <w:name w:val="Hyperlink"/>
    <w:basedOn w:val="Absatz-Standardschriftart"/>
    <w:uiPriority w:val="99"/>
    <w:unhideWhenUsed/>
    <w:rsid w:val="008B4446"/>
    <w:rPr>
      <w:color w:val="467886" w:themeColor="hyperlink"/>
      <w:u w:val="single"/>
    </w:rPr>
  </w:style>
  <w:style w:type="paragraph" w:styleId="berarbeitung">
    <w:name w:val="Revision"/>
    <w:hidden/>
    <w:uiPriority w:val="99"/>
    <w:semiHidden/>
    <w:rsid w:val="00B7407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webSettings" Target="webSettings.xml"/><Relationship Id="rId7" Type="http://schemas.openxmlformats.org/officeDocument/2006/relationships/image" Target="media/image3.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mailto:Eveline.Baumgart-Vogt@anatomie.med.uni-giessen.de" TargetMode="External"/><Relationship Id="rId9" Type="http://schemas.openxmlformats.org/officeDocument/2006/relationships/image" Target="media/image5.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1745</Words>
  <Characters>10998</Characters>
  <Application>Microsoft Office Word</Application>
  <DocSecurity>0</DocSecurity>
  <Lines>91</Lines>
  <Paragraphs>25</Paragraphs>
  <ScaleCrop>false</ScaleCrop>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Colasante</dc:creator>
  <cp:keywords/>
  <dc:description/>
  <cp:lastModifiedBy>Claudia Colasante</cp:lastModifiedBy>
  <cp:revision>22</cp:revision>
  <dcterms:created xsi:type="dcterms:W3CDTF">2025-07-17T11:14:00Z</dcterms:created>
  <dcterms:modified xsi:type="dcterms:W3CDTF">2025-10-26T14:17:00Z</dcterms:modified>
</cp:coreProperties>
</file>