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8DF97" w14:textId="48D1FDC2" w:rsidR="00E41E45" w:rsidRDefault="007F58AD" w:rsidP="00E41E45">
      <w:pPr>
        <w:rPr>
          <w:b/>
          <w:color w:val="000000" w:themeColor="text1"/>
        </w:rPr>
      </w:pPr>
      <w:r>
        <w:rPr>
          <w:b/>
          <w:color w:val="000000" w:themeColor="text1"/>
        </w:rPr>
        <w:t xml:space="preserve">Electronic </w:t>
      </w:r>
      <w:r w:rsidR="00E41E45" w:rsidRPr="00B90ACB">
        <w:rPr>
          <w:b/>
          <w:color w:val="000000" w:themeColor="text1"/>
        </w:rPr>
        <w:t xml:space="preserve">Supplementary </w:t>
      </w:r>
      <w:r>
        <w:rPr>
          <w:b/>
          <w:color w:val="000000" w:themeColor="text1"/>
        </w:rPr>
        <w:t>Material</w:t>
      </w:r>
    </w:p>
    <w:p w14:paraId="36567754" w14:textId="77777777" w:rsidR="00E41E45" w:rsidRDefault="00E41E45" w:rsidP="00E41E45">
      <w:pPr>
        <w:rPr>
          <w:b/>
          <w:color w:val="000000" w:themeColor="text1"/>
        </w:rPr>
      </w:pPr>
      <w:r>
        <w:rPr>
          <w:b/>
          <w:color w:val="000000" w:themeColor="text1"/>
        </w:rPr>
        <w:t>body mass data collection</w:t>
      </w:r>
    </w:p>
    <w:p w14:paraId="2E2C9254" w14:textId="77777777" w:rsidR="00E41E45" w:rsidRPr="00B90ACB" w:rsidRDefault="00E41E45" w:rsidP="00E41E45">
      <w:pPr>
        <w:rPr>
          <w:b/>
          <w:color w:val="000000" w:themeColor="text1"/>
        </w:rPr>
      </w:pPr>
      <w:r w:rsidRPr="00B90ACB">
        <w:rPr>
          <w:color w:val="000000" w:themeColor="text1"/>
        </w:rPr>
        <w:t xml:space="preserve">Depending on the time of year, geese were caught 1) with </w:t>
      </w:r>
      <w:r>
        <w:rPr>
          <w:color w:val="000000" w:themeColor="text1"/>
        </w:rPr>
        <w:t>spring traps</w:t>
      </w:r>
      <w:r w:rsidRPr="00B90ACB">
        <w:rPr>
          <w:color w:val="000000" w:themeColor="text1"/>
        </w:rPr>
        <w:t xml:space="preserve"> on the nest in the breeding period (Netherlands and Russia); 2) by driving geese in a catching pen during the flightless period of post-breeding wing-moult (Netherlands and Russia) or 3) by using canon- or </w:t>
      </w:r>
      <w:r>
        <w:rPr>
          <w:color w:val="000000" w:themeColor="text1"/>
        </w:rPr>
        <w:t>whoosh</w:t>
      </w:r>
      <w:r w:rsidRPr="00B90ACB">
        <w:rPr>
          <w:color w:val="000000" w:themeColor="text1"/>
        </w:rPr>
        <w:t xml:space="preserve"> nets (winter and spring, in the Netherlands, Germany, Denmark and Sweden). During these catches, geese were measured (head length, tarsus length, wing length), and body mass was recorded to the nearest 10 g. In addition to body mass collected from </w:t>
      </w:r>
      <w:r w:rsidRPr="00EE1A47">
        <w:rPr>
          <w:color w:val="000000" w:themeColor="text1"/>
        </w:rPr>
        <w:t>captures (n=3179), a</w:t>
      </w:r>
      <w:r>
        <w:rPr>
          <w:color w:val="000000" w:themeColor="text1"/>
        </w:rPr>
        <w:t xml:space="preserve"> further 316</w:t>
      </w:r>
      <w:r w:rsidRPr="00B90ACB">
        <w:rPr>
          <w:color w:val="000000" w:themeColor="text1"/>
        </w:rPr>
        <w:t xml:space="preserve"> birds that were shot in spring and autumn (in 2003</w:t>
      </w:r>
      <w:r>
        <w:rPr>
          <w:color w:val="000000" w:themeColor="text1"/>
        </w:rPr>
        <w:t>-</w:t>
      </w:r>
      <w:r w:rsidRPr="00B90ACB">
        <w:rPr>
          <w:color w:val="000000" w:themeColor="text1"/>
        </w:rPr>
        <w:t xml:space="preserve">2004 and 2014-2018) during regular hunting activities were measured and weighed. Geese captured or shot in the </w:t>
      </w:r>
      <w:r>
        <w:rPr>
          <w:color w:val="000000" w:themeColor="text1"/>
        </w:rPr>
        <w:t>SW</w:t>
      </w:r>
      <w:r w:rsidRPr="00B90ACB">
        <w:rPr>
          <w:color w:val="000000" w:themeColor="text1"/>
        </w:rPr>
        <w:t xml:space="preserve"> part of the Netherlands</w:t>
      </w:r>
      <w:r>
        <w:rPr>
          <w:color w:val="000000" w:themeColor="text1"/>
        </w:rPr>
        <w:t xml:space="preserve"> (SW of the line between Rotterdam and Tilburg)</w:t>
      </w:r>
      <w:r w:rsidRPr="00B90ACB">
        <w:rPr>
          <w:color w:val="000000" w:themeColor="text1"/>
        </w:rPr>
        <w:t xml:space="preserve"> were considered to belong to the resident population, as well as all geese caught in the Netherlands in July. </w:t>
      </w:r>
      <w:r>
        <w:rPr>
          <w:color w:val="000000" w:themeColor="text1"/>
        </w:rPr>
        <w:t xml:space="preserve">Geese shot North of the city of Zwolle were considered to belong to the migratory population. </w:t>
      </w:r>
      <w:r w:rsidRPr="00B90ACB">
        <w:rPr>
          <w:color w:val="000000" w:themeColor="text1"/>
        </w:rPr>
        <w:t xml:space="preserve">During the winter months (December, January, February, March) when wintering distributions overlap, </w:t>
      </w:r>
      <w:r>
        <w:rPr>
          <w:color w:val="000000" w:themeColor="text1"/>
        </w:rPr>
        <w:t>over 45</w:t>
      </w:r>
      <w:r w:rsidRPr="00B90ACB">
        <w:rPr>
          <w:color w:val="000000" w:themeColor="text1"/>
        </w:rPr>
        <w:t xml:space="preserve">% of the geese present in the </w:t>
      </w:r>
      <w:r>
        <w:rPr>
          <w:color w:val="000000" w:themeColor="text1"/>
        </w:rPr>
        <w:t>SW</w:t>
      </w:r>
      <w:r w:rsidRPr="00B90ACB">
        <w:rPr>
          <w:color w:val="000000" w:themeColor="text1"/>
        </w:rPr>
        <w:t xml:space="preserve"> part of the Netherlands are considered residents </w:t>
      </w:r>
      <w:r w:rsidRPr="00B90ACB">
        <w:rPr>
          <w:color w:val="000000" w:themeColor="text1"/>
        </w:rPr>
        <w:fldChar w:fldCharType="begin" w:fldLock="1"/>
      </w:r>
      <w:r>
        <w:rPr>
          <w:color w:val="000000" w:themeColor="text1"/>
        </w:rPr>
        <w:instrText>ADDIN CSL_CITATION {"citationItems":[{"id":"ITEM-1","itemData":{"author":[{"dropping-particle":"","family":"Fauna Beheer Eenheid Zuid-Holland","given":"","non-dropping-particle":"","parse-names":false,"suffix":""}],"id":"ITEM-1","issue":"November 2021","issued":{"date-parts":[["2021"]]},"number-of-pages":"108","title":"Faunabeheerplan ganzen Zuid-Holland 2022-2027","type":"report"},"uris":["http://www.mendeley.com/documents/?uuid=4f70ff7b-aa19-43d4-a1cc-855181a8c588"]}],"mendeley":{"formattedCitation":"(Fauna Beheer Eenheid Zuid-Holland, 2021)","plainTextFormattedCitation":"(Fauna Beheer Eenheid Zuid-Holland, 2021)","previouslyFormattedCitation":"(Fauna Beheer Eenheid Zuid-Holland, 2021)"},"properties":{"noteIndex":0},"schema":"https://github.com/citation-style-language/schema/raw/master/csl-citation.json"}</w:instrText>
      </w:r>
      <w:r w:rsidRPr="00B90ACB">
        <w:rPr>
          <w:color w:val="000000" w:themeColor="text1"/>
        </w:rPr>
        <w:fldChar w:fldCharType="separate"/>
      </w:r>
      <w:r w:rsidRPr="000B4F9A">
        <w:rPr>
          <w:noProof/>
          <w:color w:val="000000" w:themeColor="text1"/>
        </w:rPr>
        <w:t>(Fauna Beheer Eenheid Zuid-Holland, 2021)</w:t>
      </w:r>
      <w:r w:rsidRPr="00B90ACB">
        <w:rPr>
          <w:color w:val="000000" w:themeColor="text1"/>
        </w:rPr>
        <w:fldChar w:fldCharType="end"/>
      </w:r>
      <w:r>
        <w:rPr>
          <w:color w:val="000000" w:themeColor="text1"/>
        </w:rPr>
        <w:t xml:space="preserve">. During catches in winter in the SW part of the Netherlands we intentionally targeted groups with ringed resident birds to further increase the chance of capturing resident birds. Likewise, in the SW of the Netherlands we specifically weighed birds shot in the vicinity of the breeding grounds during regular hunting activities, which are most likely to belong to the local resident breeding population. Nonetheless, </w:t>
      </w:r>
      <w:r w:rsidRPr="00B90ACB">
        <w:rPr>
          <w:color w:val="000000" w:themeColor="text1"/>
        </w:rPr>
        <w:t xml:space="preserve">body mass patterns in </w:t>
      </w:r>
      <w:r>
        <w:rPr>
          <w:color w:val="000000" w:themeColor="text1"/>
        </w:rPr>
        <w:t>the winter</w:t>
      </w:r>
      <w:r w:rsidRPr="00B90ACB">
        <w:rPr>
          <w:color w:val="000000" w:themeColor="text1"/>
        </w:rPr>
        <w:t xml:space="preserve"> period should be interpreted with caution.</w:t>
      </w:r>
      <w:r>
        <w:rPr>
          <w:color w:val="000000" w:themeColor="text1"/>
        </w:rPr>
        <w:t xml:space="preserve"> </w:t>
      </w:r>
    </w:p>
    <w:p w14:paraId="7EF67EEC" w14:textId="3B0416C6" w:rsidR="00E41E45" w:rsidRPr="00F55C6A" w:rsidRDefault="004C5250" w:rsidP="00E41E45">
      <w:pPr>
        <w:pStyle w:val="Caption"/>
        <w:keepNext/>
        <w:rPr>
          <w:b/>
          <w:i w:val="0"/>
          <w:color w:val="000000" w:themeColor="text1"/>
          <w:sz w:val="22"/>
        </w:rPr>
      </w:pPr>
      <w:r>
        <w:rPr>
          <w:b/>
          <w:i w:val="0"/>
          <w:color w:val="000000" w:themeColor="text1"/>
          <w:sz w:val="22"/>
        </w:rPr>
        <w:br w:type="column"/>
      </w:r>
      <w:r w:rsidR="00E41E45" w:rsidRPr="00F55C6A">
        <w:rPr>
          <w:b/>
          <w:i w:val="0"/>
          <w:color w:val="000000" w:themeColor="text1"/>
          <w:sz w:val="22"/>
        </w:rPr>
        <w:lastRenderedPageBreak/>
        <w:t>Tables</w:t>
      </w:r>
    </w:p>
    <w:p w14:paraId="51701ED7" w14:textId="77777777" w:rsidR="00E41E45" w:rsidRPr="00B90ACB" w:rsidRDefault="00E41E45" w:rsidP="00E41E45">
      <w:pPr>
        <w:pStyle w:val="Caption"/>
        <w:keepNext/>
        <w:rPr>
          <w:color w:val="000000" w:themeColor="text1"/>
        </w:rPr>
      </w:pPr>
      <w:r w:rsidRPr="00B90ACB">
        <w:rPr>
          <w:color w:val="000000" w:themeColor="text1"/>
        </w:rPr>
        <w:t xml:space="preserve">Table S </w:t>
      </w:r>
      <w:r w:rsidRPr="00B90ACB">
        <w:rPr>
          <w:color w:val="000000" w:themeColor="text1"/>
        </w:rPr>
        <w:fldChar w:fldCharType="begin"/>
      </w:r>
      <w:r w:rsidRPr="00B90ACB">
        <w:rPr>
          <w:color w:val="000000" w:themeColor="text1"/>
        </w:rPr>
        <w:instrText xml:space="preserve"> SEQ Table_S \* ARABIC </w:instrText>
      </w:r>
      <w:r w:rsidRPr="00B90ACB">
        <w:rPr>
          <w:color w:val="000000" w:themeColor="text1"/>
        </w:rPr>
        <w:fldChar w:fldCharType="separate"/>
      </w:r>
      <w:r w:rsidRPr="00B90ACB">
        <w:rPr>
          <w:noProof/>
          <w:color w:val="000000" w:themeColor="text1"/>
        </w:rPr>
        <w:t>1</w:t>
      </w:r>
      <w:r w:rsidRPr="00B90ACB">
        <w:rPr>
          <w:color w:val="000000" w:themeColor="text1"/>
        </w:rPr>
        <w:fldChar w:fldCharType="end"/>
      </w:r>
      <w:r w:rsidRPr="00B90ACB">
        <w:rPr>
          <w:color w:val="000000" w:themeColor="text1"/>
        </w:rPr>
        <w:t xml:space="preserve">: Overview of the number of barnacle geese </w:t>
      </w:r>
      <w:r>
        <w:rPr>
          <w:color w:val="000000" w:themeColor="text1"/>
        </w:rPr>
        <w:t xml:space="preserve">equipped </w:t>
      </w:r>
      <w:r w:rsidRPr="00B90ACB">
        <w:rPr>
          <w:color w:val="000000" w:themeColor="text1"/>
        </w:rPr>
        <w:t>with transmitters of the 4 different types (A, B, C and D</w:t>
      </w:r>
      <w:r>
        <w:rPr>
          <w:color w:val="000000" w:themeColor="text1"/>
        </w:rPr>
        <w:t>, see main text</w:t>
      </w:r>
      <w:r w:rsidRPr="00B90ACB">
        <w:rPr>
          <w:color w:val="000000" w:themeColor="text1"/>
        </w:rPr>
        <w:t>) over the study period</w:t>
      </w:r>
      <w:r>
        <w:rPr>
          <w:color w:val="000000" w:themeColor="text1"/>
        </w:rPr>
        <w:t xml:space="preserve"> from 2014 to 2020</w:t>
      </w:r>
      <w:r w:rsidRPr="00B90ACB">
        <w:rPr>
          <w:color w:val="000000" w:themeColor="text1"/>
        </w:rPr>
        <w:t>.</w:t>
      </w:r>
    </w:p>
    <w:tbl>
      <w:tblPr>
        <w:tblW w:w="7513" w:type="dxa"/>
        <w:tblCellMar>
          <w:left w:w="70" w:type="dxa"/>
          <w:right w:w="70" w:type="dxa"/>
        </w:tblCellMar>
        <w:tblLook w:val="04A0" w:firstRow="1" w:lastRow="0" w:firstColumn="1" w:lastColumn="0" w:noHBand="0" w:noVBand="1"/>
      </w:tblPr>
      <w:tblGrid>
        <w:gridCol w:w="960"/>
        <w:gridCol w:w="883"/>
        <w:gridCol w:w="851"/>
        <w:gridCol w:w="850"/>
        <w:gridCol w:w="851"/>
        <w:gridCol w:w="607"/>
        <w:gridCol w:w="160"/>
        <w:gridCol w:w="792"/>
        <w:gridCol w:w="850"/>
        <w:gridCol w:w="709"/>
      </w:tblGrid>
      <w:tr w:rsidR="00E41E45" w:rsidRPr="00B90ACB" w14:paraId="45288BEC" w14:textId="77777777" w:rsidTr="009430A3">
        <w:trPr>
          <w:trHeight w:val="300"/>
        </w:trPr>
        <w:tc>
          <w:tcPr>
            <w:tcW w:w="960" w:type="dxa"/>
            <w:tcBorders>
              <w:top w:val="nil"/>
              <w:left w:val="nil"/>
              <w:right w:val="nil"/>
            </w:tcBorders>
            <w:shd w:val="clear" w:color="auto" w:fill="auto"/>
            <w:noWrap/>
            <w:vAlign w:val="center"/>
            <w:hideMark/>
          </w:tcPr>
          <w:p w14:paraId="555C08BA" w14:textId="77777777" w:rsidR="00E41E45" w:rsidRPr="00B90ACB" w:rsidRDefault="00E41E45" w:rsidP="009430A3">
            <w:pPr>
              <w:spacing w:after="0" w:line="240" w:lineRule="auto"/>
              <w:jc w:val="center"/>
              <w:rPr>
                <w:rFonts w:ascii="Calibri" w:eastAsia="Times New Roman" w:hAnsi="Calibri" w:cs="Calibri"/>
                <w:b/>
                <w:bCs/>
                <w:color w:val="000000" w:themeColor="text1"/>
                <w:lang w:val="en-US" w:eastAsia="nl-NL"/>
              </w:rPr>
            </w:pPr>
          </w:p>
        </w:tc>
        <w:tc>
          <w:tcPr>
            <w:tcW w:w="4042" w:type="dxa"/>
            <w:gridSpan w:val="5"/>
            <w:tcBorders>
              <w:top w:val="nil"/>
              <w:left w:val="nil"/>
              <w:bottom w:val="single" w:sz="4" w:space="0" w:color="auto"/>
              <w:right w:val="nil"/>
            </w:tcBorders>
            <w:shd w:val="clear" w:color="auto" w:fill="auto"/>
            <w:noWrap/>
            <w:vAlign w:val="bottom"/>
            <w:hideMark/>
          </w:tcPr>
          <w:p w14:paraId="46C7B39E" w14:textId="77777777" w:rsidR="00E41E45" w:rsidRPr="00B90ACB" w:rsidRDefault="00E41E45" w:rsidP="009430A3">
            <w:pPr>
              <w:spacing w:after="0" w:line="240" w:lineRule="auto"/>
              <w:jc w:val="center"/>
              <w:rPr>
                <w:rFonts w:ascii="Calibri" w:eastAsia="Times New Roman" w:hAnsi="Calibri" w:cs="Calibri"/>
                <w:b/>
                <w:bCs/>
                <w:color w:val="000000" w:themeColor="text1"/>
                <w:lang w:val="nl-NL" w:eastAsia="nl-NL"/>
              </w:rPr>
            </w:pPr>
            <w:proofErr w:type="spellStart"/>
            <w:r w:rsidRPr="00B90ACB">
              <w:rPr>
                <w:rFonts w:ascii="Calibri" w:eastAsia="Times New Roman" w:hAnsi="Calibri" w:cs="Calibri"/>
                <w:b/>
                <w:bCs/>
                <w:color w:val="000000" w:themeColor="text1"/>
                <w:lang w:val="nl-NL" w:eastAsia="nl-NL"/>
              </w:rPr>
              <w:t>Migratory</w:t>
            </w:r>
            <w:proofErr w:type="spellEnd"/>
            <w:r w:rsidRPr="00B90ACB">
              <w:rPr>
                <w:rFonts w:ascii="Calibri" w:eastAsia="Times New Roman" w:hAnsi="Calibri" w:cs="Calibri"/>
                <w:b/>
                <w:bCs/>
                <w:color w:val="000000" w:themeColor="text1"/>
                <w:lang w:val="nl-NL" w:eastAsia="nl-NL"/>
              </w:rPr>
              <w:t xml:space="preserve"> </w:t>
            </w:r>
            <w:proofErr w:type="spellStart"/>
            <w:r w:rsidRPr="00B90ACB">
              <w:rPr>
                <w:rFonts w:ascii="Calibri" w:eastAsia="Times New Roman" w:hAnsi="Calibri" w:cs="Calibri"/>
                <w:b/>
                <w:bCs/>
                <w:color w:val="000000" w:themeColor="text1"/>
                <w:lang w:val="nl-NL" w:eastAsia="nl-NL"/>
              </w:rPr>
              <w:t>population</w:t>
            </w:r>
            <w:proofErr w:type="spellEnd"/>
          </w:p>
        </w:tc>
        <w:tc>
          <w:tcPr>
            <w:tcW w:w="160" w:type="dxa"/>
            <w:tcBorders>
              <w:top w:val="nil"/>
              <w:left w:val="nil"/>
              <w:right w:val="nil"/>
            </w:tcBorders>
          </w:tcPr>
          <w:p w14:paraId="76428B63" w14:textId="77777777" w:rsidR="00E41E45" w:rsidRPr="00B90ACB" w:rsidRDefault="00E41E45" w:rsidP="009430A3">
            <w:pPr>
              <w:spacing w:after="0" w:line="240" w:lineRule="auto"/>
              <w:jc w:val="center"/>
              <w:rPr>
                <w:rFonts w:ascii="Calibri" w:eastAsia="Times New Roman" w:hAnsi="Calibri" w:cs="Calibri"/>
                <w:b/>
                <w:bCs/>
                <w:color w:val="000000" w:themeColor="text1"/>
                <w:lang w:val="nl-NL" w:eastAsia="nl-NL"/>
              </w:rPr>
            </w:pPr>
          </w:p>
        </w:tc>
        <w:tc>
          <w:tcPr>
            <w:tcW w:w="2351" w:type="dxa"/>
            <w:gridSpan w:val="3"/>
            <w:tcBorders>
              <w:top w:val="nil"/>
              <w:left w:val="nil"/>
              <w:bottom w:val="single" w:sz="4" w:space="0" w:color="auto"/>
              <w:right w:val="nil"/>
            </w:tcBorders>
            <w:shd w:val="clear" w:color="auto" w:fill="auto"/>
            <w:noWrap/>
            <w:vAlign w:val="bottom"/>
            <w:hideMark/>
          </w:tcPr>
          <w:p w14:paraId="71EA50BE" w14:textId="77777777" w:rsidR="00E41E45" w:rsidRPr="00B90ACB" w:rsidRDefault="00E41E45" w:rsidP="009430A3">
            <w:pPr>
              <w:spacing w:after="0" w:line="240" w:lineRule="auto"/>
              <w:jc w:val="center"/>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 xml:space="preserve">Resident </w:t>
            </w:r>
            <w:proofErr w:type="spellStart"/>
            <w:r w:rsidRPr="00B90ACB">
              <w:rPr>
                <w:rFonts w:ascii="Calibri" w:eastAsia="Times New Roman" w:hAnsi="Calibri" w:cs="Calibri"/>
                <w:b/>
                <w:bCs/>
                <w:color w:val="000000" w:themeColor="text1"/>
                <w:lang w:val="nl-NL" w:eastAsia="nl-NL"/>
              </w:rPr>
              <w:t>population</w:t>
            </w:r>
            <w:proofErr w:type="spellEnd"/>
          </w:p>
        </w:tc>
      </w:tr>
      <w:tr w:rsidR="00E41E45" w:rsidRPr="00B90ACB" w14:paraId="2634D942" w14:textId="77777777" w:rsidTr="009430A3">
        <w:trPr>
          <w:trHeight w:val="315"/>
        </w:trPr>
        <w:tc>
          <w:tcPr>
            <w:tcW w:w="960" w:type="dxa"/>
            <w:tcBorders>
              <w:left w:val="nil"/>
              <w:bottom w:val="single" w:sz="18" w:space="0" w:color="auto"/>
              <w:right w:val="nil"/>
            </w:tcBorders>
            <w:shd w:val="clear" w:color="auto" w:fill="auto"/>
            <w:noWrap/>
            <w:vAlign w:val="bottom"/>
            <w:hideMark/>
          </w:tcPr>
          <w:p w14:paraId="3F8CC329"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roofErr w:type="spellStart"/>
            <w:r w:rsidRPr="00B90ACB">
              <w:rPr>
                <w:rFonts w:ascii="Calibri" w:eastAsia="Times New Roman" w:hAnsi="Calibri" w:cs="Calibri"/>
                <w:b/>
                <w:bCs/>
                <w:color w:val="000000" w:themeColor="text1"/>
                <w:lang w:val="nl-NL" w:eastAsia="nl-NL"/>
              </w:rPr>
              <w:t>Year</w:t>
            </w:r>
            <w:proofErr w:type="spellEnd"/>
          </w:p>
        </w:tc>
        <w:tc>
          <w:tcPr>
            <w:tcW w:w="883" w:type="dxa"/>
            <w:tcBorders>
              <w:top w:val="nil"/>
              <w:left w:val="nil"/>
              <w:bottom w:val="single" w:sz="18" w:space="0" w:color="auto"/>
              <w:right w:val="nil"/>
            </w:tcBorders>
            <w:shd w:val="clear" w:color="auto" w:fill="auto"/>
            <w:noWrap/>
            <w:vAlign w:val="bottom"/>
            <w:hideMark/>
          </w:tcPr>
          <w:p w14:paraId="1627E15A"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Type A</w:t>
            </w:r>
          </w:p>
        </w:tc>
        <w:tc>
          <w:tcPr>
            <w:tcW w:w="851" w:type="dxa"/>
            <w:tcBorders>
              <w:top w:val="nil"/>
              <w:left w:val="nil"/>
              <w:bottom w:val="single" w:sz="18" w:space="0" w:color="auto"/>
              <w:right w:val="nil"/>
            </w:tcBorders>
            <w:shd w:val="clear" w:color="auto" w:fill="auto"/>
            <w:noWrap/>
            <w:vAlign w:val="bottom"/>
            <w:hideMark/>
          </w:tcPr>
          <w:p w14:paraId="12FCEAED"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Type B</w:t>
            </w:r>
          </w:p>
        </w:tc>
        <w:tc>
          <w:tcPr>
            <w:tcW w:w="850" w:type="dxa"/>
            <w:tcBorders>
              <w:top w:val="nil"/>
              <w:left w:val="nil"/>
              <w:bottom w:val="single" w:sz="18" w:space="0" w:color="auto"/>
              <w:right w:val="nil"/>
            </w:tcBorders>
            <w:shd w:val="clear" w:color="auto" w:fill="auto"/>
            <w:noWrap/>
            <w:vAlign w:val="bottom"/>
            <w:hideMark/>
          </w:tcPr>
          <w:p w14:paraId="0BCD468A"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Type C</w:t>
            </w:r>
          </w:p>
        </w:tc>
        <w:tc>
          <w:tcPr>
            <w:tcW w:w="851" w:type="dxa"/>
            <w:tcBorders>
              <w:top w:val="nil"/>
              <w:left w:val="nil"/>
              <w:bottom w:val="single" w:sz="18" w:space="0" w:color="auto"/>
              <w:right w:val="nil"/>
            </w:tcBorders>
            <w:shd w:val="clear" w:color="auto" w:fill="auto"/>
            <w:noWrap/>
            <w:vAlign w:val="bottom"/>
            <w:hideMark/>
          </w:tcPr>
          <w:p w14:paraId="5D17D7B3"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Type D</w:t>
            </w:r>
          </w:p>
        </w:tc>
        <w:tc>
          <w:tcPr>
            <w:tcW w:w="607" w:type="dxa"/>
            <w:tcBorders>
              <w:top w:val="nil"/>
              <w:left w:val="nil"/>
              <w:bottom w:val="single" w:sz="18" w:space="0" w:color="auto"/>
              <w:right w:val="nil"/>
            </w:tcBorders>
            <w:shd w:val="clear" w:color="auto" w:fill="auto"/>
            <w:noWrap/>
            <w:vAlign w:val="bottom"/>
            <w:hideMark/>
          </w:tcPr>
          <w:p w14:paraId="76BAD760"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Total</w:t>
            </w:r>
          </w:p>
        </w:tc>
        <w:tc>
          <w:tcPr>
            <w:tcW w:w="160" w:type="dxa"/>
            <w:tcBorders>
              <w:top w:val="nil"/>
              <w:left w:val="nil"/>
              <w:bottom w:val="single" w:sz="18" w:space="0" w:color="auto"/>
              <w:right w:val="nil"/>
            </w:tcBorders>
          </w:tcPr>
          <w:p w14:paraId="78E5668C"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p>
        </w:tc>
        <w:tc>
          <w:tcPr>
            <w:tcW w:w="792" w:type="dxa"/>
            <w:tcBorders>
              <w:top w:val="nil"/>
              <w:left w:val="nil"/>
              <w:bottom w:val="single" w:sz="18" w:space="0" w:color="auto"/>
              <w:right w:val="nil"/>
            </w:tcBorders>
            <w:shd w:val="clear" w:color="auto" w:fill="auto"/>
            <w:noWrap/>
            <w:vAlign w:val="bottom"/>
            <w:hideMark/>
          </w:tcPr>
          <w:p w14:paraId="139BFFA0"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Type A</w:t>
            </w:r>
          </w:p>
        </w:tc>
        <w:tc>
          <w:tcPr>
            <w:tcW w:w="850" w:type="dxa"/>
            <w:tcBorders>
              <w:top w:val="nil"/>
              <w:left w:val="nil"/>
              <w:bottom w:val="single" w:sz="18" w:space="0" w:color="auto"/>
              <w:right w:val="nil"/>
            </w:tcBorders>
            <w:shd w:val="clear" w:color="auto" w:fill="auto"/>
            <w:noWrap/>
            <w:vAlign w:val="bottom"/>
            <w:hideMark/>
          </w:tcPr>
          <w:p w14:paraId="62AA4CDA"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Type C</w:t>
            </w:r>
          </w:p>
        </w:tc>
        <w:tc>
          <w:tcPr>
            <w:tcW w:w="709" w:type="dxa"/>
            <w:tcBorders>
              <w:top w:val="nil"/>
              <w:left w:val="nil"/>
              <w:bottom w:val="single" w:sz="18" w:space="0" w:color="auto"/>
              <w:right w:val="nil"/>
            </w:tcBorders>
            <w:shd w:val="clear" w:color="auto" w:fill="auto"/>
            <w:noWrap/>
            <w:vAlign w:val="bottom"/>
            <w:hideMark/>
          </w:tcPr>
          <w:p w14:paraId="3A533C16" w14:textId="77777777" w:rsidR="00E41E45" w:rsidRPr="00B90ACB" w:rsidRDefault="00E41E45" w:rsidP="009430A3">
            <w:pPr>
              <w:spacing w:after="0" w:line="240" w:lineRule="auto"/>
              <w:rPr>
                <w:rFonts w:ascii="Calibri" w:eastAsia="Times New Roman" w:hAnsi="Calibri" w:cs="Calibri"/>
                <w:b/>
                <w:bCs/>
                <w:color w:val="000000" w:themeColor="text1"/>
                <w:lang w:val="nl-NL" w:eastAsia="nl-NL"/>
              </w:rPr>
            </w:pPr>
            <w:r w:rsidRPr="00B90ACB">
              <w:rPr>
                <w:rFonts w:ascii="Calibri" w:eastAsia="Times New Roman" w:hAnsi="Calibri" w:cs="Calibri"/>
                <w:b/>
                <w:bCs/>
                <w:color w:val="000000" w:themeColor="text1"/>
                <w:lang w:val="nl-NL" w:eastAsia="nl-NL"/>
              </w:rPr>
              <w:t>Total</w:t>
            </w:r>
          </w:p>
        </w:tc>
      </w:tr>
      <w:tr w:rsidR="00E41E45" w:rsidRPr="00B90ACB" w14:paraId="2C2F1613" w14:textId="77777777" w:rsidTr="009430A3">
        <w:trPr>
          <w:trHeight w:val="300"/>
        </w:trPr>
        <w:tc>
          <w:tcPr>
            <w:tcW w:w="960" w:type="dxa"/>
            <w:tcBorders>
              <w:top w:val="single" w:sz="18" w:space="0" w:color="auto"/>
              <w:left w:val="nil"/>
              <w:bottom w:val="nil"/>
              <w:right w:val="nil"/>
            </w:tcBorders>
            <w:shd w:val="clear" w:color="auto" w:fill="auto"/>
            <w:noWrap/>
            <w:vAlign w:val="bottom"/>
            <w:hideMark/>
          </w:tcPr>
          <w:p w14:paraId="547F7478"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2014</w:t>
            </w:r>
          </w:p>
        </w:tc>
        <w:tc>
          <w:tcPr>
            <w:tcW w:w="883" w:type="dxa"/>
            <w:tcBorders>
              <w:top w:val="single" w:sz="18" w:space="0" w:color="auto"/>
              <w:left w:val="nil"/>
              <w:bottom w:val="nil"/>
              <w:right w:val="nil"/>
            </w:tcBorders>
            <w:shd w:val="clear" w:color="auto" w:fill="auto"/>
            <w:noWrap/>
            <w:vAlign w:val="bottom"/>
            <w:hideMark/>
          </w:tcPr>
          <w:p w14:paraId="38A401FA"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24</w:t>
            </w:r>
          </w:p>
        </w:tc>
        <w:tc>
          <w:tcPr>
            <w:tcW w:w="851" w:type="dxa"/>
            <w:tcBorders>
              <w:top w:val="single" w:sz="18" w:space="0" w:color="auto"/>
              <w:left w:val="nil"/>
              <w:bottom w:val="nil"/>
              <w:right w:val="nil"/>
            </w:tcBorders>
            <w:shd w:val="clear" w:color="auto" w:fill="auto"/>
            <w:noWrap/>
            <w:vAlign w:val="bottom"/>
            <w:hideMark/>
          </w:tcPr>
          <w:p w14:paraId="06EC9A42"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850" w:type="dxa"/>
            <w:tcBorders>
              <w:top w:val="single" w:sz="18" w:space="0" w:color="auto"/>
              <w:left w:val="nil"/>
              <w:bottom w:val="nil"/>
              <w:right w:val="nil"/>
            </w:tcBorders>
            <w:shd w:val="clear" w:color="auto" w:fill="auto"/>
            <w:noWrap/>
            <w:vAlign w:val="bottom"/>
            <w:hideMark/>
          </w:tcPr>
          <w:p w14:paraId="3DE67F90"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851" w:type="dxa"/>
            <w:tcBorders>
              <w:top w:val="single" w:sz="18" w:space="0" w:color="auto"/>
              <w:left w:val="nil"/>
              <w:bottom w:val="nil"/>
              <w:right w:val="nil"/>
            </w:tcBorders>
            <w:shd w:val="clear" w:color="auto" w:fill="auto"/>
            <w:noWrap/>
            <w:vAlign w:val="bottom"/>
            <w:hideMark/>
          </w:tcPr>
          <w:p w14:paraId="4EB889E2"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607" w:type="dxa"/>
            <w:tcBorders>
              <w:top w:val="single" w:sz="18" w:space="0" w:color="auto"/>
              <w:left w:val="nil"/>
              <w:bottom w:val="nil"/>
              <w:right w:val="nil"/>
            </w:tcBorders>
            <w:shd w:val="clear" w:color="auto" w:fill="auto"/>
            <w:noWrap/>
            <w:vAlign w:val="bottom"/>
            <w:hideMark/>
          </w:tcPr>
          <w:p w14:paraId="188E8363"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24</w:t>
            </w:r>
          </w:p>
        </w:tc>
        <w:tc>
          <w:tcPr>
            <w:tcW w:w="160" w:type="dxa"/>
            <w:tcBorders>
              <w:top w:val="single" w:sz="18" w:space="0" w:color="auto"/>
              <w:left w:val="nil"/>
              <w:bottom w:val="nil"/>
              <w:right w:val="nil"/>
            </w:tcBorders>
          </w:tcPr>
          <w:p w14:paraId="2E53301A"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92" w:type="dxa"/>
            <w:tcBorders>
              <w:top w:val="single" w:sz="18" w:space="0" w:color="auto"/>
              <w:left w:val="nil"/>
              <w:bottom w:val="nil"/>
              <w:right w:val="nil"/>
            </w:tcBorders>
            <w:shd w:val="clear" w:color="auto" w:fill="auto"/>
            <w:noWrap/>
            <w:vAlign w:val="bottom"/>
            <w:hideMark/>
          </w:tcPr>
          <w:p w14:paraId="486925B1"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850" w:type="dxa"/>
            <w:tcBorders>
              <w:top w:val="single" w:sz="18" w:space="0" w:color="auto"/>
              <w:left w:val="nil"/>
              <w:bottom w:val="nil"/>
              <w:right w:val="nil"/>
            </w:tcBorders>
            <w:shd w:val="clear" w:color="auto" w:fill="auto"/>
            <w:noWrap/>
            <w:vAlign w:val="bottom"/>
            <w:hideMark/>
          </w:tcPr>
          <w:p w14:paraId="04D7E5C0"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709" w:type="dxa"/>
            <w:tcBorders>
              <w:top w:val="single" w:sz="18" w:space="0" w:color="auto"/>
              <w:left w:val="nil"/>
              <w:bottom w:val="nil"/>
              <w:right w:val="nil"/>
            </w:tcBorders>
            <w:shd w:val="clear" w:color="auto" w:fill="auto"/>
            <w:noWrap/>
            <w:vAlign w:val="bottom"/>
            <w:hideMark/>
          </w:tcPr>
          <w:p w14:paraId="6995A02F"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r>
      <w:tr w:rsidR="00E41E45" w:rsidRPr="00B90ACB" w14:paraId="283C44D4" w14:textId="77777777" w:rsidTr="009430A3">
        <w:trPr>
          <w:trHeight w:val="300"/>
        </w:trPr>
        <w:tc>
          <w:tcPr>
            <w:tcW w:w="960" w:type="dxa"/>
            <w:tcBorders>
              <w:top w:val="nil"/>
              <w:left w:val="nil"/>
              <w:bottom w:val="nil"/>
              <w:right w:val="nil"/>
            </w:tcBorders>
            <w:shd w:val="clear" w:color="auto" w:fill="auto"/>
            <w:noWrap/>
            <w:vAlign w:val="bottom"/>
            <w:hideMark/>
          </w:tcPr>
          <w:p w14:paraId="256E9911"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2015</w:t>
            </w:r>
          </w:p>
        </w:tc>
        <w:tc>
          <w:tcPr>
            <w:tcW w:w="883" w:type="dxa"/>
            <w:tcBorders>
              <w:top w:val="nil"/>
              <w:left w:val="nil"/>
              <w:bottom w:val="nil"/>
              <w:right w:val="nil"/>
            </w:tcBorders>
            <w:shd w:val="clear" w:color="auto" w:fill="auto"/>
            <w:noWrap/>
            <w:vAlign w:val="bottom"/>
            <w:hideMark/>
          </w:tcPr>
          <w:p w14:paraId="1EF2E391"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24</w:t>
            </w:r>
          </w:p>
        </w:tc>
        <w:tc>
          <w:tcPr>
            <w:tcW w:w="851" w:type="dxa"/>
            <w:tcBorders>
              <w:top w:val="nil"/>
              <w:left w:val="nil"/>
              <w:bottom w:val="nil"/>
              <w:right w:val="nil"/>
            </w:tcBorders>
            <w:shd w:val="clear" w:color="auto" w:fill="auto"/>
            <w:noWrap/>
            <w:vAlign w:val="bottom"/>
            <w:hideMark/>
          </w:tcPr>
          <w:p w14:paraId="6710E29A"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850" w:type="dxa"/>
            <w:tcBorders>
              <w:top w:val="nil"/>
              <w:left w:val="nil"/>
              <w:bottom w:val="nil"/>
              <w:right w:val="nil"/>
            </w:tcBorders>
            <w:shd w:val="clear" w:color="auto" w:fill="auto"/>
            <w:noWrap/>
            <w:vAlign w:val="bottom"/>
            <w:hideMark/>
          </w:tcPr>
          <w:p w14:paraId="0DD21F3E"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851" w:type="dxa"/>
            <w:tcBorders>
              <w:top w:val="nil"/>
              <w:left w:val="nil"/>
              <w:bottom w:val="nil"/>
              <w:right w:val="nil"/>
            </w:tcBorders>
            <w:shd w:val="clear" w:color="auto" w:fill="auto"/>
            <w:noWrap/>
            <w:vAlign w:val="bottom"/>
            <w:hideMark/>
          </w:tcPr>
          <w:p w14:paraId="51053336"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607" w:type="dxa"/>
            <w:tcBorders>
              <w:top w:val="nil"/>
              <w:left w:val="nil"/>
              <w:bottom w:val="nil"/>
              <w:right w:val="nil"/>
            </w:tcBorders>
            <w:shd w:val="clear" w:color="auto" w:fill="auto"/>
            <w:noWrap/>
            <w:vAlign w:val="bottom"/>
            <w:hideMark/>
          </w:tcPr>
          <w:p w14:paraId="4F8A8678"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24</w:t>
            </w:r>
          </w:p>
        </w:tc>
        <w:tc>
          <w:tcPr>
            <w:tcW w:w="160" w:type="dxa"/>
            <w:tcBorders>
              <w:top w:val="nil"/>
              <w:left w:val="nil"/>
              <w:bottom w:val="nil"/>
              <w:right w:val="nil"/>
            </w:tcBorders>
          </w:tcPr>
          <w:p w14:paraId="105579FF"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92" w:type="dxa"/>
            <w:tcBorders>
              <w:top w:val="nil"/>
              <w:left w:val="nil"/>
              <w:bottom w:val="nil"/>
              <w:right w:val="nil"/>
            </w:tcBorders>
            <w:shd w:val="clear" w:color="auto" w:fill="auto"/>
            <w:noWrap/>
            <w:vAlign w:val="bottom"/>
            <w:hideMark/>
          </w:tcPr>
          <w:p w14:paraId="3A35DB4B"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6</w:t>
            </w:r>
          </w:p>
        </w:tc>
        <w:tc>
          <w:tcPr>
            <w:tcW w:w="850" w:type="dxa"/>
            <w:tcBorders>
              <w:top w:val="nil"/>
              <w:left w:val="nil"/>
              <w:bottom w:val="nil"/>
              <w:right w:val="nil"/>
            </w:tcBorders>
            <w:shd w:val="clear" w:color="auto" w:fill="auto"/>
            <w:noWrap/>
            <w:vAlign w:val="bottom"/>
            <w:hideMark/>
          </w:tcPr>
          <w:p w14:paraId="3F2A93CE"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09" w:type="dxa"/>
            <w:tcBorders>
              <w:top w:val="nil"/>
              <w:left w:val="nil"/>
              <w:bottom w:val="nil"/>
              <w:right w:val="nil"/>
            </w:tcBorders>
            <w:shd w:val="clear" w:color="auto" w:fill="auto"/>
            <w:noWrap/>
            <w:vAlign w:val="bottom"/>
            <w:hideMark/>
          </w:tcPr>
          <w:p w14:paraId="5F750B38"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6</w:t>
            </w:r>
          </w:p>
        </w:tc>
      </w:tr>
      <w:tr w:rsidR="00E41E45" w:rsidRPr="00B90ACB" w14:paraId="49DD1E81" w14:textId="77777777" w:rsidTr="009430A3">
        <w:trPr>
          <w:trHeight w:val="300"/>
        </w:trPr>
        <w:tc>
          <w:tcPr>
            <w:tcW w:w="960" w:type="dxa"/>
            <w:tcBorders>
              <w:top w:val="nil"/>
              <w:left w:val="nil"/>
              <w:bottom w:val="nil"/>
              <w:right w:val="nil"/>
            </w:tcBorders>
            <w:shd w:val="clear" w:color="auto" w:fill="auto"/>
            <w:noWrap/>
            <w:vAlign w:val="bottom"/>
            <w:hideMark/>
          </w:tcPr>
          <w:p w14:paraId="2B29388E"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2016</w:t>
            </w:r>
          </w:p>
        </w:tc>
        <w:tc>
          <w:tcPr>
            <w:tcW w:w="883" w:type="dxa"/>
            <w:tcBorders>
              <w:top w:val="nil"/>
              <w:left w:val="nil"/>
              <w:bottom w:val="nil"/>
              <w:right w:val="nil"/>
            </w:tcBorders>
            <w:shd w:val="clear" w:color="auto" w:fill="auto"/>
            <w:noWrap/>
            <w:vAlign w:val="bottom"/>
            <w:hideMark/>
          </w:tcPr>
          <w:p w14:paraId="676B7A9F" w14:textId="77777777" w:rsidR="00E41E45" w:rsidRPr="00B90ACB" w:rsidRDefault="00E41E45" w:rsidP="009430A3">
            <w:pPr>
              <w:spacing w:after="0" w:line="240" w:lineRule="auto"/>
              <w:rPr>
                <w:rFonts w:ascii="Calibri" w:eastAsia="Times New Roman" w:hAnsi="Calibri" w:cs="Calibri"/>
                <w:color w:val="000000" w:themeColor="text1"/>
                <w:lang w:val="nl-NL" w:eastAsia="nl-NL"/>
              </w:rPr>
            </w:pPr>
          </w:p>
        </w:tc>
        <w:tc>
          <w:tcPr>
            <w:tcW w:w="851" w:type="dxa"/>
            <w:tcBorders>
              <w:top w:val="nil"/>
              <w:left w:val="nil"/>
              <w:bottom w:val="nil"/>
              <w:right w:val="nil"/>
            </w:tcBorders>
            <w:shd w:val="clear" w:color="auto" w:fill="auto"/>
            <w:noWrap/>
            <w:vAlign w:val="bottom"/>
            <w:hideMark/>
          </w:tcPr>
          <w:p w14:paraId="214C1A34"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850" w:type="dxa"/>
            <w:tcBorders>
              <w:top w:val="nil"/>
              <w:left w:val="nil"/>
              <w:bottom w:val="nil"/>
              <w:right w:val="nil"/>
            </w:tcBorders>
            <w:shd w:val="clear" w:color="auto" w:fill="auto"/>
            <w:noWrap/>
            <w:vAlign w:val="bottom"/>
            <w:hideMark/>
          </w:tcPr>
          <w:p w14:paraId="7F95FAB4"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851" w:type="dxa"/>
            <w:tcBorders>
              <w:top w:val="nil"/>
              <w:left w:val="nil"/>
              <w:bottom w:val="nil"/>
              <w:right w:val="nil"/>
            </w:tcBorders>
            <w:shd w:val="clear" w:color="auto" w:fill="auto"/>
            <w:noWrap/>
            <w:vAlign w:val="bottom"/>
            <w:hideMark/>
          </w:tcPr>
          <w:p w14:paraId="37BFC5F9"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31</w:t>
            </w:r>
          </w:p>
        </w:tc>
        <w:tc>
          <w:tcPr>
            <w:tcW w:w="607" w:type="dxa"/>
            <w:tcBorders>
              <w:top w:val="nil"/>
              <w:left w:val="nil"/>
              <w:bottom w:val="nil"/>
              <w:right w:val="nil"/>
            </w:tcBorders>
            <w:shd w:val="clear" w:color="auto" w:fill="auto"/>
            <w:noWrap/>
            <w:vAlign w:val="bottom"/>
            <w:hideMark/>
          </w:tcPr>
          <w:p w14:paraId="531AC197"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31</w:t>
            </w:r>
          </w:p>
        </w:tc>
        <w:tc>
          <w:tcPr>
            <w:tcW w:w="160" w:type="dxa"/>
            <w:tcBorders>
              <w:top w:val="nil"/>
              <w:left w:val="nil"/>
              <w:bottom w:val="nil"/>
              <w:right w:val="nil"/>
            </w:tcBorders>
          </w:tcPr>
          <w:p w14:paraId="4481996B"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92" w:type="dxa"/>
            <w:tcBorders>
              <w:top w:val="nil"/>
              <w:left w:val="nil"/>
              <w:bottom w:val="nil"/>
              <w:right w:val="nil"/>
            </w:tcBorders>
            <w:shd w:val="clear" w:color="auto" w:fill="auto"/>
            <w:noWrap/>
            <w:vAlign w:val="bottom"/>
            <w:hideMark/>
          </w:tcPr>
          <w:p w14:paraId="3AE7765D"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23</w:t>
            </w:r>
          </w:p>
        </w:tc>
        <w:tc>
          <w:tcPr>
            <w:tcW w:w="850" w:type="dxa"/>
            <w:tcBorders>
              <w:top w:val="nil"/>
              <w:left w:val="nil"/>
              <w:bottom w:val="nil"/>
              <w:right w:val="nil"/>
            </w:tcBorders>
            <w:shd w:val="clear" w:color="auto" w:fill="auto"/>
            <w:noWrap/>
            <w:vAlign w:val="bottom"/>
            <w:hideMark/>
          </w:tcPr>
          <w:p w14:paraId="5CB4951E"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09" w:type="dxa"/>
            <w:tcBorders>
              <w:top w:val="nil"/>
              <w:left w:val="nil"/>
              <w:bottom w:val="nil"/>
              <w:right w:val="nil"/>
            </w:tcBorders>
            <w:shd w:val="clear" w:color="auto" w:fill="auto"/>
            <w:noWrap/>
            <w:vAlign w:val="bottom"/>
            <w:hideMark/>
          </w:tcPr>
          <w:p w14:paraId="16C976BE"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23</w:t>
            </w:r>
          </w:p>
        </w:tc>
      </w:tr>
      <w:tr w:rsidR="00E41E45" w:rsidRPr="00B90ACB" w14:paraId="6BA6476E" w14:textId="77777777" w:rsidTr="009430A3">
        <w:trPr>
          <w:trHeight w:val="300"/>
        </w:trPr>
        <w:tc>
          <w:tcPr>
            <w:tcW w:w="960" w:type="dxa"/>
            <w:tcBorders>
              <w:top w:val="nil"/>
              <w:left w:val="nil"/>
              <w:bottom w:val="nil"/>
              <w:right w:val="nil"/>
            </w:tcBorders>
            <w:shd w:val="clear" w:color="auto" w:fill="auto"/>
            <w:noWrap/>
            <w:vAlign w:val="bottom"/>
            <w:hideMark/>
          </w:tcPr>
          <w:p w14:paraId="42E81FA4"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2017</w:t>
            </w:r>
          </w:p>
        </w:tc>
        <w:tc>
          <w:tcPr>
            <w:tcW w:w="883" w:type="dxa"/>
            <w:tcBorders>
              <w:top w:val="nil"/>
              <w:left w:val="nil"/>
              <w:bottom w:val="nil"/>
              <w:right w:val="nil"/>
            </w:tcBorders>
            <w:shd w:val="clear" w:color="auto" w:fill="auto"/>
            <w:noWrap/>
            <w:vAlign w:val="bottom"/>
            <w:hideMark/>
          </w:tcPr>
          <w:p w14:paraId="5E12BC2E" w14:textId="77777777" w:rsidR="00E41E45" w:rsidRPr="00B90ACB" w:rsidRDefault="00E41E45" w:rsidP="009430A3">
            <w:pPr>
              <w:spacing w:after="0" w:line="240" w:lineRule="auto"/>
              <w:rPr>
                <w:rFonts w:ascii="Calibri" w:eastAsia="Times New Roman" w:hAnsi="Calibri" w:cs="Calibri"/>
                <w:color w:val="000000" w:themeColor="text1"/>
                <w:lang w:val="nl-NL" w:eastAsia="nl-NL"/>
              </w:rPr>
            </w:pPr>
          </w:p>
        </w:tc>
        <w:tc>
          <w:tcPr>
            <w:tcW w:w="851" w:type="dxa"/>
            <w:tcBorders>
              <w:top w:val="nil"/>
              <w:left w:val="nil"/>
              <w:bottom w:val="nil"/>
              <w:right w:val="nil"/>
            </w:tcBorders>
            <w:shd w:val="clear" w:color="auto" w:fill="auto"/>
            <w:noWrap/>
            <w:vAlign w:val="bottom"/>
            <w:hideMark/>
          </w:tcPr>
          <w:p w14:paraId="0FCA163E"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850" w:type="dxa"/>
            <w:tcBorders>
              <w:top w:val="nil"/>
              <w:left w:val="nil"/>
              <w:bottom w:val="nil"/>
              <w:right w:val="nil"/>
            </w:tcBorders>
            <w:shd w:val="clear" w:color="auto" w:fill="auto"/>
            <w:noWrap/>
            <w:vAlign w:val="bottom"/>
            <w:hideMark/>
          </w:tcPr>
          <w:p w14:paraId="56C400B8" w14:textId="77777777" w:rsidR="00E41E45" w:rsidRPr="00B90ACB" w:rsidRDefault="00E41E45" w:rsidP="009430A3">
            <w:pPr>
              <w:spacing w:after="0" w:line="240" w:lineRule="auto"/>
              <w:jc w:val="center"/>
              <w:rPr>
                <w:rFonts w:ascii="Times New Roman" w:eastAsia="Times New Roman" w:hAnsi="Times New Roman" w:cs="Times New Roman"/>
                <w:color w:val="000000" w:themeColor="text1"/>
                <w:sz w:val="20"/>
                <w:szCs w:val="20"/>
                <w:lang w:val="nl-NL" w:eastAsia="nl-NL"/>
              </w:rPr>
            </w:pPr>
          </w:p>
        </w:tc>
        <w:tc>
          <w:tcPr>
            <w:tcW w:w="851" w:type="dxa"/>
            <w:tcBorders>
              <w:top w:val="nil"/>
              <w:left w:val="nil"/>
              <w:bottom w:val="nil"/>
              <w:right w:val="nil"/>
            </w:tcBorders>
            <w:shd w:val="clear" w:color="auto" w:fill="auto"/>
            <w:noWrap/>
            <w:vAlign w:val="bottom"/>
            <w:hideMark/>
          </w:tcPr>
          <w:p w14:paraId="385C7586"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32</w:t>
            </w:r>
          </w:p>
        </w:tc>
        <w:tc>
          <w:tcPr>
            <w:tcW w:w="607" w:type="dxa"/>
            <w:tcBorders>
              <w:top w:val="nil"/>
              <w:left w:val="nil"/>
              <w:bottom w:val="nil"/>
              <w:right w:val="nil"/>
            </w:tcBorders>
            <w:shd w:val="clear" w:color="auto" w:fill="auto"/>
            <w:noWrap/>
            <w:vAlign w:val="bottom"/>
            <w:hideMark/>
          </w:tcPr>
          <w:p w14:paraId="4E1577FC"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32</w:t>
            </w:r>
          </w:p>
        </w:tc>
        <w:tc>
          <w:tcPr>
            <w:tcW w:w="160" w:type="dxa"/>
            <w:tcBorders>
              <w:top w:val="nil"/>
              <w:left w:val="nil"/>
              <w:bottom w:val="nil"/>
              <w:right w:val="nil"/>
            </w:tcBorders>
          </w:tcPr>
          <w:p w14:paraId="28A8E460"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92" w:type="dxa"/>
            <w:tcBorders>
              <w:top w:val="nil"/>
              <w:left w:val="nil"/>
              <w:bottom w:val="nil"/>
              <w:right w:val="nil"/>
            </w:tcBorders>
            <w:shd w:val="clear" w:color="auto" w:fill="auto"/>
            <w:noWrap/>
            <w:vAlign w:val="bottom"/>
            <w:hideMark/>
          </w:tcPr>
          <w:p w14:paraId="724E0AF1"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15</w:t>
            </w:r>
          </w:p>
        </w:tc>
        <w:tc>
          <w:tcPr>
            <w:tcW w:w="850" w:type="dxa"/>
            <w:tcBorders>
              <w:top w:val="nil"/>
              <w:left w:val="nil"/>
              <w:bottom w:val="nil"/>
              <w:right w:val="nil"/>
            </w:tcBorders>
            <w:shd w:val="clear" w:color="auto" w:fill="auto"/>
            <w:noWrap/>
            <w:vAlign w:val="bottom"/>
            <w:hideMark/>
          </w:tcPr>
          <w:p w14:paraId="3706B81C"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09" w:type="dxa"/>
            <w:tcBorders>
              <w:top w:val="nil"/>
              <w:left w:val="nil"/>
              <w:bottom w:val="nil"/>
              <w:right w:val="nil"/>
            </w:tcBorders>
            <w:shd w:val="clear" w:color="auto" w:fill="auto"/>
            <w:noWrap/>
            <w:vAlign w:val="bottom"/>
            <w:hideMark/>
          </w:tcPr>
          <w:p w14:paraId="17D1EE0E"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15</w:t>
            </w:r>
          </w:p>
        </w:tc>
      </w:tr>
      <w:tr w:rsidR="00E41E45" w:rsidRPr="00B90ACB" w14:paraId="6187D442" w14:textId="77777777" w:rsidTr="009430A3">
        <w:trPr>
          <w:trHeight w:val="300"/>
        </w:trPr>
        <w:tc>
          <w:tcPr>
            <w:tcW w:w="960" w:type="dxa"/>
            <w:tcBorders>
              <w:top w:val="nil"/>
              <w:left w:val="nil"/>
              <w:bottom w:val="nil"/>
              <w:right w:val="nil"/>
            </w:tcBorders>
            <w:shd w:val="clear" w:color="auto" w:fill="auto"/>
            <w:noWrap/>
            <w:vAlign w:val="bottom"/>
            <w:hideMark/>
          </w:tcPr>
          <w:p w14:paraId="650F3794"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2018</w:t>
            </w:r>
          </w:p>
        </w:tc>
        <w:tc>
          <w:tcPr>
            <w:tcW w:w="883" w:type="dxa"/>
            <w:tcBorders>
              <w:top w:val="nil"/>
              <w:left w:val="nil"/>
              <w:bottom w:val="nil"/>
              <w:right w:val="nil"/>
            </w:tcBorders>
            <w:shd w:val="clear" w:color="auto" w:fill="auto"/>
            <w:noWrap/>
            <w:vAlign w:val="bottom"/>
            <w:hideMark/>
          </w:tcPr>
          <w:p w14:paraId="13D402E8" w14:textId="77777777" w:rsidR="00E41E45" w:rsidRPr="00B90ACB" w:rsidRDefault="00E41E45" w:rsidP="009430A3">
            <w:pPr>
              <w:spacing w:after="0" w:line="240" w:lineRule="auto"/>
              <w:rPr>
                <w:rFonts w:ascii="Calibri" w:eastAsia="Times New Roman" w:hAnsi="Calibri" w:cs="Calibri"/>
                <w:color w:val="000000" w:themeColor="text1"/>
                <w:lang w:val="nl-NL" w:eastAsia="nl-NL"/>
              </w:rPr>
            </w:pPr>
          </w:p>
        </w:tc>
        <w:tc>
          <w:tcPr>
            <w:tcW w:w="851" w:type="dxa"/>
            <w:tcBorders>
              <w:top w:val="nil"/>
              <w:left w:val="nil"/>
              <w:bottom w:val="nil"/>
              <w:right w:val="nil"/>
            </w:tcBorders>
            <w:shd w:val="clear" w:color="auto" w:fill="auto"/>
            <w:noWrap/>
            <w:vAlign w:val="bottom"/>
            <w:hideMark/>
          </w:tcPr>
          <w:p w14:paraId="47804577"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3</w:t>
            </w:r>
          </w:p>
        </w:tc>
        <w:tc>
          <w:tcPr>
            <w:tcW w:w="850" w:type="dxa"/>
            <w:tcBorders>
              <w:top w:val="nil"/>
              <w:left w:val="nil"/>
              <w:bottom w:val="nil"/>
              <w:right w:val="nil"/>
            </w:tcBorders>
            <w:shd w:val="clear" w:color="auto" w:fill="auto"/>
            <w:noWrap/>
            <w:vAlign w:val="bottom"/>
            <w:hideMark/>
          </w:tcPr>
          <w:p w14:paraId="1EF5AF23"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3</w:t>
            </w:r>
          </w:p>
        </w:tc>
        <w:tc>
          <w:tcPr>
            <w:tcW w:w="851" w:type="dxa"/>
            <w:tcBorders>
              <w:top w:val="nil"/>
              <w:left w:val="nil"/>
              <w:bottom w:val="nil"/>
              <w:right w:val="nil"/>
            </w:tcBorders>
            <w:shd w:val="clear" w:color="auto" w:fill="auto"/>
            <w:noWrap/>
            <w:vAlign w:val="bottom"/>
            <w:hideMark/>
          </w:tcPr>
          <w:p w14:paraId="524CA170"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22</w:t>
            </w:r>
          </w:p>
        </w:tc>
        <w:tc>
          <w:tcPr>
            <w:tcW w:w="607" w:type="dxa"/>
            <w:tcBorders>
              <w:top w:val="nil"/>
              <w:left w:val="nil"/>
              <w:bottom w:val="nil"/>
              <w:right w:val="nil"/>
            </w:tcBorders>
            <w:shd w:val="clear" w:color="auto" w:fill="auto"/>
            <w:noWrap/>
            <w:vAlign w:val="bottom"/>
            <w:hideMark/>
          </w:tcPr>
          <w:p w14:paraId="60DA29B7"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28</w:t>
            </w:r>
          </w:p>
        </w:tc>
        <w:tc>
          <w:tcPr>
            <w:tcW w:w="160" w:type="dxa"/>
            <w:tcBorders>
              <w:top w:val="nil"/>
              <w:left w:val="nil"/>
              <w:bottom w:val="nil"/>
              <w:right w:val="nil"/>
            </w:tcBorders>
          </w:tcPr>
          <w:p w14:paraId="2C7F3E21"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92" w:type="dxa"/>
            <w:tcBorders>
              <w:top w:val="nil"/>
              <w:left w:val="nil"/>
              <w:bottom w:val="nil"/>
              <w:right w:val="nil"/>
            </w:tcBorders>
            <w:shd w:val="clear" w:color="auto" w:fill="auto"/>
            <w:noWrap/>
            <w:vAlign w:val="bottom"/>
            <w:hideMark/>
          </w:tcPr>
          <w:p w14:paraId="287F3A00"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w:t>
            </w:r>
          </w:p>
        </w:tc>
        <w:tc>
          <w:tcPr>
            <w:tcW w:w="850" w:type="dxa"/>
            <w:tcBorders>
              <w:top w:val="nil"/>
              <w:left w:val="nil"/>
              <w:bottom w:val="nil"/>
              <w:right w:val="nil"/>
            </w:tcBorders>
            <w:shd w:val="clear" w:color="auto" w:fill="auto"/>
            <w:noWrap/>
            <w:vAlign w:val="bottom"/>
            <w:hideMark/>
          </w:tcPr>
          <w:p w14:paraId="33E0ECD0"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7</w:t>
            </w:r>
          </w:p>
        </w:tc>
        <w:tc>
          <w:tcPr>
            <w:tcW w:w="709" w:type="dxa"/>
            <w:tcBorders>
              <w:top w:val="nil"/>
              <w:left w:val="nil"/>
              <w:bottom w:val="nil"/>
              <w:right w:val="nil"/>
            </w:tcBorders>
            <w:shd w:val="clear" w:color="auto" w:fill="auto"/>
            <w:noWrap/>
            <w:vAlign w:val="bottom"/>
            <w:hideMark/>
          </w:tcPr>
          <w:p w14:paraId="56E9C718"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9</w:t>
            </w:r>
          </w:p>
        </w:tc>
      </w:tr>
      <w:tr w:rsidR="00E41E45" w:rsidRPr="00B90ACB" w14:paraId="60FEE526" w14:textId="77777777" w:rsidTr="009430A3">
        <w:trPr>
          <w:trHeight w:val="300"/>
        </w:trPr>
        <w:tc>
          <w:tcPr>
            <w:tcW w:w="960" w:type="dxa"/>
            <w:tcBorders>
              <w:top w:val="nil"/>
              <w:left w:val="nil"/>
              <w:bottom w:val="nil"/>
              <w:right w:val="nil"/>
            </w:tcBorders>
            <w:shd w:val="clear" w:color="auto" w:fill="auto"/>
            <w:noWrap/>
            <w:vAlign w:val="bottom"/>
            <w:hideMark/>
          </w:tcPr>
          <w:p w14:paraId="32E6E170"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2019</w:t>
            </w:r>
          </w:p>
        </w:tc>
        <w:tc>
          <w:tcPr>
            <w:tcW w:w="883" w:type="dxa"/>
            <w:tcBorders>
              <w:top w:val="nil"/>
              <w:left w:val="nil"/>
              <w:bottom w:val="nil"/>
              <w:right w:val="nil"/>
            </w:tcBorders>
            <w:shd w:val="clear" w:color="auto" w:fill="auto"/>
            <w:noWrap/>
            <w:vAlign w:val="bottom"/>
            <w:hideMark/>
          </w:tcPr>
          <w:p w14:paraId="5E634A05" w14:textId="77777777" w:rsidR="00E41E45" w:rsidRPr="00B90ACB" w:rsidRDefault="00E41E45" w:rsidP="009430A3">
            <w:pPr>
              <w:spacing w:after="0" w:line="240" w:lineRule="auto"/>
              <w:rPr>
                <w:rFonts w:ascii="Calibri" w:eastAsia="Times New Roman" w:hAnsi="Calibri" w:cs="Calibri"/>
                <w:color w:val="000000" w:themeColor="text1"/>
                <w:lang w:val="nl-NL" w:eastAsia="nl-NL"/>
              </w:rPr>
            </w:pPr>
          </w:p>
        </w:tc>
        <w:tc>
          <w:tcPr>
            <w:tcW w:w="851" w:type="dxa"/>
            <w:tcBorders>
              <w:top w:val="nil"/>
              <w:left w:val="nil"/>
              <w:bottom w:val="nil"/>
              <w:right w:val="nil"/>
            </w:tcBorders>
            <w:shd w:val="clear" w:color="auto" w:fill="auto"/>
            <w:noWrap/>
            <w:vAlign w:val="bottom"/>
            <w:hideMark/>
          </w:tcPr>
          <w:p w14:paraId="221B94D5"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29</w:t>
            </w:r>
          </w:p>
        </w:tc>
        <w:tc>
          <w:tcPr>
            <w:tcW w:w="850" w:type="dxa"/>
            <w:tcBorders>
              <w:top w:val="nil"/>
              <w:left w:val="nil"/>
              <w:bottom w:val="nil"/>
              <w:right w:val="nil"/>
            </w:tcBorders>
            <w:shd w:val="clear" w:color="auto" w:fill="auto"/>
            <w:noWrap/>
            <w:vAlign w:val="bottom"/>
            <w:hideMark/>
          </w:tcPr>
          <w:p w14:paraId="17298241"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w:t>
            </w:r>
          </w:p>
        </w:tc>
        <w:tc>
          <w:tcPr>
            <w:tcW w:w="851" w:type="dxa"/>
            <w:tcBorders>
              <w:top w:val="nil"/>
              <w:left w:val="nil"/>
              <w:bottom w:val="nil"/>
              <w:right w:val="nil"/>
            </w:tcBorders>
            <w:shd w:val="clear" w:color="auto" w:fill="auto"/>
            <w:noWrap/>
            <w:vAlign w:val="bottom"/>
            <w:hideMark/>
          </w:tcPr>
          <w:p w14:paraId="2E76A70B"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14</w:t>
            </w:r>
          </w:p>
        </w:tc>
        <w:tc>
          <w:tcPr>
            <w:tcW w:w="607" w:type="dxa"/>
            <w:tcBorders>
              <w:top w:val="nil"/>
              <w:left w:val="nil"/>
              <w:bottom w:val="nil"/>
              <w:right w:val="nil"/>
            </w:tcBorders>
            <w:shd w:val="clear" w:color="auto" w:fill="auto"/>
            <w:noWrap/>
            <w:vAlign w:val="bottom"/>
            <w:hideMark/>
          </w:tcPr>
          <w:p w14:paraId="18F32A03"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45</w:t>
            </w:r>
          </w:p>
        </w:tc>
        <w:tc>
          <w:tcPr>
            <w:tcW w:w="160" w:type="dxa"/>
            <w:tcBorders>
              <w:top w:val="nil"/>
              <w:left w:val="nil"/>
              <w:right w:val="nil"/>
            </w:tcBorders>
          </w:tcPr>
          <w:p w14:paraId="439F86D6"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92" w:type="dxa"/>
            <w:tcBorders>
              <w:top w:val="nil"/>
              <w:left w:val="nil"/>
              <w:bottom w:val="nil"/>
              <w:right w:val="nil"/>
            </w:tcBorders>
            <w:shd w:val="clear" w:color="auto" w:fill="auto"/>
            <w:noWrap/>
            <w:vAlign w:val="bottom"/>
            <w:hideMark/>
          </w:tcPr>
          <w:p w14:paraId="5A04A019"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1</w:t>
            </w:r>
          </w:p>
        </w:tc>
        <w:tc>
          <w:tcPr>
            <w:tcW w:w="850" w:type="dxa"/>
            <w:tcBorders>
              <w:top w:val="nil"/>
              <w:left w:val="nil"/>
              <w:bottom w:val="nil"/>
              <w:right w:val="nil"/>
            </w:tcBorders>
            <w:shd w:val="clear" w:color="auto" w:fill="auto"/>
            <w:noWrap/>
            <w:vAlign w:val="bottom"/>
            <w:hideMark/>
          </w:tcPr>
          <w:p w14:paraId="7E7ECF8C"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3</w:t>
            </w:r>
          </w:p>
        </w:tc>
        <w:tc>
          <w:tcPr>
            <w:tcW w:w="709" w:type="dxa"/>
            <w:tcBorders>
              <w:top w:val="nil"/>
              <w:left w:val="nil"/>
              <w:bottom w:val="nil"/>
              <w:right w:val="nil"/>
            </w:tcBorders>
            <w:shd w:val="clear" w:color="auto" w:fill="auto"/>
            <w:noWrap/>
            <w:vAlign w:val="bottom"/>
            <w:hideMark/>
          </w:tcPr>
          <w:p w14:paraId="61ED2059"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4</w:t>
            </w:r>
          </w:p>
        </w:tc>
      </w:tr>
      <w:tr w:rsidR="00E41E45" w:rsidRPr="00B90ACB" w14:paraId="59AE5E9E" w14:textId="77777777" w:rsidTr="009430A3">
        <w:trPr>
          <w:trHeight w:val="315"/>
        </w:trPr>
        <w:tc>
          <w:tcPr>
            <w:tcW w:w="960" w:type="dxa"/>
            <w:tcBorders>
              <w:top w:val="nil"/>
              <w:left w:val="nil"/>
              <w:bottom w:val="single" w:sz="18" w:space="0" w:color="auto"/>
              <w:right w:val="nil"/>
            </w:tcBorders>
            <w:shd w:val="clear" w:color="auto" w:fill="auto"/>
            <w:noWrap/>
            <w:vAlign w:val="bottom"/>
            <w:hideMark/>
          </w:tcPr>
          <w:p w14:paraId="2DA9D572"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2020</w:t>
            </w:r>
          </w:p>
        </w:tc>
        <w:tc>
          <w:tcPr>
            <w:tcW w:w="883" w:type="dxa"/>
            <w:tcBorders>
              <w:top w:val="nil"/>
              <w:left w:val="nil"/>
              <w:bottom w:val="single" w:sz="18" w:space="0" w:color="auto"/>
              <w:right w:val="nil"/>
            </w:tcBorders>
            <w:shd w:val="clear" w:color="auto" w:fill="auto"/>
            <w:noWrap/>
            <w:vAlign w:val="bottom"/>
            <w:hideMark/>
          </w:tcPr>
          <w:p w14:paraId="676E4CCE"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 </w:t>
            </w:r>
          </w:p>
        </w:tc>
        <w:tc>
          <w:tcPr>
            <w:tcW w:w="851" w:type="dxa"/>
            <w:tcBorders>
              <w:top w:val="nil"/>
              <w:left w:val="nil"/>
              <w:bottom w:val="single" w:sz="18" w:space="0" w:color="auto"/>
              <w:right w:val="nil"/>
            </w:tcBorders>
            <w:shd w:val="clear" w:color="auto" w:fill="auto"/>
            <w:noWrap/>
            <w:vAlign w:val="bottom"/>
            <w:hideMark/>
          </w:tcPr>
          <w:p w14:paraId="0D85653D"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34</w:t>
            </w:r>
          </w:p>
        </w:tc>
        <w:tc>
          <w:tcPr>
            <w:tcW w:w="850" w:type="dxa"/>
            <w:tcBorders>
              <w:top w:val="nil"/>
              <w:left w:val="nil"/>
              <w:bottom w:val="single" w:sz="18" w:space="0" w:color="auto"/>
              <w:right w:val="nil"/>
            </w:tcBorders>
            <w:shd w:val="clear" w:color="auto" w:fill="auto"/>
            <w:noWrap/>
            <w:vAlign w:val="bottom"/>
            <w:hideMark/>
          </w:tcPr>
          <w:p w14:paraId="518985F0"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 </w:t>
            </w:r>
          </w:p>
        </w:tc>
        <w:tc>
          <w:tcPr>
            <w:tcW w:w="851" w:type="dxa"/>
            <w:tcBorders>
              <w:top w:val="nil"/>
              <w:left w:val="nil"/>
              <w:bottom w:val="single" w:sz="18" w:space="0" w:color="auto"/>
              <w:right w:val="nil"/>
            </w:tcBorders>
            <w:shd w:val="clear" w:color="auto" w:fill="auto"/>
            <w:noWrap/>
            <w:vAlign w:val="bottom"/>
            <w:hideMark/>
          </w:tcPr>
          <w:p w14:paraId="23E42B8B"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11</w:t>
            </w:r>
          </w:p>
        </w:tc>
        <w:tc>
          <w:tcPr>
            <w:tcW w:w="607" w:type="dxa"/>
            <w:tcBorders>
              <w:top w:val="nil"/>
              <w:left w:val="nil"/>
              <w:bottom w:val="single" w:sz="18" w:space="0" w:color="auto"/>
              <w:right w:val="nil"/>
            </w:tcBorders>
            <w:shd w:val="clear" w:color="auto" w:fill="auto"/>
            <w:noWrap/>
            <w:vAlign w:val="bottom"/>
            <w:hideMark/>
          </w:tcPr>
          <w:p w14:paraId="036747CB"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45</w:t>
            </w:r>
          </w:p>
        </w:tc>
        <w:tc>
          <w:tcPr>
            <w:tcW w:w="160" w:type="dxa"/>
            <w:tcBorders>
              <w:top w:val="nil"/>
              <w:left w:val="nil"/>
              <w:bottom w:val="single" w:sz="18" w:space="0" w:color="auto"/>
              <w:right w:val="nil"/>
            </w:tcBorders>
          </w:tcPr>
          <w:p w14:paraId="2C39F77C"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p>
        </w:tc>
        <w:tc>
          <w:tcPr>
            <w:tcW w:w="792" w:type="dxa"/>
            <w:tcBorders>
              <w:top w:val="nil"/>
              <w:left w:val="nil"/>
              <w:bottom w:val="single" w:sz="18" w:space="0" w:color="auto"/>
              <w:right w:val="nil"/>
            </w:tcBorders>
            <w:shd w:val="clear" w:color="auto" w:fill="auto"/>
            <w:noWrap/>
            <w:vAlign w:val="bottom"/>
            <w:hideMark/>
          </w:tcPr>
          <w:p w14:paraId="46D8277D"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 </w:t>
            </w:r>
          </w:p>
        </w:tc>
        <w:tc>
          <w:tcPr>
            <w:tcW w:w="850" w:type="dxa"/>
            <w:tcBorders>
              <w:top w:val="nil"/>
              <w:left w:val="nil"/>
              <w:bottom w:val="single" w:sz="18" w:space="0" w:color="auto"/>
              <w:right w:val="nil"/>
            </w:tcBorders>
            <w:shd w:val="clear" w:color="auto" w:fill="auto"/>
            <w:noWrap/>
            <w:vAlign w:val="bottom"/>
            <w:hideMark/>
          </w:tcPr>
          <w:p w14:paraId="6D6FBF46"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w:t>
            </w:r>
          </w:p>
        </w:tc>
        <w:tc>
          <w:tcPr>
            <w:tcW w:w="709" w:type="dxa"/>
            <w:tcBorders>
              <w:top w:val="nil"/>
              <w:left w:val="nil"/>
              <w:bottom w:val="single" w:sz="18" w:space="0" w:color="auto"/>
              <w:right w:val="nil"/>
            </w:tcBorders>
            <w:shd w:val="clear" w:color="auto" w:fill="auto"/>
            <w:noWrap/>
            <w:vAlign w:val="bottom"/>
            <w:hideMark/>
          </w:tcPr>
          <w:p w14:paraId="7309CA9A" w14:textId="77777777" w:rsidR="00E41E45" w:rsidRPr="00B90ACB" w:rsidRDefault="00E41E45" w:rsidP="009430A3">
            <w:pPr>
              <w:spacing w:after="0" w:line="240" w:lineRule="auto"/>
              <w:jc w:val="center"/>
              <w:rPr>
                <w:rFonts w:ascii="Calibri" w:eastAsia="Times New Roman" w:hAnsi="Calibri" w:cs="Calibri"/>
                <w:color w:val="000000" w:themeColor="text1"/>
                <w:lang w:val="nl-NL" w:eastAsia="nl-NL"/>
              </w:rPr>
            </w:pPr>
            <w:r w:rsidRPr="00B90ACB">
              <w:rPr>
                <w:rFonts w:ascii="Calibri" w:eastAsia="Times New Roman" w:hAnsi="Calibri" w:cs="Calibri"/>
                <w:color w:val="000000" w:themeColor="text1"/>
                <w:lang w:val="nl-NL" w:eastAsia="nl-NL"/>
              </w:rPr>
              <w:t>2</w:t>
            </w:r>
          </w:p>
        </w:tc>
      </w:tr>
    </w:tbl>
    <w:p w14:paraId="1170CA2A" w14:textId="77777777" w:rsidR="00E41E45" w:rsidRDefault="00E41E45" w:rsidP="00E41E45">
      <w:pPr>
        <w:pStyle w:val="Caption"/>
        <w:keepNext/>
        <w:rPr>
          <w:color w:val="000000" w:themeColor="text1"/>
        </w:rPr>
      </w:pPr>
    </w:p>
    <w:p w14:paraId="1F98B3B3" w14:textId="6C3A1945" w:rsidR="000715B0" w:rsidRPr="000715B0" w:rsidRDefault="000715B0" w:rsidP="000715B0">
      <w:pPr>
        <w:keepNext/>
        <w:rPr>
          <w:i/>
          <w:iCs/>
          <w:color w:val="000000" w:themeColor="text1"/>
          <w:sz w:val="18"/>
          <w:szCs w:val="18"/>
        </w:rPr>
      </w:pPr>
      <w:r w:rsidRPr="000715B0">
        <w:rPr>
          <w:i/>
          <w:iCs/>
          <w:color w:val="000000" w:themeColor="text1"/>
          <w:sz w:val="18"/>
          <w:szCs w:val="18"/>
        </w:rPr>
        <w:t>Table S 2: Number of adult female geese per population and month (relative to the incubation period) that were used to compare body condition dynamics</w:t>
      </w:r>
      <w:r w:rsidR="00427C5B">
        <w:rPr>
          <w:i/>
          <w:iCs/>
          <w:color w:val="000000" w:themeColor="text1"/>
          <w:sz w:val="18"/>
          <w:szCs w:val="18"/>
        </w:rPr>
        <w:t xml:space="preserve"> throughout the year</w:t>
      </w:r>
      <w:r w:rsidRPr="000715B0">
        <w:rPr>
          <w:i/>
          <w:iCs/>
          <w:color w:val="000000" w:themeColor="text1"/>
          <w:sz w:val="18"/>
          <w:szCs w:val="18"/>
        </w:rPr>
        <w:t>.</w:t>
      </w:r>
    </w:p>
    <w:tbl>
      <w:tblPr>
        <w:tblW w:w="7371" w:type="dxa"/>
        <w:tblCellMar>
          <w:left w:w="70" w:type="dxa"/>
          <w:right w:w="70" w:type="dxa"/>
        </w:tblCellMar>
        <w:tblLook w:val="04A0" w:firstRow="1" w:lastRow="0" w:firstColumn="1" w:lastColumn="0" w:noHBand="0" w:noVBand="1"/>
      </w:tblPr>
      <w:tblGrid>
        <w:gridCol w:w="3686"/>
        <w:gridCol w:w="1559"/>
        <w:gridCol w:w="2126"/>
      </w:tblGrid>
      <w:tr w:rsidR="000715B0" w:rsidRPr="00FD7C92" w14:paraId="065344B0" w14:textId="77777777" w:rsidTr="00E06847">
        <w:trPr>
          <w:trHeight w:val="300"/>
        </w:trPr>
        <w:tc>
          <w:tcPr>
            <w:tcW w:w="3686" w:type="dxa"/>
            <w:tcBorders>
              <w:top w:val="nil"/>
              <w:left w:val="nil"/>
              <w:bottom w:val="nil"/>
              <w:right w:val="nil"/>
            </w:tcBorders>
            <w:shd w:val="clear" w:color="auto" w:fill="auto"/>
            <w:noWrap/>
            <w:vAlign w:val="bottom"/>
            <w:hideMark/>
          </w:tcPr>
          <w:p w14:paraId="40329EF6" w14:textId="77777777" w:rsidR="000715B0" w:rsidRPr="00E06847" w:rsidRDefault="000715B0" w:rsidP="00E06847">
            <w:pPr>
              <w:spacing w:after="0" w:line="240" w:lineRule="auto"/>
              <w:rPr>
                <w:rFonts w:ascii="Times New Roman" w:eastAsia="Times New Roman" w:hAnsi="Times New Roman" w:cs="Times New Roman"/>
                <w:sz w:val="24"/>
                <w:szCs w:val="24"/>
                <w:lang w:val="en-US" w:eastAsia="nl-NL"/>
              </w:rPr>
            </w:pPr>
          </w:p>
        </w:tc>
        <w:tc>
          <w:tcPr>
            <w:tcW w:w="3685" w:type="dxa"/>
            <w:gridSpan w:val="2"/>
            <w:tcBorders>
              <w:top w:val="nil"/>
              <w:left w:val="nil"/>
              <w:bottom w:val="single" w:sz="4" w:space="0" w:color="auto"/>
              <w:right w:val="nil"/>
            </w:tcBorders>
            <w:shd w:val="clear" w:color="auto" w:fill="auto"/>
            <w:noWrap/>
            <w:vAlign w:val="bottom"/>
            <w:hideMark/>
          </w:tcPr>
          <w:p w14:paraId="71092166" w14:textId="77777777" w:rsidR="000715B0" w:rsidRPr="00FD7C92" w:rsidRDefault="000715B0" w:rsidP="00E06847">
            <w:pPr>
              <w:spacing w:after="0" w:line="240" w:lineRule="auto"/>
              <w:jc w:val="center"/>
              <w:rPr>
                <w:rFonts w:ascii="Calibri" w:eastAsia="Times New Roman" w:hAnsi="Calibri" w:cs="Calibri"/>
                <w:b/>
                <w:bCs/>
                <w:color w:val="000000"/>
                <w:lang w:val="nl-NL" w:eastAsia="nl-NL"/>
              </w:rPr>
            </w:pPr>
            <w:proofErr w:type="spellStart"/>
            <w:r w:rsidRPr="00FD7C92">
              <w:rPr>
                <w:rFonts w:ascii="Calibri" w:eastAsia="Times New Roman" w:hAnsi="Calibri" w:cs="Calibri"/>
                <w:b/>
                <w:bCs/>
                <w:color w:val="000000"/>
                <w:lang w:val="nl-NL" w:eastAsia="nl-NL"/>
              </w:rPr>
              <w:t>Population</w:t>
            </w:r>
            <w:proofErr w:type="spellEnd"/>
          </w:p>
        </w:tc>
      </w:tr>
      <w:tr w:rsidR="000715B0" w:rsidRPr="00FD7C92" w14:paraId="603C2E4F" w14:textId="77777777" w:rsidTr="00E06847">
        <w:trPr>
          <w:trHeight w:val="300"/>
        </w:trPr>
        <w:tc>
          <w:tcPr>
            <w:tcW w:w="3686" w:type="dxa"/>
            <w:tcBorders>
              <w:top w:val="nil"/>
              <w:left w:val="nil"/>
              <w:bottom w:val="single" w:sz="4" w:space="0" w:color="auto"/>
              <w:right w:val="nil"/>
            </w:tcBorders>
            <w:shd w:val="clear" w:color="auto" w:fill="auto"/>
            <w:noWrap/>
            <w:vAlign w:val="bottom"/>
            <w:hideMark/>
          </w:tcPr>
          <w:p w14:paraId="437EC684" w14:textId="77777777" w:rsidR="000715B0" w:rsidRPr="00E06847" w:rsidRDefault="000715B0" w:rsidP="00E06847">
            <w:pPr>
              <w:spacing w:after="0" w:line="240" w:lineRule="auto"/>
              <w:jc w:val="center"/>
              <w:rPr>
                <w:rFonts w:ascii="Calibri" w:eastAsia="Times New Roman" w:hAnsi="Calibri" w:cs="Calibri"/>
                <w:b/>
                <w:bCs/>
                <w:color w:val="000000"/>
                <w:lang w:val="en-US" w:eastAsia="nl-NL"/>
              </w:rPr>
            </w:pPr>
            <w:r w:rsidRPr="00E06847">
              <w:rPr>
                <w:rFonts w:ascii="Calibri" w:eastAsia="Times New Roman" w:hAnsi="Calibri" w:cs="Calibri"/>
                <w:b/>
                <w:bCs/>
                <w:color w:val="000000"/>
                <w:lang w:val="en-US" w:eastAsia="nl-NL"/>
              </w:rPr>
              <w:t xml:space="preserve">Month </w:t>
            </w:r>
            <w:r>
              <w:rPr>
                <w:rFonts w:ascii="Calibri" w:eastAsia="Times New Roman" w:hAnsi="Calibri" w:cs="Calibri"/>
                <w:b/>
                <w:bCs/>
                <w:color w:val="000000"/>
                <w:lang w:val="en-US" w:eastAsia="nl-NL"/>
              </w:rPr>
              <w:br/>
            </w:r>
            <w:r w:rsidRPr="00E06847">
              <w:rPr>
                <w:rFonts w:ascii="Calibri" w:eastAsia="Times New Roman" w:hAnsi="Calibri" w:cs="Calibri"/>
                <w:b/>
                <w:bCs/>
                <w:color w:val="000000"/>
                <w:lang w:val="en-US" w:eastAsia="nl-NL"/>
              </w:rPr>
              <w:t>(relative to incubation period)</w:t>
            </w:r>
          </w:p>
        </w:tc>
        <w:tc>
          <w:tcPr>
            <w:tcW w:w="1559" w:type="dxa"/>
            <w:tcBorders>
              <w:top w:val="nil"/>
              <w:left w:val="nil"/>
              <w:bottom w:val="single" w:sz="4" w:space="0" w:color="auto"/>
              <w:right w:val="nil"/>
            </w:tcBorders>
            <w:shd w:val="clear" w:color="auto" w:fill="auto"/>
            <w:noWrap/>
            <w:vAlign w:val="bottom"/>
            <w:hideMark/>
          </w:tcPr>
          <w:p w14:paraId="719280BB" w14:textId="77777777" w:rsidR="000715B0" w:rsidRPr="00E06847" w:rsidRDefault="000715B0" w:rsidP="00E06847">
            <w:pPr>
              <w:spacing w:after="0" w:line="240" w:lineRule="auto"/>
              <w:jc w:val="center"/>
              <w:rPr>
                <w:rFonts w:ascii="Calibri" w:eastAsia="Times New Roman" w:hAnsi="Calibri" w:cs="Calibri"/>
                <w:b/>
                <w:bCs/>
                <w:color w:val="000000"/>
                <w:lang w:val="nl-NL" w:eastAsia="nl-NL"/>
              </w:rPr>
            </w:pPr>
            <w:r w:rsidRPr="00E06847">
              <w:rPr>
                <w:rFonts w:ascii="Calibri" w:eastAsia="Times New Roman" w:hAnsi="Calibri" w:cs="Calibri"/>
                <w:b/>
                <w:bCs/>
                <w:color w:val="000000"/>
                <w:lang w:val="nl-NL" w:eastAsia="nl-NL"/>
              </w:rPr>
              <w:t>Resident</w:t>
            </w:r>
          </w:p>
        </w:tc>
        <w:tc>
          <w:tcPr>
            <w:tcW w:w="2126" w:type="dxa"/>
            <w:tcBorders>
              <w:top w:val="nil"/>
              <w:left w:val="nil"/>
              <w:bottom w:val="single" w:sz="4" w:space="0" w:color="auto"/>
              <w:right w:val="nil"/>
            </w:tcBorders>
            <w:shd w:val="clear" w:color="auto" w:fill="auto"/>
            <w:noWrap/>
            <w:vAlign w:val="bottom"/>
            <w:hideMark/>
          </w:tcPr>
          <w:p w14:paraId="1C616A6A" w14:textId="77777777" w:rsidR="000715B0" w:rsidRPr="00E06847" w:rsidRDefault="000715B0" w:rsidP="00E06847">
            <w:pPr>
              <w:spacing w:after="0" w:line="240" w:lineRule="auto"/>
              <w:jc w:val="center"/>
              <w:rPr>
                <w:rFonts w:ascii="Calibri" w:eastAsia="Times New Roman" w:hAnsi="Calibri" w:cs="Calibri"/>
                <w:b/>
                <w:bCs/>
                <w:color w:val="000000"/>
                <w:lang w:val="nl-NL" w:eastAsia="nl-NL"/>
              </w:rPr>
            </w:pPr>
            <w:proofErr w:type="spellStart"/>
            <w:r w:rsidRPr="00E06847">
              <w:rPr>
                <w:rFonts w:ascii="Calibri" w:eastAsia="Times New Roman" w:hAnsi="Calibri" w:cs="Calibri"/>
                <w:b/>
                <w:bCs/>
                <w:color w:val="000000"/>
                <w:lang w:val="nl-NL" w:eastAsia="nl-NL"/>
              </w:rPr>
              <w:t>Migratory</w:t>
            </w:r>
            <w:proofErr w:type="spellEnd"/>
          </w:p>
        </w:tc>
      </w:tr>
      <w:tr w:rsidR="000715B0" w:rsidRPr="00FD7C92" w14:paraId="33C7DB57" w14:textId="77777777" w:rsidTr="00E06847">
        <w:trPr>
          <w:trHeight w:val="300"/>
        </w:trPr>
        <w:tc>
          <w:tcPr>
            <w:tcW w:w="3686" w:type="dxa"/>
            <w:tcBorders>
              <w:top w:val="nil"/>
              <w:left w:val="nil"/>
              <w:bottom w:val="nil"/>
              <w:right w:val="nil"/>
            </w:tcBorders>
            <w:shd w:val="clear" w:color="auto" w:fill="auto"/>
            <w:noWrap/>
            <w:vAlign w:val="bottom"/>
            <w:hideMark/>
          </w:tcPr>
          <w:p w14:paraId="7FC989AD"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-5</w:t>
            </w:r>
          </w:p>
        </w:tc>
        <w:tc>
          <w:tcPr>
            <w:tcW w:w="1559" w:type="dxa"/>
            <w:tcBorders>
              <w:top w:val="nil"/>
              <w:left w:val="nil"/>
              <w:bottom w:val="nil"/>
              <w:right w:val="nil"/>
            </w:tcBorders>
            <w:shd w:val="clear" w:color="auto" w:fill="auto"/>
            <w:noWrap/>
            <w:vAlign w:val="bottom"/>
            <w:hideMark/>
          </w:tcPr>
          <w:p w14:paraId="71B3B126"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8</w:t>
            </w:r>
          </w:p>
        </w:tc>
        <w:tc>
          <w:tcPr>
            <w:tcW w:w="2126" w:type="dxa"/>
            <w:tcBorders>
              <w:top w:val="nil"/>
              <w:left w:val="nil"/>
              <w:bottom w:val="nil"/>
              <w:right w:val="nil"/>
            </w:tcBorders>
            <w:shd w:val="clear" w:color="auto" w:fill="auto"/>
            <w:noWrap/>
            <w:vAlign w:val="bottom"/>
            <w:hideMark/>
          </w:tcPr>
          <w:p w14:paraId="159FF006"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361</w:t>
            </w:r>
          </w:p>
        </w:tc>
      </w:tr>
      <w:tr w:rsidR="000715B0" w:rsidRPr="00FD7C92" w14:paraId="2DD913F0" w14:textId="77777777" w:rsidTr="00E06847">
        <w:trPr>
          <w:trHeight w:val="300"/>
        </w:trPr>
        <w:tc>
          <w:tcPr>
            <w:tcW w:w="3686" w:type="dxa"/>
            <w:tcBorders>
              <w:top w:val="nil"/>
              <w:left w:val="nil"/>
              <w:bottom w:val="nil"/>
              <w:right w:val="nil"/>
            </w:tcBorders>
            <w:shd w:val="clear" w:color="auto" w:fill="auto"/>
            <w:noWrap/>
            <w:vAlign w:val="bottom"/>
            <w:hideMark/>
          </w:tcPr>
          <w:p w14:paraId="1536652F"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-4</w:t>
            </w:r>
          </w:p>
        </w:tc>
        <w:tc>
          <w:tcPr>
            <w:tcW w:w="1559" w:type="dxa"/>
            <w:tcBorders>
              <w:top w:val="nil"/>
              <w:left w:val="nil"/>
              <w:bottom w:val="nil"/>
              <w:right w:val="nil"/>
            </w:tcBorders>
            <w:shd w:val="clear" w:color="auto" w:fill="auto"/>
            <w:noWrap/>
            <w:vAlign w:val="bottom"/>
            <w:hideMark/>
          </w:tcPr>
          <w:p w14:paraId="62D487FA"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43</w:t>
            </w:r>
          </w:p>
        </w:tc>
        <w:tc>
          <w:tcPr>
            <w:tcW w:w="2126" w:type="dxa"/>
            <w:tcBorders>
              <w:top w:val="nil"/>
              <w:left w:val="nil"/>
              <w:bottom w:val="nil"/>
              <w:right w:val="nil"/>
            </w:tcBorders>
            <w:shd w:val="clear" w:color="auto" w:fill="auto"/>
            <w:noWrap/>
            <w:vAlign w:val="bottom"/>
            <w:hideMark/>
          </w:tcPr>
          <w:p w14:paraId="0E715BBD"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177</w:t>
            </w:r>
          </w:p>
        </w:tc>
      </w:tr>
      <w:tr w:rsidR="000715B0" w:rsidRPr="00FD7C92" w14:paraId="79E50F3C" w14:textId="77777777" w:rsidTr="00E06847">
        <w:trPr>
          <w:trHeight w:val="300"/>
        </w:trPr>
        <w:tc>
          <w:tcPr>
            <w:tcW w:w="3686" w:type="dxa"/>
            <w:tcBorders>
              <w:top w:val="nil"/>
              <w:left w:val="nil"/>
              <w:bottom w:val="nil"/>
              <w:right w:val="nil"/>
            </w:tcBorders>
            <w:shd w:val="clear" w:color="auto" w:fill="auto"/>
            <w:noWrap/>
            <w:vAlign w:val="bottom"/>
            <w:hideMark/>
          </w:tcPr>
          <w:p w14:paraId="7BDEB374"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-3</w:t>
            </w:r>
          </w:p>
        </w:tc>
        <w:tc>
          <w:tcPr>
            <w:tcW w:w="1559" w:type="dxa"/>
            <w:tcBorders>
              <w:top w:val="nil"/>
              <w:left w:val="nil"/>
              <w:bottom w:val="nil"/>
              <w:right w:val="nil"/>
            </w:tcBorders>
            <w:shd w:val="clear" w:color="auto" w:fill="auto"/>
            <w:noWrap/>
            <w:vAlign w:val="bottom"/>
            <w:hideMark/>
          </w:tcPr>
          <w:p w14:paraId="29975E1B"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28</w:t>
            </w:r>
          </w:p>
        </w:tc>
        <w:tc>
          <w:tcPr>
            <w:tcW w:w="2126" w:type="dxa"/>
            <w:tcBorders>
              <w:top w:val="nil"/>
              <w:left w:val="nil"/>
              <w:bottom w:val="nil"/>
              <w:right w:val="nil"/>
            </w:tcBorders>
            <w:shd w:val="clear" w:color="auto" w:fill="auto"/>
            <w:noWrap/>
            <w:vAlign w:val="bottom"/>
            <w:hideMark/>
          </w:tcPr>
          <w:p w14:paraId="2F01FA1E"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89</w:t>
            </w:r>
          </w:p>
        </w:tc>
      </w:tr>
      <w:tr w:rsidR="000715B0" w:rsidRPr="00FD7C92" w14:paraId="346FE778" w14:textId="77777777" w:rsidTr="00E06847">
        <w:trPr>
          <w:trHeight w:val="300"/>
        </w:trPr>
        <w:tc>
          <w:tcPr>
            <w:tcW w:w="3686" w:type="dxa"/>
            <w:tcBorders>
              <w:top w:val="nil"/>
              <w:left w:val="nil"/>
              <w:bottom w:val="nil"/>
              <w:right w:val="nil"/>
            </w:tcBorders>
            <w:shd w:val="clear" w:color="auto" w:fill="auto"/>
            <w:noWrap/>
            <w:vAlign w:val="bottom"/>
            <w:hideMark/>
          </w:tcPr>
          <w:p w14:paraId="638675CB"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-2</w:t>
            </w:r>
          </w:p>
        </w:tc>
        <w:tc>
          <w:tcPr>
            <w:tcW w:w="1559" w:type="dxa"/>
            <w:tcBorders>
              <w:top w:val="nil"/>
              <w:left w:val="nil"/>
              <w:bottom w:val="nil"/>
              <w:right w:val="nil"/>
            </w:tcBorders>
            <w:shd w:val="clear" w:color="auto" w:fill="auto"/>
            <w:noWrap/>
            <w:vAlign w:val="bottom"/>
            <w:hideMark/>
          </w:tcPr>
          <w:p w14:paraId="3861D678"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80</w:t>
            </w:r>
          </w:p>
        </w:tc>
        <w:tc>
          <w:tcPr>
            <w:tcW w:w="2126" w:type="dxa"/>
            <w:tcBorders>
              <w:top w:val="nil"/>
              <w:left w:val="nil"/>
              <w:bottom w:val="nil"/>
              <w:right w:val="nil"/>
            </w:tcBorders>
            <w:shd w:val="clear" w:color="auto" w:fill="auto"/>
            <w:noWrap/>
            <w:vAlign w:val="bottom"/>
            <w:hideMark/>
          </w:tcPr>
          <w:p w14:paraId="1C6D9EC0"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88</w:t>
            </w:r>
          </w:p>
        </w:tc>
      </w:tr>
      <w:tr w:rsidR="000715B0" w:rsidRPr="00FD7C92" w14:paraId="3FD66DA4" w14:textId="77777777" w:rsidTr="00E06847">
        <w:trPr>
          <w:trHeight w:val="300"/>
        </w:trPr>
        <w:tc>
          <w:tcPr>
            <w:tcW w:w="3686" w:type="dxa"/>
            <w:tcBorders>
              <w:top w:val="nil"/>
              <w:left w:val="nil"/>
              <w:bottom w:val="nil"/>
              <w:right w:val="nil"/>
            </w:tcBorders>
            <w:shd w:val="clear" w:color="auto" w:fill="auto"/>
            <w:noWrap/>
            <w:vAlign w:val="bottom"/>
            <w:hideMark/>
          </w:tcPr>
          <w:p w14:paraId="440FB784"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-1</w:t>
            </w:r>
          </w:p>
        </w:tc>
        <w:tc>
          <w:tcPr>
            <w:tcW w:w="1559" w:type="dxa"/>
            <w:tcBorders>
              <w:top w:val="nil"/>
              <w:left w:val="nil"/>
              <w:bottom w:val="nil"/>
              <w:right w:val="nil"/>
            </w:tcBorders>
            <w:shd w:val="clear" w:color="auto" w:fill="auto"/>
            <w:noWrap/>
            <w:vAlign w:val="bottom"/>
            <w:hideMark/>
          </w:tcPr>
          <w:p w14:paraId="2A002363"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58</w:t>
            </w:r>
          </w:p>
        </w:tc>
        <w:tc>
          <w:tcPr>
            <w:tcW w:w="2126" w:type="dxa"/>
            <w:tcBorders>
              <w:top w:val="nil"/>
              <w:left w:val="nil"/>
              <w:bottom w:val="nil"/>
              <w:right w:val="nil"/>
            </w:tcBorders>
            <w:shd w:val="clear" w:color="auto" w:fill="auto"/>
            <w:noWrap/>
            <w:vAlign w:val="bottom"/>
            <w:hideMark/>
          </w:tcPr>
          <w:p w14:paraId="625A5E09"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115</w:t>
            </w:r>
          </w:p>
        </w:tc>
      </w:tr>
      <w:tr w:rsidR="000715B0" w:rsidRPr="00FD7C92" w14:paraId="65D3D5A9" w14:textId="77777777" w:rsidTr="00E06847">
        <w:trPr>
          <w:trHeight w:val="300"/>
        </w:trPr>
        <w:tc>
          <w:tcPr>
            <w:tcW w:w="3686" w:type="dxa"/>
            <w:tcBorders>
              <w:top w:val="nil"/>
              <w:left w:val="nil"/>
              <w:bottom w:val="nil"/>
              <w:right w:val="nil"/>
            </w:tcBorders>
            <w:shd w:val="clear" w:color="auto" w:fill="auto"/>
            <w:noWrap/>
            <w:vAlign w:val="bottom"/>
            <w:hideMark/>
          </w:tcPr>
          <w:p w14:paraId="2038F569"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0</w:t>
            </w:r>
          </w:p>
        </w:tc>
        <w:tc>
          <w:tcPr>
            <w:tcW w:w="1559" w:type="dxa"/>
            <w:tcBorders>
              <w:top w:val="nil"/>
              <w:left w:val="nil"/>
              <w:bottom w:val="nil"/>
              <w:right w:val="nil"/>
            </w:tcBorders>
            <w:shd w:val="clear" w:color="auto" w:fill="auto"/>
            <w:noWrap/>
            <w:vAlign w:val="bottom"/>
            <w:hideMark/>
          </w:tcPr>
          <w:p w14:paraId="442B85E6"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67</w:t>
            </w:r>
          </w:p>
        </w:tc>
        <w:tc>
          <w:tcPr>
            <w:tcW w:w="2126" w:type="dxa"/>
            <w:tcBorders>
              <w:top w:val="nil"/>
              <w:left w:val="nil"/>
              <w:bottom w:val="nil"/>
              <w:right w:val="nil"/>
            </w:tcBorders>
            <w:shd w:val="clear" w:color="auto" w:fill="auto"/>
            <w:noWrap/>
            <w:vAlign w:val="bottom"/>
            <w:hideMark/>
          </w:tcPr>
          <w:p w14:paraId="54BCB0B4"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128</w:t>
            </w:r>
          </w:p>
        </w:tc>
      </w:tr>
      <w:tr w:rsidR="000715B0" w:rsidRPr="00FD7C92" w14:paraId="613263A3" w14:textId="77777777" w:rsidTr="00E06847">
        <w:trPr>
          <w:trHeight w:val="300"/>
        </w:trPr>
        <w:tc>
          <w:tcPr>
            <w:tcW w:w="3686" w:type="dxa"/>
            <w:tcBorders>
              <w:top w:val="nil"/>
              <w:left w:val="nil"/>
              <w:bottom w:val="nil"/>
              <w:right w:val="nil"/>
            </w:tcBorders>
            <w:shd w:val="clear" w:color="auto" w:fill="auto"/>
            <w:noWrap/>
            <w:vAlign w:val="bottom"/>
            <w:hideMark/>
          </w:tcPr>
          <w:p w14:paraId="0AB8A04B"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1</w:t>
            </w:r>
          </w:p>
        </w:tc>
        <w:tc>
          <w:tcPr>
            <w:tcW w:w="1559" w:type="dxa"/>
            <w:tcBorders>
              <w:top w:val="nil"/>
              <w:left w:val="nil"/>
              <w:bottom w:val="nil"/>
              <w:right w:val="nil"/>
            </w:tcBorders>
            <w:shd w:val="clear" w:color="auto" w:fill="auto"/>
            <w:noWrap/>
            <w:vAlign w:val="bottom"/>
            <w:hideMark/>
          </w:tcPr>
          <w:p w14:paraId="67EA264D"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28</w:t>
            </w:r>
          </w:p>
        </w:tc>
        <w:tc>
          <w:tcPr>
            <w:tcW w:w="2126" w:type="dxa"/>
            <w:tcBorders>
              <w:top w:val="nil"/>
              <w:left w:val="nil"/>
              <w:bottom w:val="nil"/>
              <w:right w:val="nil"/>
            </w:tcBorders>
            <w:shd w:val="clear" w:color="auto" w:fill="auto"/>
            <w:noWrap/>
            <w:vAlign w:val="bottom"/>
            <w:hideMark/>
          </w:tcPr>
          <w:p w14:paraId="1CCC35A3"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742</w:t>
            </w:r>
          </w:p>
        </w:tc>
      </w:tr>
      <w:tr w:rsidR="000715B0" w:rsidRPr="00FD7C92" w14:paraId="12BA26CC" w14:textId="77777777" w:rsidTr="00E06847">
        <w:trPr>
          <w:trHeight w:val="300"/>
        </w:trPr>
        <w:tc>
          <w:tcPr>
            <w:tcW w:w="3686" w:type="dxa"/>
            <w:tcBorders>
              <w:top w:val="nil"/>
              <w:left w:val="nil"/>
              <w:bottom w:val="nil"/>
              <w:right w:val="nil"/>
            </w:tcBorders>
            <w:shd w:val="clear" w:color="auto" w:fill="auto"/>
            <w:noWrap/>
            <w:vAlign w:val="bottom"/>
            <w:hideMark/>
          </w:tcPr>
          <w:p w14:paraId="6525519C"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2</w:t>
            </w:r>
          </w:p>
        </w:tc>
        <w:tc>
          <w:tcPr>
            <w:tcW w:w="1559" w:type="dxa"/>
            <w:tcBorders>
              <w:top w:val="nil"/>
              <w:left w:val="nil"/>
              <w:bottom w:val="nil"/>
              <w:right w:val="nil"/>
            </w:tcBorders>
            <w:shd w:val="clear" w:color="auto" w:fill="auto"/>
            <w:noWrap/>
            <w:vAlign w:val="bottom"/>
            <w:hideMark/>
          </w:tcPr>
          <w:p w14:paraId="63B8AF00"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474</w:t>
            </w:r>
          </w:p>
        </w:tc>
        <w:tc>
          <w:tcPr>
            <w:tcW w:w="2126" w:type="dxa"/>
            <w:tcBorders>
              <w:top w:val="nil"/>
              <w:left w:val="nil"/>
              <w:bottom w:val="nil"/>
              <w:right w:val="nil"/>
            </w:tcBorders>
            <w:shd w:val="clear" w:color="auto" w:fill="auto"/>
            <w:noWrap/>
            <w:vAlign w:val="bottom"/>
            <w:hideMark/>
          </w:tcPr>
          <w:p w14:paraId="3F1E9154"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336</w:t>
            </w:r>
          </w:p>
        </w:tc>
      </w:tr>
      <w:tr w:rsidR="000715B0" w:rsidRPr="00FD7C92" w14:paraId="701FE37B" w14:textId="77777777" w:rsidTr="00E06847">
        <w:trPr>
          <w:trHeight w:val="300"/>
        </w:trPr>
        <w:tc>
          <w:tcPr>
            <w:tcW w:w="3686" w:type="dxa"/>
            <w:tcBorders>
              <w:top w:val="nil"/>
              <w:left w:val="nil"/>
              <w:bottom w:val="nil"/>
              <w:right w:val="nil"/>
            </w:tcBorders>
            <w:shd w:val="clear" w:color="auto" w:fill="auto"/>
            <w:noWrap/>
            <w:vAlign w:val="bottom"/>
            <w:hideMark/>
          </w:tcPr>
          <w:p w14:paraId="0A6F2D70"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3</w:t>
            </w:r>
          </w:p>
        </w:tc>
        <w:tc>
          <w:tcPr>
            <w:tcW w:w="1559" w:type="dxa"/>
            <w:tcBorders>
              <w:top w:val="nil"/>
              <w:left w:val="nil"/>
              <w:bottom w:val="nil"/>
              <w:right w:val="nil"/>
            </w:tcBorders>
            <w:shd w:val="clear" w:color="auto" w:fill="auto"/>
            <w:noWrap/>
            <w:vAlign w:val="bottom"/>
            <w:hideMark/>
          </w:tcPr>
          <w:p w14:paraId="662EE68B"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0</w:t>
            </w:r>
          </w:p>
        </w:tc>
        <w:tc>
          <w:tcPr>
            <w:tcW w:w="2126" w:type="dxa"/>
            <w:tcBorders>
              <w:top w:val="nil"/>
              <w:left w:val="nil"/>
              <w:bottom w:val="nil"/>
              <w:right w:val="nil"/>
            </w:tcBorders>
            <w:shd w:val="clear" w:color="auto" w:fill="auto"/>
            <w:noWrap/>
            <w:vAlign w:val="bottom"/>
            <w:hideMark/>
          </w:tcPr>
          <w:p w14:paraId="304F5FED"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0</w:t>
            </w:r>
          </w:p>
        </w:tc>
      </w:tr>
      <w:tr w:rsidR="000715B0" w:rsidRPr="00FD7C92" w14:paraId="75381D2E" w14:textId="77777777" w:rsidTr="00E06847">
        <w:trPr>
          <w:trHeight w:val="300"/>
        </w:trPr>
        <w:tc>
          <w:tcPr>
            <w:tcW w:w="3686" w:type="dxa"/>
            <w:tcBorders>
              <w:top w:val="nil"/>
              <w:left w:val="nil"/>
              <w:bottom w:val="nil"/>
              <w:right w:val="nil"/>
            </w:tcBorders>
            <w:shd w:val="clear" w:color="auto" w:fill="auto"/>
            <w:noWrap/>
            <w:vAlign w:val="bottom"/>
            <w:hideMark/>
          </w:tcPr>
          <w:p w14:paraId="1266E477"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4</w:t>
            </w:r>
          </w:p>
        </w:tc>
        <w:tc>
          <w:tcPr>
            <w:tcW w:w="1559" w:type="dxa"/>
            <w:tcBorders>
              <w:top w:val="nil"/>
              <w:left w:val="nil"/>
              <w:bottom w:val="nil"/>
              <w:right w:val="nil"/>
            </w:tcBorders>
            <w:shd w:val="clear" w:color="auto" w:fill="auto"/>
            <w:noWrap/>
            <w:vAlign w:val="bottom"/>
            <w:hideMark/>
          </w:tcPr>
          <w:p w14:paraId="10576999"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22</w:t>
            </w:r>
          </w:p>
        </w:tc>
        <w:tc>
          <w:tcPr>
            <w:tcW w:w="2126" w:type="dxa"/>
            <w:tcBorders>
              <w:top w:val="nil"/>
              <w:left w:val="nil"/>
              <w:bottom w:val="nil"/>
              <w:right w:val="nil"/>
            </w:tcBorders>
            <w:shd w:val="clear" w:color="auto" w:fill="auto"/>
            <w:noWrap/>
            <w:vAlign w:val="bottom"/>
            <w:hideMark/>
          </w:tcPr>
          <w:p w14:paraId="047AC730"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1</w:t>
            </w:r>
          </w:p>
        </w:tc>
      </w:tr>
      <w:tr w:rsidR="000715B0" w:rsidRPr="00FD7C92" w14:paraId="57A840A3" w14:textId="77777777" w:rsidTr="00E06847">
        <w:trPr>
          <w:trHeight w:val="300"/>
        </w:trPr>
        <w:tc>
          <w:tcPr>
            <w:tcW w:w="3686" w:type="dxa"/>
            <w:tcBorders>
              <w:top w:val="nil"/>
              <w:left w:val="nil"/>
              <w:bottom w:val="nil"/>
              <w:right w:val="nil"/>
            </w:tcBorders>
            <w:shd w:val="clear" w:color="auto" w:fill="auto"/>
            <w:noWrap/>
            <w:vAlign w:val="bottom"/>
            <w:hideMark/>
          </w:tcPr>
          <w:p w14:paraId="04C45604"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5</w:t>
            </w:r>
          </w:p>
        </w:tc>
        <w:tc>
          <w:tcPr>
            <w:tcW w:w="1559" w:type="dxa"/>
            <w:tcBorders>
              <w:top w:val="nil"/>
              <w:left w:val="nil"/>
              <w:bottom w:val="nil"/>
              <w:right w:val="nil"/>
            </w:tcBorders>
            <w:shd w:val="clear" w:color="auto" w:fill="auto"/>
            <w:noWrap/>
            <w:vAlign w:val="bottom"/>
            <w:hideMark/>
          </w:tcPr>
          <w:p w14:paraId="7B2484EE"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8</w:t>
            </w:r>
          </w:p>
        </w:tc>
        <w:tc>
          <w:tcPr>
            <w:tcW w:w="2126" w:type="dxa"/>
            <w:tcBorders>
              <w:top w:val="nil"/>
              <w:left w:val="nil"/>
              <w:bottom w:val="nil"/>
              <w:right w:val="nil"/>
            </w:tcBorders>
            <w:shd w:val="clear" w:color="auto" w:fill="auto"/>
            <w:noWrap/>
            <w:vAlign w:val="bottom"/>
            <w:hideMark/>
          </w:tcPr>
          <w:p w14:paraId="430CA87B"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21</w:t>
            </w:r>
          </w:p>
        </w:tc>
      </w:tr>
      <w:tr w:rsidR="000715B0" w:rsidRPr="00FD7C92" w14:paraId="4FB47BBD" w14:textId="77777777" w:rsidTr="00E06847">
        <w:trPr>
          <w:trHeight w:val="300"/>
        </w:trPr>
        <w:tc>
          <w:tcPr>
            <w:tcW w:w="3686" w:type="dxa"/>
            <w:tcBorders>
              <w:top w:val="nil"/>
              <w:left w:val="nil"/>
              <w:bottom w:val="single" w:sz="4" w:space="0" w:color="auto"/>
              <w:right w:val="nil"/>
            </w:tcBorders>
            <w:shd w:val="clear" w:color="auto" w:fill="auto"/>
            <w:noWrap/>
            <w:vAlign w:val="bottom"/>
            <w:hideMark/>
          </w:tcPr>
          <w:p w14:paraId="6CC491C4"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6</w:t>
            </w:r>
          </w:p>
        </w:tc>
        <w:tc>
          <w:tcPr>
            <w:tcW w:w="1559" w:type="dxa"/>
            <w:tcBorders>
              <w:top w:val="nil"/>
              <w:left w:val="nil"/>
              <w:bottom w:val="single" w:sz="4" w:space="0" w:color="auto"/>
              <w:right w:val="nil"/>
            </w:tcBorders>
            <w:shd w:val="clear" w:color="auto" w:fill="auto"/>
            <w:noWrap/>
            <w:vAlign w:val="bottom"/>
            <w:hideMark/>
          </w:tcPr>
          <w:p w14:paraId="4C190344"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0</w:t>
            </w:r>
          </w:p>
        </w:tc>
        <w:tc>
          <w:tcPr>
            <w:tcW w:w="2126" w:type="dxa"/>
            <w:tcBorders>
              <w:top w:val="nil"/>
              <w:left w:val="nil"/>
              <w:bottom w:val="single" w:sz="4" w:space="0" w:color="auto"/>
              <w:right w:val="nil"/>
            </w:tcBorders>
            <w:shd w:val="clear" w:color="auto" w:fill="auto"/>
            <w:noWrap/>
            <w:vAlign w:val="bottom"/>
            <w:hideMark/>
          </w:tcPr>
          <w:p w14:paraId="769F134E" w14:textId="77777777" w:rsidR="000715B0" w:rsidRPr="00FD7C92" w:rsidRDefault="000715B0" w:rsidP="00E06847">
            <w:pPr>
              <w:spacing w:after="0" w:line="240" w:lineRule="auto"/>
              <w:jc w:val="center"/>
              <w:rPr>
                <w:rFonts w:ascii="Calibri" w:eastAsia="Times New Roman" w:hAnsi="Calibri" w:cs="Calibri"/>
                <w:color w:val="000000"/>
                <w:lang w:val="nl-NL" w:eastAsia="nl-NL"/>
              </w:rPr>
            </w:pPr>
            <w:r w:rsidRPr="00FD7C92">
              <w:rPr>
                <w:rFonts w:ascii="Calibri" w:eastAsia="Times New Roman" w:hAnsi="Calibri" w:cs="Calibri"/>
                <w:color w:val="000000"/>
                <w:lang w:val="nl-NL" w:eastAsia="nl-NL"/>
              </w:rPr>
              <w:t>190</w:t>
            </w:r>
          </w:p>
        </w:tc>
      </w:tr>
      <w:tr w:rsidR="000715B0" w:rsidRPr="00FD7C92" w14:paraId="66E46E76" w14:textId="77777777" w:rsidTr="00E06847">
        <w:trPr>
          <w:trHeight w:val="300"/>
        </w:trPr>
        <w:tc>
          <w:tcPr>
            <w:tcW w:w="3686" w:type="dxa"/>
            <w:tcBorders>
              <w:top w:val="nil"/>
              <w:left w:val="nil"/>
              <w:bottom w:val="nil"/>
              <w:right w:val="nil"/>
            </w:tcBorders>
            <w:shd w:val="clear" w:color="auto" w:fill="auto"/>
            <w:noWrap/>
            <w:vAlign w:val="bottom"/>
            <w:hideMark/>
          </w:tcPr>
          <w:p w14:paraId="59FBEAC9" w14:textId="77777777" w:rsidR="000715B0" w:rsidRPr="00E06847" w:rsidRDefault="000715B0" w:rsidP="00E06847">
            <w:pPr>
              <w:spacing w:after="0" w:line="240" w:lineRule="auto"/>
              <w:jc w:val="center"/>
              <w:rPr>
                <w:rFonts w:ascii="Calibri" w:eastAsia="Times New Roman" w:hAnsi="Calibri" w:cs="Calibri"/>
                <w:b/>
                <w:bCs/>
                <w:color w:val="000000"/>
                <w:lang w:val="nl-NL" w:eastAsia="nl-NL"/>
              </w:rPr>
            </w:pPr>
            <w:r w:rsidRPr="00E06847">
              <w:rPr>
                <w:rFonts w:ascii="Calibri" w:eastAsia="Times New Roman" w:hAnsi="Calibri" w:cs="Calibri"/>
                <w:b/>
                <w:bCs/>
                <w:color w:val="000000"/>
                <w:lang w:val="nl-NL" w:eastAsia="nl-NL"/>
              </w:rPr>
              <w:t>Total</w:t>
            </w:r>
          </w:p>
        </w:tc>
        <w:tc>
          <w:tcPr>
            <w:tcW w:w="1559" w:type="dxa"/>
            <w:tcBorders>
              <w:top w:val="nil"/>
              <w:left w:val="nil"/>
              <w:bottom w:val="nil"/>
              <w:right w:val="nil"/>
            </w:tcBorders>
            <w:shd w:val="clear" w:color="auto" w:fill="auto"/>
            <w:noWrap/>
            <w:vAlign w:val="bottom"/>
            <w:hideMark/>
          </w:tcPr>
          <w:p w14:paraId="306AF4CA" w14:textId="77777777" w:rsidR="000715B0" w:rsidRPr="00E06847" w:rsidRDefault="000715B0" w:rsidP="00E06847">
            <w:pPr>
              <w:spacing w:after="0" w:line="240" w:lineRule="auto"/>
              <w:jc w:val="center"/>
              <w:rPr>
                <w:rFonts w:ascii="Calibri" w:eastAsia="Times New Roman" w:hAnsi="Calibri" w:cs="Calibri"/>
                <w:b/>
                <w:bCs/>
                <w:color w:val="000000"/>
                <w:lang w:val="nl-NL" w:eastAsia="nl-NL"/>
              </w:rPr>
            </w:pPr>
            <w:r w:rsidRPr="00E06847">
              <w:rPr>
                <w:rFonts w:ascii="Calibri" w:eastAsia="Times New Roman" w:hAnsi="Calibri" w:cs="Calibri"/>
                <w:b/>
                <w:bCs/>
                <w:color w:val="000000"/>
                <w:lang w:val="nl-NL" w:eastAsia="nl-NL"/>
              </w:rPr>
              <w:t>816</w:t>
            </w:r>
          </w:p>
        </w:tc>
        <w:tc>
          <w:tcPr>
            <w:tcW w:w="2126" w:type="dxa"/>
            <w:tcBorders>
              <w:top w:val="nil"/>
              <w:left w:val="nil"/>
              <w:bottom w:val="nil"/>
              <w:right w:val="nil"/>
            </w:tcBorders>
            <w:shd w:val="clear" w:color="auto" w:fill="auto"/>
            <w:noWrap/>
            <w:vAlign w:val="bottom"/>
            <w:hideMark/>
          </w:tcPr>
          <w:p w14:paraId="123DC612" w14:textId="77777777" w:rsidR="000715B0" w:rsidRPr="00E06847" w:rsidRDefault="000715B0" w:rsidP="00E06847">
            <w:pPr>
              <w:spacing w:after="0" w:line="240" w:lineRule="auto"/>
              <w:jc w:val="center"/>
              <w:rPr>
                <w:rFonts w:ascii="Calibri" w:eastAsia="Times New Roman" w:hAnsi="Calibri" w:cs="Calibri"/>
                <w:b/>
                <w:bCs/>
                <w:color w:val="000000"/>
                <w:lang w:val="nl-NL" w:eastAsia="nl-NL"/>
              </w:rPr>
            </w:pPr>
            <w:r w:rsidRPr="00E06847">
              <w:rPr>
                <w:rFonts w:ascii="Calibri" w:eastAsia="Times New Roman" w:hAnsi="Calibri" w:cs="Calibri"/>
                <w:b/>
                <w:bCs/>
                <w:color w:val="000000"/>
                <w:lang w:val="nl-NL" w:eastAsia="nl-NL"/>
              </w:rPr>
              <w:t>2248</w:t>
            </w:r>
          </w:p>
        </w:tc>
      </w:tr>
    </w:tbl>
    <w:p w14:paraId="038DF821" w14:textId="77777777" w:rsidR="00FD7C92" w:rsidRPr="000715B0" w:rsidRDefault="00FD7C92" w:rsidP="00E41E45">
      <w:pPr>
        <w:keepNext/>
        <w:rPr>
          <w:b/>
          <w:color w:val="000000" w:themeColor="text1"/>
        </w:rPr>
      </w:pPr>
    </w:p>
    <w:p w14:paraId="766FA712" w14:textId="0DCB72F1" w:rsidR="00E41E45" w:rsidRDefault="00E41E45" w:rsidP="00E41E45">
      <w:pPr>
        <w:keepNext/>
        <w:rPr>
          <w:b/>
          <w:color w:val="000000" w:themeColor="text1"/>
        </w:rPr>
      </w:pPr>
      <w:r>
        <w:rPr>
          <w:b/>
          <w:color w:val="000000" w:themeColor="text1"/>
        </w:rPr>
        <w:t>Figures</w:t>
      </w:r>
    </w:p>
    <w:p w14:paraId="346965AF" w14:textId="77777777" w:rsidR="00E41E45" w:rsidRPr="00B90ACB" w:rsidRDefault="00E41E45" w:rsidP="00E41E45">
      <w:pPr>
        <w:keepNext/>
        <w:rPr>
          <w:b/>
          <w:color w:val="000000" w:themeColor="text1"/>
        </w:rPr>
      </w:pPr>
    </w:p>
    <w:p w14:paraId="4A6EC610" w14:textId="77777777" w:rsidR="00E41E45" w:rsidRPr="00B90ACB" w:rsidRDefault="00E41E45" w:rsidP="00E41E45">
      <w:pPr>
        <w:keepNext/>
        <w:rPr>
          <w:color w:val="000000" w:themeColor="text1"/>
        </w:rPr>
      </w:pPr>
      <w:r w:rsidRPr="00B90ACB">
        <w:rPr>
          <w:noProof/>
          <w:color w:val="000000" w:themeColor="text1"/>
          <w:lang w:eastAsia="en-GB"/>
        </w:rPr>
        <w:drawing>
          <wp:inline distT="0" distB="0" distL="0" distR="0" wp14:anchorId="0611AC07" wp14:editId="6F013952">
            <wp:extent cx="5760720" cy="3882197"/>
            <wp:effectExtent l="0" t="0" r="0" b="4445"/>
            <wp:docPr id="66" name="Picture 6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Graphical user interface, cha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882197"/>
                    </a:xfrm>
                    <a:prstGeom prst="rect">
                      <a:avLst/>
                    </a:prstGeom>
                    <a:noFill/>
                  </pic:spPr>
                </pic:pic>
              </a:graphicData>
            </a:graphic>
          </wp:inline>
        </w:drawing>
      </w:r>
    </w:p>
    <w:p w14:paraId="16B12556" w14:textId="204EC5A6" w:rsidR="00E41E45" w:rsidRPr="00B90ACB" w:rsidRDefault="00E41E45" w:rsidP="00E41E45">
      <w:pPr>
        <w:pStyle w:val="Caption"/>
        <w:rPr>
          <w:color w:val="000000" w:themeColor="text1"/>
        </w:rPr>
      </w:pPr>
      <w:r w:rsidRPr="00B90ACB">
        <w:rPr>
          <w:color w:val="000000" w:themeColor="text1"/>
        </w:rPr>
        <w:t xml:space="preserve">Figure S </w:t>
      </w:r>
      <w:r w:rsidRPr="00B90ACB">
        <w:rPr>
          <w:color w:val="000000" w:themeColor="text1"/>
        </w:rPr>
        <w:fldChar w:fldCharType="begin"/>
      </w:r>
      <w:r w:rsidRPr="00B90ACB">
        <w:rPr>
          <w:color w:val="000000" w:themeColor="text1"/>
        </w:rPr>
        <w:instrText xml:space="preserve"> SEQ Figure_S \* ARABIC </w:instrText>
      </w:r>
      <w:r w:rsidRPr="00B90ACB">
        <w:rPr>
          <w:color w:val="000000" w:themeColor="text1"/>
        </w:rPr>
        <w:fldChar w:fldCharType="separate"/>
      </w:r>
      <w:r w:rsidRPr="00B90ACB">
        <w:rPr>
          <w:noProof/>
          <w:color w:val="000000" w:themeColor="text1"/>
        </w:rPr>
        <w:t>1</w:t>
      </w:r>
      <w:r w:rsidRPr="00B90ACB">
        <w:rPr>
          <w:color w:val="000000" w:themeColor="text1"/>
        </w:rPr>
        <w:fldChar w:fldCharType="end"/>
      </w:r>
      <w:r w:rsidRPr="00B90ACB">
        <w:rPr>
          <w:color w:val="000000" w:themeColor="text1"/>
        </w:rPr>
        <w:t xml:space="preserve">: Probability density histograms for the </w:t>
      </w:r>
      <w:proofErr w:type="spellStart"/>
      <w:r w:rsidRPr="00B90ACB">
        <w:rPr>
          <w:color w:val="000000" w:themeColor="text1"/>
        </w:rPr>
        <w:t>VeDBA</w:t>
      </w:r>
      <w:proofErr w:type="spellEnd"/>
      <w:r w:rsidRPr="00B90ACB">
        <w:rPr>
          <w:color w:val="000000" w:themeColor="text1"/>
        </w:rPr>
        <w:t xml:space="preserve"> of the four transmitter types used in this study. </w:t>
      </w:r>
      <w:r w:rsidR="00FD7C92">
        <w:rPr>
          <w:color w:val="000000" w:themeColor="text1"/>
        </w:rPr>
        <w:t>Blue lines show the probability density histogram</w:t>
      </w:r>
      <w:r w:rsidR="00F60981">
        <w:rPr>
          <w:color w:val="000000" w:themeColor="text1"/>
        </w:rPr>
        <w:t xml:space="preserve"> (contours of bins)</w:t>
      </w:r>
      <w:r w:rsidR="00FD7C92">
        <w:rPr>
          <w:color w:val="000000" w:themeColor="text1"/>
        </w:rPr>
        <w:t>, g</w:t>
      </w:r>
      <w:r w:rsidRPr="00B90ACB">
        <w:rPr>
          <w:color w:val="000000" w:themeColor="text1"/>
        </w:rPr>
        <w:t xml:space="preserve">reen lines give the </w:t>
      </w:r>
      <w:r w:rsidR="00FD7C92">
        <w:rPr>
          <w:color w:val="000000" w:themeColor="text1"/>
        </w:rPr>
        <w:t xml:space="preserve">corresponding </w:t>
      </w:r>
      <w:r w:rsidRPr="00B90ACB">
        <w:rPr>
          <w:color w:val="000000" w:themeColor="text1"/>
        </w:rPr>
        <w:t>probability density functions, red lines show the fitted gamma distributions. Red triangles indicate the mid points of the gamma distributions</w:t>
      </w:r>
      <w:r>
        <w:rPr>
          <w:color w:val="000000" w:themeColor="text1"/>
        </w:rPr>
        <w:t xml:space="preserve"> for inactive and active behaviour</w:t>
      </w:r>
      <w:r w:rsidRPr="00B90ACB">
        <w:rPr>
          <w:color w:val="000000" w:themeColor="text1"/>
        </w:rPr>
        <w:t xml:space="preserve">. Dashed vertical lines indicate the thresholds used to distinguish </w:t>
      </w:r>
      <w:proofErr w:type="spellStart"/>
      <w:r w:rsidRPr="00B90ACB">
        <w:rPr>
          <w:color w:val="000000" w:themeColor="text1"/>
        </w:rPr>
        <w:t>VeDBA</w:t>
      </w:r>
      <w:proofErr w:type="spellEnd"/>
      <w:r w:rsidRPr="00B90ACB">
        <w:rPr>
          <w:color w:val="000000" w:themeColor="text1"/>
        </w:rPr>
        <w:t xml:space="preserve"> values indicating active and inactive behaviour (24, 16.5, 29 and 26.5 respectively).</w:t>
      </w:r>
      <w:r>
        <w:rPr>
          <w:color w:val="000000" w:themeColor="text1"/>
        </w:rPr>
        <w:t xml:space="preserve"> </w:t>
      </w:r>
      <w:proofErr w:type="spellStart"/>
      <w:r>
        <w:rPr>
          <w:color w:val="000000" w:themeColor="text1"/>
        </w:rPr>
        <w:t>VeDBA</w:t>
      </w:r>
      <w:proofErr w:type="spellEnd"/>
      <w:r>
        <w:rPr>
          <w:color w:val="000000" w:themeColor="text1"/>
        </w:rPr>
        <w:t xml:space="preserve"> for flying behaviour is much higher, and its gamma distribution does not overlap with the distribution for active behaviour. For all transmitters a threshold of </w:t>
      </w:r>
      <w:proofErr w:type="spellStart"/>
      <w:r>
        <w:rPr>
          <w:color w:val="000000" w:themeColor="text1"/>
        </w:rPr>
        <w:t>VeDBA</w:t>
      </w:r>
      <w:proofErr w:type="spellEnd"/>
      <w:r>
        <w:rPr>
          <w:color w:val="000000" w:themeColor="text1"/>
        </w:rPr>
        <w:t xml:space="preserve"> &gt; 550 was used.</w:t>
      </w:r>
    </w:p>
    <w:p w14:paraId="24F21FB2" w14:textId="4BE8F4CF" w:rsidR="00E41E45" w:rsidRPr="00B90ACB" w:rsidRDefault="00C1175B" w:rsidP="00E41E45">
      <w:pPr>
        <w:keepNext/>
        <w:rPr>
          <w:color w:val="000000" w:themeColor="text1"/>
        </w:rPr>
      </w:pPr>
      <w:r>
        <w:rPr>
          <w:noProof/>
          <w:color w:val="000000" w:themeColor="text1"/>
        </w:rPr>
        <w:lastRenderedPageBreak/>
        <w:drawing>
          <wp:inline distT="0" distB="0" distL="0" distR="0" wp14:anchorId="6E01556C" wp14:editId="62E3FC28">
            <wp:extent cx="4986670" cy="3898836"/>
            <wp:effectExtent l="0" t="0" r="4445" b="6985"/>
            <wp:docPr id="11293963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4109" cy="3904652"/>
                    </a:xfrm>
                    <a:prstGeom prst="rect">
                      <a:avLst/>
                    </a:prstGeom>
                    <a:noFill/>
                  </pic:spPr>
                </pic:pic>
              </a:graphicData>
            </a:graphic>
          </wp:inline>
        </w:drawing>
      </w:r>
    </w:p>
    <w:p w14:paraId="40FB6328" w14:textId="209313CD" w:rsidR="004C5250" w:rsidRDefault="00E41E45" w:rsidP="00E41E45">
      <w:pPr>
        <w:pStyle w:val="Caption"/>
        <w:rPr>
          <w:color w:val="000000" w:themeColor="text1"/>
        </w:rPr>
      </w:pPr>
      <w:r w:rsidRPr="00B90ACB">
        <w:rPr>
          <w:color w:val="000000" w:themeColor="text1"/>
        </w:rPr>
        <w:t xml:space="preserve">Figure S </w:t>
      </w:r>
      <w:r w:rsidRPr="00B90ACB">
        <w:rPr>
          <w:color w:val="000000" w:themeColor="text1"/>
        </w:rPr>
        <w:fldChar w:fldCharType="begin"/>
      </w:r>
      <w:r w:rsidRPr="00B90ACB">
        <w:rPr>
          <w:color w:val="000000" w:themeColor="text1"/>
        </w:rPr>
        <w:instrText xml:space="preserve"> SEQ Figure_S \* ARABIC </w:instrText>
      </w:r>
      <w:r w:rsidRPr="00B90ACB">
        <w:rPr>
          <w:color w:val="000000" w:themeColor="text1"/>
        </w:rPr>
        <w:fldChar w:fldCharType="separate"/>
      </w:r>
      <w:r w:rsidRPr="00B90ACB">
        <w:rPr>
          <w:noProof/>
          <w:color w:val="000000" w:themeColor="text1"/>
        </w:rPr>
        <w:t>2</w:t>
      </w:r>
      <w:r w:rsidRPr="00B90ACB">
        <w:rPr>
          <w:color w:val="000000" w:themeColor="text1"/>
        </w:rPr>
        <w:fldChar w:fldCharType="end"/>
      </w:r>
      <w:r w:rsidRPr="00B90ACB">
        <w:rPr>
          <w:color w:val="000000" w:themeColor="text1"/>
        </w:rPr>
        <w:t xml:space="preserve">: Mean daily activity (mean </w:t>
      </w:r>
      <w:r w:rsidRPr="00B90ACB">
        <w:rPr>
          <w:rFonts w:cstheme="minorHAnsi"/>
          <w:color w:val="000000" w:themeColor="text1"/>
        </w:rPr>
        <w:t>±</w:t>
      </w:r>
      <w:r w:rsidRPr="00B90ACB">
        <w:rPr>
          <w:color w:val="000000" w:themeColor="text1"/>
        </w:rPr>
        <w:t xml:space="preserve"> SD) during the incubation trough of the migratory population (panel </w:t>
      </w:r>
      <w:r w:rsidR="004C5250">
        <w:rPr>
          <w:color w:val="000000" w:themeColor="text1"/>
        </w:rPr>
        <w:t>a</w:t>
      </w:r>
      <w:r w:rsidRPr="00B90ACB">
        <w:rPr>
          <w:color w:val="000000" w:themeColor="text1"/>
        </w:rPr>
        <w:t xml:space="preserve">) and resident population (panel </w:t>
      </w:r>
      <w:r w:rsidR="004C5250">
        <w:rPr>
          <w:color w:val="000000" w:themeColor="text1"/>
        </w:rPr>
        <w:t>b</w:t>
      </w:r>
      <w:r w:rsidRPr="00B90ACB">
        <w:rPr>
          <w:color w:val="000000" w:themeColor="text1"/>
        </w:rPr>
        <w:t>). Quadratic fits used to determine the moment of peak incubation are given by red (migratory</w:t>
      </w:r>
      <w:r w:rsidR="00427C5B">
        <w:rPr>
          <w:color w:val="000000" w:themeColor="text1"/>
        </w:rPr>
        <w:t xml:space="preserve"> geese)</w:t>
      </w:r>
      <w:r w:rsidRPr="00B90ACB">
        <w:rPr>
          <w:color w:val="000000" w:themeColor="text1"/>
        </w:rPr>
        <w:t xml:space="preserve"> and blue (resident</w:t>
      </w:r>
      <w:r w:rsidR="00427C5B">
        <w:rPr>
          <w:color w:val="000000" w:themeColor="text1"/>
        </w:rPr>
        <w:t xml:space="preserve"> geese</w:t>
      </w:r>
      <w:r w:rsidRPr="00B90ACB">
        <w:rPr>
          <w:color w:val="000000" w:themeColor="text1"/>
        </w:rPr>
        <w:t>) lines. Migratory: y = 567.20 – 6.38x + 0.018x</w:t>
      </w:r>
      <w:r w:rsidRPr="00B90ACB">
        <w:rPr>
          <w:color w:val="000000" w:themeColor="text1"/>
          <w:vertAlign w:val="superscript"/>
        </w:rPr>
        <w:t>2</w:t>
      </w:r>
      <w:r w:rsidRPr="00B90ACB">
        <w:rPr>
          <w:color w:val="000000" w:themeColor="text1"/>
        </w:rPr>
        <w:t>; Resident: y = 506.83 – 7.57x + 0.029x</w:t>
      </w:r>
      <w:r w:rsidRPr="00B90ACB">
        <w:rPr>
          <w:color w:val="000000" w:themeColor="text1"/>
          <w:vertAlign w:val="superscript"/>
        </w:rPr>
        <w:t>2</w:t>
      </w:r>
      <w:r w:rsidRPr="00B90ACB">
        <w:rPr>
          <w:color w:val="000000" w:themeColor="text1"/>
        </w:rPr>
        <w:t>.</w:t>
      </w:r>
    </w:p>
    <w:p w14:paraId="51A091AD" w14:textId="66F87159" w:rsidR="00E41E45" w:rsidRPr="00B90ACB" w:rsidRDefault="004C5250" w:rsidP="004C5250">
      <w:pPr>
        <w:pStyle w:val="Caption"/>
        <w:rPr>
          <w:color w:val="000000" w:themeColor="text1"/>
        </w:rPr>
      </w:pPr>
      <w:r>
        <w:rPr>
          <w:color w:val="000000" w:themeColor="text1"/>
        </w:rPr>
        <w:br w:type="column"/>
      </w:r>
      <w:r w:rsidR="00E41E45">
        <w:rPr>
          <w:noProof/>
          <w:color w:val="000000" w:themeColor="text1"/>
        </w:rPr>
        <w:lastRenderedPageBreak/>
        <w:drawing>
          <wp:inline distT="0" distB="0" distL="0" distR="0" wp14:anchorId="3580C824" wp14:editId="288ADC47">
            <wp:extent cx="5608955" cy="3383280"/>
            <wp:effectExtent l="0" t="0" r="0" b="7620"/>
            <wp:docPr id="16" name="Picture 1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box and whiske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955" cy="3383280"/>
                    </a:xfrm>
                    <a:prstGeom prst="rect">
                      <a:avLst/>
                    </a:prstGeom>
                    <a:noFill/>
                  </pic:spPr>
                </pic:pic>
              </a:graphicData>
            </a:graphic>
          </wp:inline>
        </w:drawing>
      </w:r>
    </w:p>
    <w:p w14:paraId="18017616" w14:textId="77777777" w:rsidR="00E41E45" w:rsidRPr="00B90ACB" w:rsidRDefault="00E41E45" w:rsidP="00E41E45">
      <w:pPr>
        <w:pStyle w:val="Caption"/>
        <w:rPr>
          <w:b/>
          <w:color w:val="000000" w:themeColor="text1"/>
        </w:rPr>
      </w:pPr>
      <w:r w:rsidRPr="00B90ACB">
        <w:rPr>
          <w:color w:val="000000" w:themeColor="text1"/>
        </w:rPr>
        <w:t xml:space="preserve">Figure S </w:t>
      </w:r>
      <w:r w:rsidRPr="00B90ACB">
        <w:rPr>
          <w:color w:val="000000" w:themeColor="text1"/>
        </w:rPr>
        <w:fldChar w:fldCharType="begin"/>
      </w:r>
      <w:r w:rsidRPr="00B90ACB">
        <w:rPr>
          <w:color w:val="000000" w:themeColor="text1"/>
        </w:rPr>
        <w:instrText xml:space="preserve"> SEQ Figure_S \* ARABIC </w:instrText>
      </w:r>
      <w:r w:rsidRPr="00B90ACB">
        <w:rPr>
          <w:color w:val="000000" w:themeColor="text1"/>
        </w:rPr>
        <w:fldChar w:fldCharType="separate"/>
      </w:r>
      <w:r w:rsidRPr="00B90ACB">
        <w:rPr>
          <w:noProof/>
          <w:color w:val="000000" w:themeColor="text1"/>
        </w:rPr>
        <w:t>3</w:t>
      </w:r>
      <w:r w:rsidRPr="00B90ACB">
        <w:rPr>
          <w:color w:val="000000" w:themeColor="text1"/>
        </w:rPr>
        <w:fldChar w:fldCharType="end"/>
      </w:r>
      <w:r w:rsidRPr="00B90ACB">
        <w:rPr>
          <w:color w:val="000000" w:themeColor="text1"/>
        </w:rPr>
        <w:t xml:space="preserve">: Boxplot of the annual variation in body condition (scaled body mass index </w:t>
      </w:r>
      <w:r w:rsidRPr="00B90ACB">
        <w:rPr>
          <w:color w:val="000000" w:themeColor="text1"/>
        </w:rPr>
        <w:fldChar w:fldCharType="begin" w:fldLock="1"/>
      </w:r>
      <w:r>
        <w:rPr>
          <w:color w:val="000000" w:themeColor="text1"/>
        </w:rPr>
        <w:instrText>ADDIN CSL_CITATION {"citationItems":[{"id":"ITEM-1","itemData":{"DOI":"10.1111/j.1600-0706.2009.17643.x","ISSN":"00301299","abstract":"Body condition is assumed to influence an animal's health and fitness. Various non-destructive methods based on body mass and a measure of body length have been used as condition indices (CIs), but the dominant method amongst ecologists is currently the calculation of residuals from an ordinary least squares (OLS) regression of body mass against length. Recent studies of energy reserves in small mammals and starlings claimed to validate this method, although we argue that they did not include the most appropriate tests since they compared the CI with the absolute size of energy reserves. We present a novel CI (the 'scaled mass index') based on the central principle of scaling, with important methodological, biological and conceptual advantages. Through a reanalysis of data from small mammals, starlings and snakes, we show that the scaled mass index is a better indicator of the relative size of energy reserves and other body components than OLS residuals, performing better in all seven species and in 19 out of 20 analyses. We also present an empirical and theoretical comparison of the scaled mass index and OLS residuals as CIs. We argue that the scaled mass index is a useful new tool for ecologists. © 2009 Oikos.","author":[{"dropping-particle":"","family":"Peig","given":"Jordi","non-dropping-particle":"","parse-names":false,"suffix":""},{"dropping-particle":"","family":"Green","given":"Andy J.","non-dropping-particle":"","parse-names":false,"suffix":""}],"container-title":"Oikos","id":"ITEM-1","issue":"12","issued":{"date-parts":[["2009"]]},"page":"1883-1891","title":"New perspectives for estimating body condition from mass/length data: The scaled mass index as an alternative method","type":"article-journal","volume":"118"},"uris":["http://www.mendeley.com/documents/?uuid=f525c290-5e06-45d5-80a4-b2249552a0b4"]}],"mendeley":{"formattedCitation":"(Peig &amp; Green, 2009)","plainTextFormattedCitation":"(Peig &amp; Green, 2009)","previouslyFormattedCitation":"(Peig &amp; Green, 2009)"},"properties":{"noteIndex":0},"schema":"https://github.com/citation-style-language/schema/raw/master/csl-citation.json"}</w:instrText>
      </w:r>
      <w:r w:rsidRPr="00B90ACB">
        <w:rPr>
          <w:color w:val="000000" w:themeColor="text1"/>
        </w:rPr>
        <w:fldChar w:fldCharType="separate"/>
      </w:r>
      <w:r w:rsidRPr="00040EBA">
        <w:rPr>
          <w:i w:val="0"/>
          <w:noProof/>
          <w:color w:val="000000" w:themeColor="text1"/>
        </w:rPr>
        <w:t>(Peig &amp; Green, 2009)</w:t>
      </w:r>
      <w:r w:rsidRPr="00B90ACB">
        <w:rPr>
          <w:color w:val="000000" w:themeColor="text1"/>
        </w:rPr>
        <w:fldChar w:fldCharType="end"/>
      </w:r>
      <w:r w:rsidRPr="00B90ACB">
        <w:rPr>
          <w:color w:val="000000" w:themeColor="text1"/>
        </w:rPr>
        <w:t>) for geese of the migratory (red) and resident population (blue). Significant differences between the populations are indicated per month relative to the moment of peak incubation (*: p &lt; 0.05, **: p &lt; 0.01, *** p &lt; 0.001</w:t>
      </w:r>
      <w:r>
        <w:rPr>
          <w:color w:val="000000" w:themeColor="text1"/>
        </w:rPr>
        <w:t xml:space="preserve"> after applying a Bonferroni correction</w:t>
      </w:r>
      <w:r w:rsidRPr="00B90ACB">
        <w:rPr>
          <w:color w:val="000000" w:themeColor="text1"/>
        </w:rPr>
        <w:t xml:space="preserve">). </w:t>
      </w:r>
      <w:r>
        <w:rPr>
          <w:color w:val="000000" w:themeColor="text1"/>
        </w:rPr>
        <w:t xml:space="preserve">Boxes in the grey band indicate the period during which populations overlap in wintering distribution and patterns should be interpreted with caution. </w:t>
      </w:r>
      <w:r w:rsidRPr="00B90ACB">
        <w:rPr>
          <w:color w:val="000000" w:themeColor="text1"/>
        </w:rPr>
        <w:t xml:space="preserve">Coloured bars above the x-axis show the stage in the annual cycle of both populations (Mig: migratory, </w:t>
      </w:r>
      <w:r>
        <w:rPr>
          <w:color w:val="000000" w:themeColor="text1"/>
        </w:rPr>
        <w:t>Res</w:t>
      </w:r>
      <w:r w:rsidRPr="00B90ACB">
        <w:rPr>
          <w:color w:val="000000" w:themeColor="text1"/>
        </w:rPr>
        <w:t xml:space="preserve">: resident), based on data published in van der Jeugd et al. (2009) for incubation (red) and moult (period between mean onset and end of breeding and moult </w:t>
      </w:r>
      <w:r w:rsidRPr="00B90ACB">
        <w:rPr>
          <w:rFonts w:cstheme="minorHAnsi"/>
          <w:color w:val="000000" w:themeColor="text1"/>
        </w:rPr>
        <w:t>±</w:t>
      </w:r>
      <w:r w:rsidRPr="00B90ACB">
        <w:rPr>
          <w:color w:val="000000" w:themeColor="text1"/>
        </w:rPr>
        <w:t xml:space="preserve"> 1 SD). Migration periods (yellow) are estimated base</w:t>
      </w:r>
      <w:r>
        <w:rPr>
          <w:color w:val="000000" w:themeColor="text1"/>
        </w:rPr>
        <w:t xml:space="preserve">d on the GPS data. Fuelling </w:t>
      </w:r>
      <w:r w:rsidRPr="00B90ACB">
        <w:rPr>
          <w:color w:val="000000" w:themeColor="text1"/>
        </w:rPr>
        <w:t>and wintering are estimated as the periods between stages with known timing. Blanks indicate uncertainty on life stage.</w:t>
      </w:r>
    </w:p>
    <w:p w14:paraId="0B1BF479" w14:textId="77777777" w:rsidR="00E41E45" w:rsidRPr="00B90ACB" w:rsidRDefault="00E41E45" w:rsidP="00E41E45">
      <w:pPr>
        <w:pStyle w:val="Caption"/>
        <w:rPr>
          <w:b/>
          <w:color w:val="000000" w:themeColor="text1"/>
        </w:rPr>
      </w:pPr>
    </w:p>
    <w:p w14:paraId="712A7D31" w14:textId="77777777" w:rsidR="00E41E45" w:rsidRPr="00B90ACB" w:rsidRDefault="00E41E45" w:rsidP="00E41E45">
      <w:pPr>
        <w:rPr>
          <w:b/>
          <w:color w:val="000000" w:themeColor="text1"/>
        </w:rPr>
      </w:pPr>
    </w:p>
    <w:p w14:paraId="0EB087F3" w14:textId="6E911801" w:rsidR="00F774FB" w:rsidRPr="00A22A62" w:rsidRDefault="00A22A62">
      <w:pPr>
        <w:rPr>
          <w:i/>
          <w:iCs/>
        </w:rPr>
      </w:pPr>
      <w:r w:rsidRPr="00A22A62">
        <w:rPr>
          <w:i/>
          <w:iCs/>
        </w:rPr>
        <w:t>References</w:t>
      </w:r>
    </w:p>
    <w:p w14:paraId="04592324" w14:textId="77777777" w:rsidR="00A22A62" w:rsidRPr="004C5250" w:rsidRDefault="00A22A62" w:rsidP="00A22A62">
      <w:pPr>
        <w:widowControl w:val="0"/>
        <w:autoSpaceDE w:val="0"/>
        <w:autoSpaceDN w:val="0"/>
        <w:adjustRightInd w:val="0"/>
        <w:spacing w:line="240" w:lineRule="auto"/>
        <w:rPr>
          <w:rFonts w:ascii="Calibri" w:hAnsi="Calibri" w:cs="Calibri"/>
          <w:noProof/>
          <w:szCs w:val="24"/>
          <w:lang w:val="en-US"/>
        </w:rPr>
      </w:pPr>
      <w:r w:rsidRPr="004C5250">
        <w:rPr>
          <w:rFonts w:ascii="Calibri" w:hAnsi="Calibri" w:cs="Calibri"/>
          <w:noProof/>
          <w:szCs w:val="24"/>
          <w:lang w:val="en-US"/>
        </w:rPr>
        <w:t xml:space="preserve">Fauna Beheer Eenheid Zuid-Holland (2021) </w:t>
      </w:r>
      <w:r w:rsidRPr="004C5250">
        <w:rPr>
          <w:rFonts w:ascii="Calibri" w:hAnsi="Calibri" w:cs="Calibri"/>
          <w:i/>
          <w:iCs/>
          <w:noProof/>
          <w:szCs w:val="24"/>
          <w:lang w:val="en-US"/>
        </w:rPr>
        <w:t>Faunabeheerplan ganzen Zuid-Holland 2022-2027</w:t>
      </w:r>
      <w:r w:rsidRPr="004C5250">
        <w:rPr>
          <w:rFonts w:ascii="Calibri" w:hAnsi="Calibri" w:cs="Calibri"/>
          <w:noProof/>
          <w:szCs w:val="24"/>
          <w:lang w:val="en-US"/>
        </w:rPr>
        <w:t>.</w:t>
      </w:r>
    </w:p>
    <w:p w14:paraId="73A9770F" w14:textId="77777777" w:rsidR="00A22A62" w:rsidRPr="00215CB3" w:rsidRDefault="00A22A62" w:rsidP="00A22A62">
      <w:pPr>
        <w:widowControl w:val="0"/>
        <w:autoSpaceDE w:val="0"/>
        <w:autoSpaceDN w:val="0"/>
        <w:adjustRightInd w:val="0"/>
        <w:spacing w:line="240" w:lineRule="auto"/>
        <w:rPr>
          <w:rFonts w:ascii="Calibri" w:hAnsi="Calibri" w:cs="Calibri"/>
          <w:noProof/>
          <w:szCs w:val="24"/>
        </w:rPr>
      </w:pPr>
      <w:r>
        <w:rPr>
          <w:rFonts w:ascii="Calibri" w:hAnsi="Calibri" w:cs="Calibri"/>
          <w:noProof/>
          <w:szCs w:val="24"/>
        </w:rPr>
        <w:t>v</w:t>
      </w:r>
      <w:r w:rsidRPr="00215CB3">
        <w:rPr>
          <w:rFonts w:ascii="Calibri" w:hAnsi="Calibri" w:cs="Calibri"/>
          <w:noProof/>
          <w:szCs w:val="24"/>
        </w:rPr>
        <w:t xml:space="preserve">an der Jeugd, H.P., Eichhorn, G., Litvin, K.E., Stahl, J., Larsson, K., </w:t>
      </w:r>
      <w:r>
        <w:rPr>
          <w:rFonts w:ascii="Calibri" w:hAnsi="Calibri" w:cs="Calibri"/>
          <w:noProof/>
          <w:szCs w:val="24"/>
        </w:rPr>
        <w:t>v</w:t>
      </w:r>
      <w:r w:rsidRPr="00215CB3">
        <w:rPr>
          <w:rFonts w:ascii="Calibri" w:hAnsi="Calibri" w:cs="Calibri"/>
          <w:noProof/>
          <w:szCs w:val="24"/>
        </w:rPr>
        <w:t xml:space="preserve">an Der Graaf, A.J. &amp; Drent, R.H. (2009) ‘Keeping up with early springs: rapid range expansion in an avian herbivore incurs a mismatch between reproductive timing and food supply’, </w:t>
      </w:r>
      <w:r w:rsidRPr="00215CB3">
        <w:rPr>
          <w:rFonts w:ascii="Calibri" w:hAnsi="Calibri" w:cs="Calibri"/>
          <w:i/>
          <w:iCs/>
          <w:noProof/>
          <w:szCs w:val="24"/>
        </w:rPr>
        <w:t>Global Change Biology</w:t>
      </w:r>
      <w:r w:rsidRPr="00215CB3">
        <w:rPr>
          <w:rFonts w:ascii="Calibri" w:hAnsi="Calibri" w:cs="Calibri"/>
          <w:noProof/>
          <w:szCs w:val="24"/>
        </w:rPr>
        <w:t>, 15(5), pp. 1057–1071.</w:t>
      </w:r>
    </w:p>
    <w:p w14:paraId="082C6BEE" w14:textId="393C0C13" w:rsidR="00A22A62" w:rsidRPr="00215CB3" w:rsidRDefault="00A22A62" w:rsidP="00A22A62">
      <w:pPr>
        <w:widowControl w:val="0"/>
        <w:autoSpaceDE w:val="0"/>
        <w:autoSpaceDN w:val="0"/>
        <w:adjustRightInd w:val="0"/>
        <w:spacing w:line="240" w:lineRule="auto"/>
        <w:rPr>
          <w:rFonts w:ascii="Calibri" w:hAnsi="Calibri" w:cs="Calibri"/>
          <w:noProof/>
          <w:szCs w:val="24"/>
        </w:rPr>
      </w:pPr>
      <w:r w:rsidRPr="00215CB3">
        <w:rPr>
          <w:rFonts w:ascii="Calibri" w:hAnsi="Calibri" w:cs="Calibri"/>
          <w:noProof/>
          <w:szCs w:val="24"/>
        </w:rPr>
        <w:t xml:space="preserve">Peig, J. &amp; Green, A.J. (2009) ‘New perspectives for estimating body condition from mass/length data: The scaled mass index as an alternative method’, </w:t>
      </w:r>
      <w:r w:rsidRPr="00215CB3">
        <w:rPr>
          <w:rFonts w:ascii="Calibri" w:hAnsi="Calibri" w:cs="Calibri"/>
          <w:i/>
          <w:iCs/>
          <w:noProof/>
          <w:szCs w:val="24"/>
        </w:rPr>
        <w:t>Oikos</w:t>
      </w:r>
      <w:r w:rsidRPr="00215CB3">
        <w:rPr>
          <w:rFonts w:ascii="Calibri" w:hAnsi="Calibri" w:cs="Calibri"/>
          <w:noProof/>
          <w:szCs w:val="24"/>
        </w:rPr>
        <w:t>, 118(12), pp. 1883–1891. doi: 10.1111/j.1600-0706.2009.17643.x.</w:t>
      </w:r>
    </w:p>
    <w:p w14:paraId="698233DA" w14:textId="77777777" w:rsidR="00A22A62" w:rsidRPr="00A22A62" w:rsidRDefault="00A22A62"/>
    <w:sectPr w:rsidR="00A22A62" w:rsidRPr="00A22A62" w:rsidSect="004853DB">
      <w:headerReference w:type="default" r:id="rId9"/>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7B4F" w14:textId="77777777" w:rsidR="001B68A6" w:rsidRDefault="001B68A6">
      <w:pPr>
        <w:spacing w:after="0" w:line="240" w:lineRule="auto"/>
      </w:pPr>
      <w:r>
        <w:separator/>
      </w:r>
    </w:p>
  </w:endnote>
  <w:endnote w:type="continuationSeparator" w:id="0">
    <w:p w14:paraId="23FFDF93" w14:textId="77777777" w:rsidR="001B68A6" w:rsidRDefault="001B6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422A" w14:textId="77777777" w:rsidR="001B68A6" w:rsidRDefault="001B68A6">
      <w:pPr>
        <w:spacing w:after="0" w:line="240" w:lineRule="auto"/>
      </w:pPr>
      <w:r>
        <w:separator/>
      </w:r>
    </w:p>
  </w:footnote>
  <w:footnote w:type="continuationSeparator" w:id="0">
    <w:p w14:paraId="28F67D9A" w14:textId="77777777" w:rsidR="001B68A6" w:rsidRDefault="001B68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D979" w14:textId="075CF9F5" w:rsidR="00FC4300" w:rsidRPr="00DB0D8E" w:rsidRDefault="00052A6B">
    <w:pPr>
      <w:pStyle w:val="Header"/>
      <w:rPr>
        <w:i/>
      </w:rPr>
    </w:pPr>
    <w:r w:rsidRPr="00DB0D8E">
      <w:rPr>
        <w:i/>
      </w:rPr>
      <w:t xml:space="preserve">Comparing annual </w:t>
    </w:r>
    <w:r w:rsidR="00427C5B">
      <w:rPr>
        <w:i/>
      </w:rPr>
      <w:t>cycle activity</w:t>
    </w:r>
    <w:r w:rsidR="00427C5B" w:rsidRPr="00DB0D8E">
      <w:rPr>
        <w:i/>
      </w:rPr>
      <w:t xml:space="preserve"> </w:t>
    </w:r>
    <w:r w:rsidRPr="00DB0D8E">
      <w:rPr>
        <w:i/>
      </w:rPr>
      <w:t>of migratory and non-migratory barnacle geese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E45"/>
    <w:rsid w:val="00052A6B"/>
    <w:rsid w:val="000715B0"/>
    <w:rsid w:val="0016525E"/>
    <w:rsid w:val="001B68A6"/>
    <w:rsid w:val="00246C4D"/>
    <w:rsid w:val="003463F3"/>
    <w:rsid w:val="00427C5B"/>
    <w:rsid w:val="004C5250"/>
    <w:rsid w:val="005928BE"/>
    <w:rsid w:val="005B19AF"/>
    <w:rsid w:val="00637E45"/>
    <w:rsid w:val="00693596"/>
    <w:rsid w:val="006C33BA"/>
    <w:rsid w:val="006D0A24"/>
    <w:rsid w:val="00723313"/>
    <w:rsid w:val="007F58AD"/>
    <w:rsid w:val="0083051D"/>
    <w:rsid w:val="008A6D0A"/>
    <w:rsid w:val="008D75D8"/>
    <w:rsid w:val="009170AC"/>
    <w:rsid w:val="009E3002"/>
    <w:rsid w:val="00A22A62"/>
    <w:rsid w:val="00C1175B"/>
    <w:rsid w:val="00C97D3D"/>
    <w:rsid w:val="00DF4030"/>
    <w:rsid w:val="00E41E45"/>
    <w:rsid w:val="00E9402C"/>
    <w:rsid w:val="00F60981"/>
    <w:rsid w:val="00F774FB"/>
    <w:rsid w:val="00FD7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FCFAB"/>
  <w15:chartTrackingRefBased/>
  <w15:docId w15:val="{3FF26B84-C992-4BBD-90AC-231CC136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E4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41E45"/>
    <w:pPr>
      <w:spacing w:after="200" w:line="240" w:lineRule="auto"/>
    </w:pPr>
    <w:rPr>
      <w:i/>
      <w:iCs/>
      <w:color w:val="44546A" w:themeColor="text2"/>
      <w:sz w:val="18"/>
      <w:szCs w:val="18"/>
    </w:rPr>
  </w:style>
  <w:style w:type="table" w:styleId="TableGrid">
    <w:name w:val="Table Grid"/>
    <w:basedOn w:val="TableNormal"/>
    <w:uiPriority w:val="39"/>
    <w:rsid w:val="00E41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E41E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rsid w:val="00E41E45"/>
    <w:rPr>
      <w:rFonts w:ascii="Courier New" w:eastAsia="Times New Roman" w:hAnsi="Courier New" w:cs="Courier New"/>
      <w:sz w:val="20"/>
      <w:szCs w:val="20"/>
      <w:lang w:eastAsia="nl-NL"/>
    </w:rPr>
  </w:style>
  <w:style w:type="character" w:customStyle="1" w:styleId="gnkrckgcgsb">
    <w:name w:val="gnkrckgcgsb"/>
    <w:basedOn w:val="DefaultParagraphFont"/>
    <w:rsid w:val="00E41E45"/>
  </w:style>
  <w:style w:type="paragraph" w:styleId="Header">
    <w:name w:val="header"/>
    <w:basedOn w:val="Normal"/>
    <w:link w:val="HeaderChar"/>
    <w:uiPriority w:val="99"/>
    <w:unhideWhenUsed/>
    <w:rsid w:val="00E41E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1E45"/>
    <w:rPr>
      <w:lang w:val="en-GB"/>
    </w:rPr>
  </w:style>
  <w:style w:type="character" w:styleId="LineNumber">
    <w:name w:val="line number"/>
    <w:basedOn w:val="DefaultParagraphFont"/>
    <w:uiPriority w:val="99"/>
    <w:semiHidden/>
    <w:unhideWhenUsed/>
    <w:rsid w:val="00E41E45"/>
  </w:style>
  <w:style w:type="paragraph" w:styleId="Revision">
    <w:name w:val="Revision"/>
    <w:hidden/>
    <w:uiPriority w:val="99"/>
    <w:semiHidden/>
    <w:rsid w:val="00FD7C92"/>
    <w:pPr>
      <w:spacing w:after="0" w:line="240" w:lineRule="auto"/>
    </w:pPr>
    <w:rPr>
      <w:lang w:val="en-GB"/>
    </w:rPr>
  </w:style>
  <w:style w:type="character" w:styleId="CommentReference">
    <w:name w:val="annotation reference"/>
    <w:basedOn w:val="DefaultParagraphFont"/>
    <w:uiPriority w:val="99"/>
    <w:semiHidden/>
    <w:unhideWhenUsed/>
    <w:rsid w:val="00C97D3D"/>
    <w:rPr>
      <w:sz w:val="16"/>
      <w:szCs w:val="16"/>
    </w:rPr>
  </w:style>
  <w:style w:type="paragraph" w:styleId="CommentText">
    <w:name w:val="annotation text"/>
    <w:basedOn w:val="Normal"/>
    <w:link w:val="CommentTextChar"/>
    <w:uiPriority w:val="99"/>
    <w:semiHidden/>
    <w:unhideWhenUsed/>
    <w:rsid w:val="00C97D3D"/>
    <w:pPr>
      <w:spacing w:line="240" w:lineRule="auto"/>
    </w:pPr>
    <w:rPr>
      <w:sz w:val="20"/>
      <w:szCs w:val="20"/>
    </w:rPr>
  </w:style>
  <w:style w:type="character" w:customStyle="1" w:styleId="CommentTextChar">
    <w:name w:val="Comment Text Char"/>
    <w:basedOn w:val="DefaultParagraphFont"/>
    <w:link w:val="CommentText"/>
    <w:uiPriority w:val="99"/>
    <w:semiHidden/>
    <w:rsid w:val="00C97D3D"/>
    <w:rPr>
      <w:sz w:val="20"/>
      <w:szCs w:val="20"/>
      <w:lang w:val="en-GB"/>
    </w:rPr>
  </w:style>
  <w:style w:type="paragraph" w:styleId="CommentSubject">
    <w:name w:val="annotation subject"/>
    <w:basedOn w:val="CommentText"/>
    <w:next w:val="CommentText"/>
    <w:link w:val="CommentSubjectChar"/>
    <w:uiPriority w:val="99"/>
    <w:semiHidden/>
    <w:unhideWhenUsed/>
    <w:rsid w:val="00C97D3D"/>
    <w:rPr>
      <w:b/>
      <w:bCs/>
    </w:rPr>
  </w:style>
  <w:style w:type="character" w:customStyle="1" w:styleId="CommentSubjectChar">
    <w:name w:val="Comment Subject Char"/>
    <w:basedOn w:val="CommentTextChar"/>
    <w:link w:val="CommentSubject"/>
    <w:uiPriority w:val="99"/>
    <w:semiHidden/>
    <w:rsid w:val="00C97D3D"/>
    <w:rPr>
      <w:b/>
      <w:bCs/>
      <w:sz w:val="20"/>
      <w:szCs w:val="20"/>
      <w:lang w:val="en-GB"/>
    </w:rPr>
  </w:style>
  <w:style w:type="paragraph" w:styleId="BalloonText">
    <w:name w:val="Balloon Text"/>
    <w:basedOn w:val="Normal"/>
    <w:link w:val="BalloonTextChar"/>
    <w:uiPriority w:val="99"/>
    <w:semiHidden/>
    <w:unhideWhenUsed/>
    <w:rsid w:val="00C97D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7D3D"/>
    <w:rPr>
      <w:rFonts w:ascii="Segoe UI" w:hAnsi="Segoe UI" w:cs="Segoe UI"/>
      <w:sz w:val="18"/>
      <w:szCs w:val="18"/>
      <w:lang w:val="en-GB"/>
    </w:rPr>
  </w:style>
  <w:style w:type="paragraph" w:styleId="Footer">
    <w:name w:val="footer"/>
    <w:basedOn w:val="Normal"/>
    <w:link w:val="FooterChar"/>
    <w:uiPriority w:val="99"/>
    <w:unhideWhenUsed/>
    <w:rsid w:val="006D0A2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D0A2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54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1311</Words>
  <Characters>7212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Boom</dc:creator>
  <cp:keywords/>
  <dc:description/>
  <cp:lastModifiedBy>Michiel Boom</cp:lastModifiedBy>
  <cp:revision>2</cp:revision>
  <dcterms:created xsi:type="dcterms:W3CDTF">2023-05-08T09:08:00Z</dcterms:created>
  <dcterms:modified xsi:type="dcterms:W3CDTF">2023-05-08T09:08:00Z</dcterms:modified>
</cp:coreProperties>
</file>