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4C156" w14:textId="77777777" w:rsidR="00FF3834" w:rsidRPr="000D01C6" w:rsidRDefault="00FF3834" w:rsidP="000D01C6">
      <w:pPr>
        <w:keepNext/>
        <w:keepLines/>
        <w:pBdr>
          <w:top w:val="nil"/>
          <w:left w:val="nil"/>
          <w:bottom w:val="nil"/>
          <w:right w:val="nil"/>
          <w:between w:val="nil"/>
        </w:pBdr>
        <w:spacing w:before="240" w:after="0" w:line="240" w:lineRule="auto"/>
        <w:rPr>
          <w:rFonts w:ascii="Times New Roman" w:hAnsi="Times New Roman" w:cs="Times New Roman"/>
          <w:b/>
          <w:color w:val="000000"/>
          <w:sz w:val="32"/>
          <w:szCs w:val="32"/>
        </w:rPr>
      </w:pPr>
      <w:r w:rsidRPr="000D01C6">
        <w:rPr>
          <w:rFonts w:ascii="Times New Roman" w:hAnsi="Times New Roman" w:cs="Times New Roman"/>
          <w:b/>
          <w:color w:val="000000"/>
          <w:sz w:val="32"/>
          <w:szCs w:val="32"/>
        </w:rPr>
        <w:t>Catchment-based sampling of river eDNA integrates terrestrial and aquatic biodiversity of alpine landscapes</w:t>
      </w:r>
    </w:p>
    <w:p w14:paraId="0819EB52" w14:textId="77777777" w:rsidR="00FF3834" w:rsidRPr="000D01C6" w:rsidRDefault="00FF3834" w:rsidP="000D01C6">
      <w:pPr>
        <w:keepNext/>
        <w:keepLines/>
        <w:pBdr>
          <w:top w:val="nil"/>
          <w:left w:val="nil"/>
          <w:bottom w:val="nil"/>
          <w:right w:val="nil"/>
          <w:between w:val="nil"/>
        </w:pBdr>
        <w:spacing w:before="240" w:after="0" w:line="240" w:lineRule="auto"/>
        <w:rPr>
          <w:rFonts w:ascii="Times New Roman" w:hAnsi="Times New Roman" w:cs="Times New Roman"/>
          <w:bCs/>
          <w:color w:val="000000"/>
          <w:sz w:val="24"/>
          <w:szCs w:val="24"/>
        </w:rPr>
      </w:pPr>
      <w:r w:rsidRPr="000D01C6">
        <w:rPr>
          <w:rFonts w:ascii="Times New Roman" w:hAnsi="Times New Roman" w:cs="Times New Roman"/>
          <w:bCs/>
          <w:color w:val="000000"/>
          <w:sz w:val="24"/>
          <w:szCs w:val="24"/>
        </w:rPr>
        <w:t xml:space="preserve">Merin Reji Chacko, Florian Altermatt, Fabian Fopp, Antoine </w:t>
      </w:r>
      <w:proofErr w:type="spellStart"/>
      <w:r w:rsidRPr="000D01C6">
        <w:rPr>
          <w:rFonts w:ascii="Times New Roman" w:hAnsi="Times New Roman" w:cs="Times New Roman"/>
          <w:bCs/>
          <w:color w:val="000000"/>
          <w:sz w:val="24"/>
          <w:szCs w:val="24"/>
        </w:rPr>
        <w:t>Guisan</w:t>
      </w:r>
      <w:proofErr w:type="spellEnd"/>
      <w:r w:rsidRPr="000D01C6">
        <w:rPr>
          <w:rFonts w:ascii="Times New Roman" w:hAnsi="Times New Roman" w:cs="Times New Roman"/>
          <w:bCs/>
          <w:color w:val="000000"/>
          <w:sz w:val="24"/>
          <w:szCs w:val="24"/>
        </w:rPr>
        <w:t>, Thomas Keggin, Arnaud Lyet, Pierre-Louis Rey, Eilísh Richards, Alice Valentini, Conor Waldock, Loïc Pellissier</w:t>
      </w:r>
    </w:p>
    <w:p w14:paraId="5DCF4BDC" w14:textId="2AB082C6" w:rsidR="00FF3834" w:rsidRPr="000D01C6" w:rsidRDefault="00FF3834" w:rsidP="000D01C6">
      <w:pPr>
        <w:keepNext/>
        <w:keepLines/>
        <w:pBdr>
          <w:top w:val="nil"/>
          <w:left w:val="nil"/>
          <w:bottom w:val="nil"/>
          <w:right w:val="nil"/>
          <w:between w:val="nil"/>
        </w:pBdr>
        <w:spacing w:before="240" w:after="0" w:line="240" w:lineRule="auto"/>
        <w:rPr>
          <w:rFonts w:ascii="Times New Roman" w:hAnsi="Times New Roman" w:cs="Times New Roman"/>
          <w:b/>
          <w:color w:val="000000"/>
          <w:sz w:val="24"/>
          <w:szCs w:val="24"/>
        </w:rPr>
      </w:pPr>
      <w:r w:rsidRPr="000D01C6">
        <w:rPr>
          <w:rFonts w:ascii="Times New Roman" w:hAnsi="Times New Roman" w:cs="Times New Roman"/>
          <w:b/>
          <w:color w:val="000000"/>
          <w:sz w:val="24"/>
          <w:szCs w:val="24"/>
        </w:rPr>
        <w:t xml:space="preserve">*Corresponding authors: </w:t>
      </w:r>
      <w:hyperlink r:id="rId5" w:history="1">
        <w:r w:rsidRPr="000D01C6">
          <w:rPr>
            <w:rStyle w:val="Hyperlink"/>
            <w:rFonts w:ascii="Times New Roman" w:hAnsi="Times New Roman" w:cs="Times New Roman"/>
            <w:b/>
            <w:sz w:val="24"/>
            <w:szCs w:val="24"/>
          </w:rPr>
          <w:t>merin.rejichacko@gmail.com</w:t>
        </w:r>
      </w:hyperlink>
      <w:r w:rsidRPr="000D01C6">
        <w:rPr>
          <w:rFonts w:ascii="Times New Roman" w:hAnsi="Times New Roman" w:cs="Times New Roman"/>
          <w:b/>
          <w:color w:val="000000"/>
          <w:sz w:val="24"/>
          <w:szCs w:val="24"/>
        </w:rPr>
        <w:t xml:space="preserve"> , </w:t>
      </w:r>
      <w:hyperlink r:id="rId6" w:history="1">
        <w:r w:rsidRPr="000D01C6">
          <w:rPr>
            <w:rStyle w:val="Hyperlink"/>
            <w:rFonts w:ascii="Times New Roman" w:hAnsi="Times New Roman" w:cs="Times New Roman"/>
            <w:b/>
            <w:sz w:val="24"/>
            <w:szCs w:val="24"/>
          </w:rPr>
          <w:t>loic.pellissier@usys.ethz.ch</w:t>
        </w:r>
      </w:hyperlink>
    </w:p>
    <w:p w14:paraId="5335DAEC" w14:textId="0BB350A9" w:rsidR="00EF787C" w:rsidRPr="000D01C6" w:rsidRDefault="009600C9" w:rsidP="000D01C6">
      <w:pPr>
        <w:keepNext/>
        <w:keepLines/>
        <w:pBdr>
          <w:top w:val="nil"/>
          <w:left w:val="nil"/>
          <w:bottom w:val="nil"/>
          <w:right w:val="nil"/>
          <w:between w:val="nil"/>
        </w:pBdr>
        <w:spacing w:before="240" w:after="0" w:line="240" w:lineRule="auto"/>
        <w:rPr>
          <w:rFonts w:ascii="Times New Roman" w:eastAsia="Arial" w:hAnsi="Times New Roman" w:cs="Times New Roman"/>
          <w:b/>
          <w:sz w:val="32"/>
          <w:szCs w:val="32"/>
        </w:rPr>
      </w:pPr>
      <w:r w:rsidRPr="000D01C6">
        <w:rPr>
          <w:rFonts w:ascii="Times New Roman" w:eastAsia="Arial" w:hAnsi="Times New Roman" w:cs="Times New Roman"/>
          <w:b/>
          <w:sz w:val="32"/>
          <w:szCs w:val="32"/>
        </w:rPr>
        <w:t>Supp</w:t>
      </w:r>
      <w:r w:rsidR="00D97C19">
        <w:rPr>
          <w:rFonts w:ascii="Times New Roman" w:eastAsia="Arial" w:hAnsi="Times New Roman" w:cs="Times New Roman"/>
          <w:b/>
          <w:sz w:val="32"/>
          <w:szCs w:val="32"/>
        </w:rPr>
        <w:t>lementary</w:t>
      </w:r>
      <w:r w:rsidRPr="000D01C6">
        <w:rPr>
          <w:rFonts w:ascii="Times New Roman" w:eastAsia="Arial" w:hAnsi="Times New Roman" w:cs="Times New Roman"/>
          <w:b/>
          <w:sz w:val="32"/>
          <w:szCs w:val="32"/>
        </w:rPr>
        <w:t xml:space="preserve"> Information 1</w:t>
      </w:r>
      <w:r w:rsidR="00FF3834" w:rsidRPr="000D01C6">
        <w:rPr>
          <w:rFonts w:ascii="Times New Roman" w:eastAsia="Arial" w:hAnsi="Times New Roman" w:cs="Times New Roman"/>
          <w:b/>
          <w:sz w:val="32"/>
          <w:szCs w:val="32"/>
        </w:rPr>
        <w:t>: Methods</w:t>
      </w:r>
    </w:p>
    <w:p w14:paraId="541C6EF8" w14:textId="77777777" w:rsidR="007B0381" w:rsidRPr="006C4374" w:rsidRDefault="007B0381" w:rsidP="00B94F4F">
      <w:pPr>
        <w:pStyle w:val="Heading3"/>
        <w:spacing w:line="480" w:lineRule="auto"/>
        <w:rPr>
          <w:rFonts w:ascii="Times New Roman" w:hAnsi="Times New Roman" w:cs="Times New Roman"/>
          <w:color w:val="000000"/>
          <w:sz w:val="20"/>
          <w:szCs w:val="20"/>
        </w:rPr>
      </w:pPr>
      <w:r w:rsidRPr="006C4374">
        <w:rPr>
          <w:rFonts w:ascii="Times New Roman" w:hAnsi="Times New Roman" w:cs="Times New Roman"/>
          <w:color w:val="000000"/>
          <w:sz w:val="20"/>
          <w:szCs w:val="20"/>
        </w:rPr>
        <w:t>Extraction</w:t>
      </w:r>
    </w:p>
    <w:p w14:paraId="61D9F4C3" w14:textId="77777777" w:rsidR="007B0381" w:rsidRPr="006C4374" w:rsidRDefault="007B0381" w:rsidP="00B94F4F">
      <w:pPr>
        <w:pBdr>
          <w:top w:val="nil"/>
          <w:left w:val="nil"/>
          <w:bottom w:val="nil"/>
          <w:right w:val="nil"/>
          <w:between w:val="nil"/>
        </w:pBdr>
        <w:spacing w:before="180" w:after="180" w:line="480" w:lineRule="auto"/>
        <w:rPr>
          <w:rFonts w:ascii="Times New Roman" w:hAnsi="Times New Roman" w:cs="Times New Roman"/>
          <w:sz w:val="20"/>
          <w:szCs w:val="20"/>
        </w:rPr>
      </w:pPr>
      <w:r w:rsidRPr="006C4374">
        <w:rPr>
          <w:rFonts w:ascii="Times New Roman" w:hAnsi="Times New Roman" w:cs="Times New Roman"/>
          <w:sz w:val="20"/>
          <w:szCs w:val="20"/>
        </w:rPr>
        <w:t xml:space="preserve">We performed two extractions per filter using the protocol of </w:t>
      </w:r>
      <w:r w:rsidRPr="006C4374">
        <w:rPr>
          <w:rFonts w:ascii="Times New Roman" w:hAnsi="Times New Roman" w:cs="Times New Roman"/>
          <w:sz w:val="20"/>
          <w:szCs w:val="20"/>
        </w:rPr>
        <w:fldChar w:fldCharType="begin" w:fldLock="1"/>
      </w:r>
      <w:r w:rsidR="00240D20" w:rsidRPr="006C4374">
        <w:rPr>
          <w:rFonts w:ascii="Times New Roman" w:hAnsi="Times New Roman" w:cs="Times New Roman"/>
          <w:sz w:val="20"/>
          <w:szCs w:val="20"/>
        </w:rPr>
        <w:instrText>ADDIN CSL_CITATION {"citationItems":[{"id":"ITEM-1","itemData":{"DOI":"10.1038/s41598-018-28424-8","ISSN":"20452322","PMID":"29991759","abstract":"Despite the ecological and societal importance of large rivers, fish sampling remains costly and limited to specific habitats (e.g., river banks). Using an eDNA metabarcoding approach, we regularly sampled 500 km of a large river (Rhône River). Comparisons with long-term electrofishing surveys demonstrated the ability of eDNA metabarcoding to qualitatively and quantitatively reveal fish assemblage structures (relative species abundance) but eDNA integrated a larger space than the classical sampling location. Combination of a literature review and field data showed that eDNA behaves in the water column like fine particulate organic matter. Its detection distance varied from a few km in a small stream to more than 100 km in a large river. To our knowledge, our results are the first demonstration of the capacity of eDNA metabarcoding to describe longitudinal fish assemblage patterns in a large river, and metabarcoding appears to be a reliable, cost-effective method for future monitoring.","author":[{"dropping-particle":"","family":"Pont","given":"Didier","non-dropping-particle":"","parse-names":false,"suffix":""},{"dropping-particle":"","family":"Rocle","given":"Mathieu","non-dropping-particle":"","parse-names":false,"suffix":""},{"dropping-particle":"","family":"Valentini","given":"Alice","non-dropping-particle":"","parse-names":false,"suffix":""},{"dropping-particle":"","family":"Civade","given":"Raphaël","non-dropping-particle":"","parse-names":false,"suffix":""},{"dropping-particle":"","family":"Jean","given":"Pauline","non-dropping-particle":"","parse-names":false,"suffix":""},{"dropping-particle":"","family":"Maire","given":"Anthony","non-dropping-particle":"","parse-names":false,"suffix":""},{"dropping-particle":"","family":"Roset","given":"Nicolas","non-dropping-particle":"","parse-names":false,"suffix":""},{"dropping-particle":"","family":"Schabuss","given":"Michael","non-dropping-particle":"","parse-names":false,"suffix":""},{"dropping-particle":"","family":"Zornig","given":"Horst","non-dropping-particle":"","parse-names":false,"suffix":""},{"dropping-particle":"","family":"Dejean","given":"Tony","non-dropping-particle":"","parse-names":false,"suffix":""}],"container-title":"Scientific Reports","id":"ITEM-1","issue":"1","issued":{"date-parts":[["2018","7","10"]]},"page":"1-13","publisher":"Nature Publishing Group","title":"Environmental DNA reveals quantitative patterns of fish biodiversity in large rivers despite its downstream transportation","type":"article-journal","volume":"8"},"uris":["http://www.mendeley.com/documents/?uuid=46d21a45-bbba-3a97-ac2f-97c7c627c099"]}],"mendeley":{"formattedCitation":"(Pont et al., 2018)","manualFormatting":"Pont et al. (2018)","plainTextFormattedCitation":"(Pont et al., 2018)","previouslyFormattedCitation":"&lt;sup&gt;1&lt;/sup&gt;"},"properties":{"noteIndex":0},"schema":"https://github.com/citation-style-language/schema/raw/master/csl-citation.json"}</w:instrText>
      </w:r>
      <w:r w:rsidRPr="006C4374">
        <w:rPr>
          <w:rFonts w:ascii="Times New Roman" w:hAnsi="Times New Roman" w:cs="Times New Roman"/>
          <w:sz w:val="20"/>
          <w:szCs w:val="20"/>
        </w:rPr>
        <w:fldChar w:fldCharType="separate"/>
      </w:r>
      <w:r w:rsidRPr="006C4374">
        <w:rPr>
          <w:rFonts w:ascii="Times New Roman" w:hAnsi="Times New Roman" w:cs="Times New Roman"/>
          <w:noProof/>
          <w:sz w:val="20"/>
          <w:szCs w:val="20"/>
        </w:rPr>
        <w:t>Pont et al. (2018)</w:t>
      </w:r>
      <w:r w:rsidRPr="006C4374">
        <w:rPr>
          <w:rFonts w:ascii="Times New Roman" w:hAnsi="Times New Roman" w:cs="Times New Roman"/>
          <w:sz w:val="20"/>
          <w:szCs w:val="20"/>
        </w:rPr>
        <w:fldChar w:fldCharType="end"/>
      </w:r>
      <w:r w:rsidRPr="006C4374">
        <w:rPr>
          <w:rFonts w:ascii="Times New Roman" w:hAnsi="Times New Roman" w:cs="Times New Roman"/>
          <w:sz w:val="20"/>
          <w:szCs w:val="20"/>
        </w:rPr>
        <w:t>. We agitated the filtration capsule containing the CL1 buffer for 15 min at 800 rpm using an S50 shaker (Ingenieurbuero</w:t>
      </w:r>
      <w:r w:rsidRPr="006C4374">
        <w:rPr>
          <w:rFonts w:ascii="Times New Roman" w:hAnsi="Times New Roman" w:cs="Times New Roman"/>
          <w:sz w:val="20"/>
          <w:szCs w:val="20"/>
          <w:vertAlign w:val="superscript"/>
        </w:rPr>
        <w:t>TM</w:t>
      </w:r>
      <w:r w:rsidRPr="006C4374">
        <w:rPr>
          <w:rFonts w:ascii="Times New Roman" w:hAnsi="Times New Roman" w:cs="Times New Roman"/>
          <w:sz w:val="20"/>
          <w:szCs w:val="20"/>
        </w:rPr>
        <w:t>) before emptying the buffer into two 50-ml tubes. The tubes were then centrifuged for 15 min at 15 000 g. After the supernatant was removed with a sterile pipette, each tube contained 15 ml of liquid. Next, we added 33 ml of ethanol and 1.5 ml of 3 M sodium acetate to each 50-ml tube. The tubes were stored at least for one night at -20 °C. Then the tubes were centrifuged again at 15 000 g for 15 min, at 6 °C and then supplemented with 720 μl of ATL buffer from the DNeasy Blood and Tissue Extraction Kit (Qiagen GmbH). Each tube was then vortexed before the supernatant was combined with 20 μl of Proteinase K in a 2-ml tube. The tubes were incubated for 2 hours at 56 °C. We used NucleoSpin (R) Soil (MACHEREY-NAGEL GmbH &amp; Co.) to perform two DNA extractions per filter capsule, starting from step six and continuing according to the manufacturer's manual. 100 μl of SE buffer was used twice for the elution process. Negative extraction controls were processed in parallel.</w:t>
      </w:r>
    </w:p>
    <w:p w14:paraId="018FC06C" w14:textId="77777777" w:rsidR="007B0381" w:rsidRPr="006C4374" w:rsidRDefault="007B0381" w:rsidP="00B94F4F">
      <w:pPr>
        <w:pStyle w:val="Heading3"/>
        <w:spacing w:line="480" w:lineRule="auto"/>
        <w:rPr>
          <w:rFonts w:ascii="Times New Roman" w:hAnsi="Times New Roman" w:cs="Times New Roman"/>
          <w:color w:val="000000"/>
          <w:sz w:val="20"/>
          <w:szCs w:val="20"/>
        </w:rPr>
      </w:pPr>
      <w:bookmarkStart w:id="0" w:name="bookmark=id.1fob9te" w:colFirst="0" w:colLast="0"/>
      <w:bookmarkEnd w:id="0"/>
      <w:r w:rsidRPr="006C4374">
        <w:rPr>
          <w:rFonts w:ascii="Times New Roman" w:hAnsi="Times New Roman" w:cs="Times New Roman"/>
          <w:color w:val="000000"/>
          <w:sz w:val="20"/>
          <w:szCs w:val="20"/>
        </w:rPr>
        <w:t>Amplification and Sequencing</w:t>
      </w:r>
    </w:p>
    <w:p w14:paraId="02D5B213" w14:textId="77777777" w:rsidR="007B0381" w:rsidRPr="006C4374" w:rsidRDefault="007B0381" w:rsidP="00B94F4F">
      <w:pPr>
        <w:pBdr>
          <w:top w:val="nil"/>
          <w:left w:val="nil"/>
          <w:bottom w:val="nil"/>
          <w:right w:val="nil"/>
          <w:between w:val="nil"/>
        </w:pBdr>
        <w:spacing w:before="180" w:after="180" w:line="480" w:lineRule="auto"/>
        <w:rPr>
          <w:rFonts w:ascii="Times New Roman" w:hAnsi="Times New Roman" w:cs="Times New Roman"/>
          <w:sz w:val="20"/>
          <w:szCs w:val="20"/>
        </w:rPr>
      </w:pPr>
      <w:r w:rsidRPr="006C4374">
        <w:rPr>
          <w:rFonts w:ascii="Times New Roman" w:hAnsi="Times New Roman" w:cs="Times New Roman"/>
          <w:sz w:val="20"/>
          <w:szCs w:val="20"/>
        </w:rPr>
        <w:t xml:space="preserve">Following established protocol </w:t>
      </w:r>
      <w:r w:rsidRPr="006C4374">
        <w:rPr>
          <w:rFonts w:ascii="Times New Roman" w:hAnsi="Times New Roman" w:cs="Times New Roman"/>
          <w:sz w:val="20"/>
          <w:szCs w:val="20"/>
        </w:rPr>
        <w:fldChar w:fldCharType="begin" w:fldLock="1"/>
      </w:r>
      <w:r w:rsidR="00240D20" w:rsidRPr="006C4374">
        <w:rPr>
          <w:rFonts w:ascii="Times New Roman" w:hAnsi="Times New Roman" w:cs="Times New Roman"/>
          <w:sz w:val="20"/>
          <w:szCs w:val="20"/>
        </w:rPr>
        <w:instrText>ADDIN CSL_CITATION {"citationItems":[{"id":"ITEM-1","itemData":{"DOI":"10.1016/j.biocon.2014.11.029","ISSN":"00063207","abstract":"The use of environmental DNA (eDNA) is rapidly emerging as a potentially valuable survey technique for rare or hard to survey freshwater organisms. For the great crested newt (Triturus cristatus) in the UK, the substantial cost and manpower requirements of traditional survey methods have hampered attempts to assess the status of the species. We tested whether eDNA could provide the basis for a national citizen science-based monitoring programme for great crested newts by (i) comparing the effectiveness of eDNA monitoring with torch counts, bottle trapping and egg searches and (ii) assessing the ability of volunteers to collect eDNA samples throughout the newt's UK range. In 35 ponds visited four times through the breeding season, eDNA detected newts on 139 out of 140 visits, a 99.3% detection rate. Bottle traps, torch counts and egg searches were significantly less effective, detecting newts 76%, 75% and 44% of the time. eDNA was less successful at predicting newt abundance being positively, but weakly, correlated with counts of the number of newts. Volunteers successfully collected eDNA samples across the UK with 219 of 239 sites (91.3%) correctly identified as supporting newts. 8.7% of sites generated false negatives, either because of very small newt populations or practical difficulties in sample collection. There were no false positives. Overall, we conclude that eDNA is a highly effective survey method and could be used as the basis for a national great crested newt monitoring programme.","author":[{"dropping-particle":"","family":"Biggs","given":"Jeremy","non-dropping-particle":"","parse-names":false,"suffix":""},{"dropping-particle":"","family":"Ewald","given":"Naomi","non-dropping-particle":"","parse-names":false,"suffix":""},{"dropping-particle":"","family":"Valentini","given":"Alice","non-dropping-particle":"","parse-names":false,"suffix":""},{"dropping-particle":"","family":"Gaboriaud","given":"Coline","non-dropping-particle":"","parse-names":false,"suffix":""},{"dropping-particle":"","family":"Dejean","given":"Tony","non-dropping-particle":"","parse-names":false,"suffix":""},{"dropping-particle":"","family":"Griffiths","given":"Richard A.","non-dropping-particle":"","parse-names":false,"suffix":""},{"dropping-particle":"","family":"Foster","given":"Jim","non-dropping-particle":"","parse-names":false,"suffix":""},{"dropping-particle":"","family":"Wilkinson","given":"John W.","non-dropping-particle":"","parse-names":false,"suffix":""},{"dropping-particle":"","family":"Arnell","given":"Andy","non-dropping-particle":"","parse-names":false,"suffix":""},{"dropping-particle":"","family":"Brotherton","given":"Peter","non-dropping-particle":"","parse-names":false,"suffix":""},{"dropping-particle":"","family":"Williams","given":"Penny","non-dropping-particle":"","parse-names":false,"suffix":""},{"dropping-particle":"","family":"Dunn","given":"Francesca","non-dropping-particle":"","parse-names":false,"suffix":""}],"container-title":"Biological Conservation","id":"ITEM-1","issued":{"date-parts":[["2015","3","1"]]},"page":"19-28","publisher":"Elsevier Ltd","title":"Using eDNA to develop a national citizen science-based monitoring programme for the great crested newt (Triturus cristatus)","type":"article-journal","volume":"183"},"uris":["http://www.mendeley.com/documents/?uuid=c6c948f2-64a6-34c4-b7e7-55c1532ef9f9"]}],"mendeley":{"formattedCitation":"(Biggs et al., 2015)","plainTextFormattedCitation":"(Biggs et al., 2015)","previouslyFormattedCitation":"&lt;sup&gt;2&lt;/sup&gt;"},"properties":{"noteIndex":0},"schema":"https://github.com/citation-style-language/schema/raw/master/csl-citation.json"}</w:instrText>
      </w:r>
      <w:r w:rsidRPr="006C4374">
        <w:rPr>
          <w:rFonts w:ascii="Times New Roman" w:hAnsi="Times New Roman" w:cs="Times New Roman"/>
          <w:sz w:val="20"/>
          <w:szCs w:val="20"/>
        </w:rPr>
        <w:fldChar w:fldCharType="separate"/>
      </w:r>
      <w:r w:rsidR="00240D20" w:rsidRPr="006C4374">
        <w:rPr>
          <w:rFonts w:ascii="Times New Roman" w:hAnsi="Times New Roman" w:cs="Times New Roman"/>
          <w:noProof/>
          <w:sz w:val="20"/>
          <w:szCs w:val="20"/>
        </w:rPr>
        <w:t>(Biggs et al., 2015)</w:t>
      </w:r>
      <w:r w:rsidRPr="006C4374">
        <w:rPr>
          <w:rFonts w:ascii="Times New Roman" w:hAnsi="Times New Roman" w:cs="Times New Roman"/>
          <w:sz w:val="20"/>
          <w:szCs w:val="20"/>
        </w:rPr>
        <w:fldChar w:fldCharType="end"/>
      </w:r>
      <w:r w:rsidRPr="006C4374">
        <w:rPr>
          <w:rFonts w:ascii="Times New Roman" w:hAnsi="Times New Roman" w:cs="Times New Roman"/>
          <w:sz w:val="20"/>
          <w:szCs w:val="20"/>
        </w:rPr>
        <w:t xml:space="preserve">, samples were tested for inhibition; inhibited samples were diluted fivefold. 3 μl of DNA extract were used as a template to perform DNA amplification in a final volume of 25 μl. The amplification mixture consisted of 1 U of AmpliTaq Gold DNA Polymerase (Applied Biosystem), 10 mM Tris-HCl, 50 mM KCl, 2.5 mM MgCl2, 0.2 mM of each dNTP, 0.2 μm of each primer, and 0,2 μg/μl bovine serum albumin (BSA, Roche Diagnostic). eDNA was amplified using two primer sets targeting vertebrates (Vert01, forward: -TTAGATACCCCACTATGC, reverse: -TAGAACAGGCTCCTCTAG, mean marker length: 97 bp) and spermatophytes (g-h/Sper01, forward: -GGGCAATCCTGAGCCAA, reverse: </w:t>
      </w:r>
      <w:proofErr w:type="spellStart"/>
      <w:r w:rsidRPr="006C4374">
        <w:rPr>
          <w:rFonts w:ascii="Times New Roman" w:hAnsi="Times New Roman" w:cs="Times New Roman"/>
          <w:sz w:val="20"/>
          <w:szCs w:val="20"/>
        </w:rPr>
        <w:t>CCATTGAGTCTCTl</w:t>
      </w:r>
      <w:proofErr w:type="spellEnd"/>
      <w:r w:rsidRPr="006C4374">
        <w:rPr>
          <w:rFonts w:ascii="Times New Roman" w:hAnsi="Times New Roman" w:cs="Times New Roman"/>
          <w:sz w:val="20"/>
          <w:szCs w:val="20"/>
        </w:rPr>
        <w:t xml:space="preserve"> </w:t>
      </w:r>
      <w:proofErr w:type="spellStart"/>
      <w:r w:rsidRPr="006C4374">
        <w:rPr>
          <w:rFonts w:ascii="Times New Roman" w:hAnsi="Times New Roman" w:cs="Times New Roman"/>
          <w:sz w:val="20"/>
          <w:szCs w:val="20"/>
        </w:rPr>
        <w:t>bGCACCTATC</w:t>
      </w:r>
      <w:proofErr w:type="spellEnd"/>
      <w:r w:rsidRPr="006C4374">
        <w:rPr>
          <w:rFonts w:ascii="Times New Roman" w:hAnsi="Times New Roman" w:cs="Times New Roman"/>
          <w:sz w:val="20"/>
          <w:szCs w:val="20"/>
        </w:rPr>
        <w:t xml:space="preserve">, mean marker length: 48 bp) </w:t>
      </w:r>
      <w:r w:rsidRPr="006C4374">
        <w:rPr>
          <w:rFonts w:ascii="Times New Roman" w:hAnsi="Times New Roman" w:cs="Times New Roman"/>
          <w:sz w:val="20"/>
          <w:szCs w:val="20"/>
        </w:rPr>
        <w:fldChar w:fldCharType="begin" w:fldLock="1"/>
      </w:r>
      <w:r w:rsidR="00240D20" w:rsidRPr="006C4374">
        <w:rPr>
          <w:rFonts w:ascii="Times New Roman" w:hAnsi="Times New Roman" w:cs="Times New Roman"/>
          <w:sz w:val="20"/>
          <w:szCs w:val="20"/>
        </w:rPr>
        <w:instrText>ADDIN CSL_CITATION {"citationItems":[{"id":"ITEM-1","itemData":{"DOI":"10.1093/oso/9780198767220.001.0001","ISBN":"9780198767220","abstract":"Environmental DNA (eDNA), i.e. DNA released in the environment by any living form, represents a formidable opportunity to gather high-throughput and standard information on the distribution or feeding habits of species. It has therefore great potential for applications in ecology and biodiversity management. However, this research field is fast-moving, involves different areas of expertise and currently lacks standard approaches, which calls for an up-to-date and comprehensive synthesis. Environmental DNA for biodiversity research and monitoring covers current methods based on eDNA, with a particular focus on “eDNA metabarcoding”. Intended for scientists and managers, it provides the background information to allow the design of sound experiments. It revisits all steps necessary to produce high-quality metabarcoding data such as sampling, metabarcode design, optimization of PCR and sequencing protocols, as well as analysis of large sequencing datasets. All these different steps are presented by discussing the potential and current challenges of eDNA-based approaches to infer parameters on biodiversity or ecological processes. The last chapters of this book review how DNA metabarcoding has been used so far to unravel novel patterns of diversity in space and time, to detect particular species, and to answer new ecological questions in various ecosystems and for various organisms. Environmental DNA for biodiversity research and monitoring constitutes an essential reading for all graduate students, researchers and practitioners who do not have a strong background in molecular genetics and who are willing to use eDNA approaches in ecology and biomonitoring.","author":[{"dropping-particle":"","family":"Taberlet","given":"Pierre","non-dropping-particle":"","parse-names":false,"suffix":""},{"dropping-particle":"","family":"Bonin","given":"Aurélie","non-dropping-particle":"","parse-names":false,"suffix":""},{"dropping-particle":"","family":"Zinger","given":"Lucie","non-dropping-particle":"","parse-names":false,"suffix":""},{"dropping-particle":"","family":"Coissac","given":"Eric","non-dropping-particle":"","parse-names":false,"suffix":""}],"container-title":"Environmental DNA: For Biodiversity Research and Monitoring","id":"ITEM-1","issued":{"date-parts":[["2018","1","1"]]},"number-of-pages":"1-253","publisher":"Oxford University Press","title":"Environmental DNA: For biodiversity research and monitoring","type":"book"},"uris":["http://www.mendeley.com/documents/?uuid=8db89d62-7c13-3bdf-bde4-bb872aeda6c9"]}],"mendeley":{"formattedCitation":"(Taberlet et al., 2018)","plainTextFormattedCitation":"(Taberlet et al., 2018)","previouslyFormattedCitation":"&lt;sup&gt;3&lt;/sup&gt;"},"properties":{"noteIndex":0},"schema":"https://github.com/citation-style-language/schema/raw/master/csl-citation.json"}</w:instrText>
      </w:r>
      <w:r w:rsidRPr="006C4374">
        <w:rPr>
          <w:rFonts w:ascii="Times New Roman" w:hAnsi="Times New Roman" w:cs="Times New Roman"/>
          <w:sz w:val="20"/>
          <w:szCs w:val="20"/>
        </w:rPr>
        <w:fldChar w:fldCharType="separate"/>
      </w:r>
      <w:r w:rsidR="00240D20" w:rsidRPr="006C4374">
        <w:rPr>
          <w:rFonts w:ascii="Times New Roman" w:hAnsi="Times New Roman" w:cs="Times New Roman"/>
          <w:noProof/>
          <w:sz w:val="20"/>
          <w:szCs w:val="20"/>
        </w:rPr>
        <w:t>(Taberlet et al., 2018)</w:t>
      </w:r>
      <w:r w:rsidRPr="006C4374">
        <w:rPr>
          <w:rFonts w:ascii="Times New Roman" w:hAnsi="Times New Roman" w:cs="Times New Roman"/>
          <w:sz w:val="20"/>
          <w:szCs w:val="20"/>
        </w:rPr>
        <w:fldChar w:fldCharType="end"/>
      </w:r>
      <w:r w:rsidRPr="006C4374">
        <w:rPr>
          <w:rFonts w:ascii="Times New Roman" w:hAnsi="Times New Roman" w:cs="Times New Roman"/>
          <w:sz w:val="20"/>
          <w:szCs w:val="20"/>
        </w:rPr>
        <w:t xml:space="preserve">. For the vertebrate primer, human blocking primer </w:t>
      </w:r>
      <w:r w:rsidRPr="006C4374">
        <w:rPr>
          <w:rFonts w:ascii="Times New Roman" w:hAnsi="Times New Roman" w:cs="Times New Roman"/>
          <w:sz w:val="20"/>
          <w:szCs w:val="20"/>
        </w:rPr>
        <w:fldChar w:fldCharType="begin" w:fldLock="1"/>
      </w:r>
      <w:r w:rsidR="00240D20" w:rsidRPr="006C4374">
        <w:rPr>
          <w:rFonts w:ascii="Times New Roman" w:hAnsi="Times New Roman" w:cs="Times New Roman"/>
          <w:sz w:val="20"/>
          <w:szCs w:val="20"/>
        </w:rPr>
        <w:instrText>ADDIN CSL_CITATION {"citationItems":[{"id":"ITEM-1","itemData":{"DOI":"10.1111/1755-0998.12188","ISSN":"1755098X","PMID":"24128180","abstract":"Ecological understanding of the role of consumer-resource interactions in natural food webs is limited by the difficulty of accurately and efficiently determining the complex variety of food types animals have eaten in the field. We developed a method based on DNA metabarcoding multiplexing and next-generation sequencing to uncover different taxonomic groups of organisms from complex diet samples. We validated this approach on 91 faeces of a large omnivorous mammal, the brown bear, using DNA metabarcoding markers targeting the plant, vertebrate and invertebrate components of the diet. We included internal controls in the experiments and performed PCR replication for accuracy validation in postsequencing data analysis. Using our multiplexing strategy, we significantly simplified the experimental procedure and accurately and concurrently identified different prey DNA corresponding to the targeted taxonomic groups, with ≥60% of taxa of all diet components identified to genus/species level. The systematic application of internal controls and replication was a useful and simple way to evaluate the performance of our experimental procedure, standardize the selection of sequence filtering parameters for each marker data and validate the accuracy of the results. Our general approach can be adapted to the analysis of dietary samples of various predator species in different ecosystems, for a number of conservation and ecological applications entailing large-scale population level diet assessment through cost-effective screening of multiple DNA metabarcodes, and the detection of fine dietary variation among samples or individuals and of rare food items. © 2013 John Wiley &amp; Sons Ltd.","author":[{"dropping-particle":"","family":"Barba","given":"M.","non-dropping-particle":"De","parse-names":false,"suffix":""},{"dropping-particle":"","family":"Miquel","given":"C.","non-dropping-particle":"","parse-names":false,"suffix":""},{"dropping-particle":"","family":"Boyer","given":"F.","non-dropping-particle":"","parse-names":false,"suffix":""},{"dropping-particle":"","family":"Mercier","given":"C.","non-dropping-particle":"","parse-names":false,"suffix":""},{"dropping-particle":"","family":"Rioux","given":"D.","non-dropping-particle":"","parse-names":false,"suffix":""},{"dropping-particle":"","family":"Coissac","given":"E.","non-dropping-particle":"","parse-names":false,"suffix":""},{"dropping-particle":"","family":"Taberlet","given":"P.","non-dropping-particle":"","parse-names":false,"suffix":""}],"container-title":"Molecular Ecology Resources","id":"ITEM-1","issue":"2","issued":{"date-parts":[["2014","3","1"]]},"page":"306-323","publisher":"John Wiley &amp; Sons, Ltd","title":"DNA metabarcoding multiplexing and validation of data accuracy for diet assessment: Application to omnivorous diet","type":"article-journal","volume":"14"},"uris":["http://www.mendeley.com/documents/?uuid=29eb5b54-6d40-4786-b676-f282b4bebf3b"]}],"mendeley":{"formattedCitation":"(De Barba et al., 2014)","plainTextFormattedCitation":"(De Barba et al., 2014)","previouslyFormattedCitation":"&lt;sup&gt;4&lt;/sup&gt;"},"properties":{"noteIndex":0},"schema":"https://github.com/citation-style-language/schema/raw/master/csl-citation.json"}</w:instrText>
      </w:r>
      <w:r w:rsidRPr="006C4374">
        <w:rPr>
          <w:rFonts w:ascii="Times New Roman" w:hAnsi="Times New Roman" w:cs="Times New Roman"/>
          <w:sz w:val="20"/>
          <w:szCs w:val="20"/>
        </w:rPr>
        <w:fldChar w:fldCharType="separate"/>
      </w:r>
      <w:r w:rsidR="00240D20" w:rsidRPr="006C4374">
        <w:rPr>
          <w:rFonts w:ascii="Times New Roman" w:hAnsi="Times New Roman" w:cs="Times New Roman"/>
          <w:noProof/>
          <w:sz w:val="20"/>
          <w:szCs w:val="20"/>
        </w:rPr>
        <w:t>(De Barba et al., 2014)</w:t>
      </w:r>
      <w:r w:rsidRPr="006C4374">
        <w:rPr>
          <w:rFonts w:ascii="Times New Roman" w:hAnsi="Times New Roman" w:cs="Times New Roman"/>
          <w:sz w:val="20"/>
          <w:szCs w:val="20"/>
        </w:rPr>
        <w:fldChar w:fldCharType="end"/>
      </w:r>
      <w:r w:rsidRPr="006C4374">
        <w:rPr>
          <w:rFonts w:ascii="Times New Roman" w:hAnsi="Times New Roman" w:cs="Times New Roman"/>
          <w:sz w:val="20"/>
          <w:szCs w:val="20"/>
        </w:rPr>
        <w:t xml:space="preserve"> with a final concentration of 4 </w:t>
      </w:r>
      <w:proofErr w:type="spellStart"/>
      <w:r w:rsidRPr="006C4374">
        <w:rPr>
          <w:rFonts w:ascii="Times New Roman" w:hAnsi="Times New Roman" w:cs="Times New Roman"/>
          <w:sz w:val="20"/>
          <w:szCs w:val="20"/>
        </w:rPr>
        <w:t>μM</w:t>
      </w:r>
      <w:proofErr w:type="spellEnd"/>
      <w:r w:rsidRPr="006C4374">
        <w:rPr>
          <w:rFonts w:ascii="Times New Roman" w:hAnsi="Times New Roman" w:cs="Times New Roman"/>
          <w:sz w:val="20"/>
          <w:szCs w:val="20"/>
        </w:rPr>
        <w:t xml:space="preserve"> was also added to the mixture. The two primer sets were 5’-labelled with an eight-nucleotide tag unique to each sample (with at least three differences between </w:t>
      </w:r>
      <w:r w:rsidRPr="006C4374">
        <w:rPr>
          <w:rFonts w:ascii="Times New Roman" w:hAnsi="Times New Roman" w:cs="Times New Roman"/>
          <w:sz w:val="20"/>
          <w:szCs w:val="20"/>
        </w:rPr>
        <w:lastRenderedPageBreak/>
        <w:t>any pair of tags), allowing each sequence to be assigned to the corresponding sample during sequence analysis. Identical tags were used for the forward and reverse primers. The PCR mixture was denatured at 95 °C for 10 min, followed by 50 cycles of 30 s at 95 °C, 30 s at 55 °C for Vert01 and 50 °C for Sper01 and 1 min at 72 °C, with a final elongation step at 72 °C for 7 min. We ran 12 PCR replicates per extracted DNA and per marker. Samples were first titrated using capillary electrophoresis (QIAxcel; Qiagen GmbH) and purified using the MinElute PCR purification kit, then titrated again. Purified PCR products were pooled in equal volumes, achieving a theoretical sequencing depth of 300 000 and 100 000 reads per sample for vertebrates and plants, respectively. Two libraries were prepared using the Metafast protocol (Fasteris). Two paired-end sequencing runs (2 × 125 bp) were carried out on a MiSeq sequencer (Illumina, San Diego, CA, USA) using the MiSeq Flow Cell Kit Version3 (Illumina, San Diego, CA, USA) according to the manufacturer's instructions. In order to monitor the possibility of contamination, four negative extraction controls and two negative PCR controls (12 replicates using ultrapure water) were amplified per primer pair and sequenced parallel to the samples.</w:t>
      </w:r>
    </w:p>
    <w:p w14:paraId="5B1D3747" w14:textId="77777777" w:rsidR="007B0381" w:rsidRPr="006C4374" w:rsidRDefault="007B0381" w:rsidP="00B94F4F">
      <w:pPr>
        <w:pStyle w:val="Heading3"/>
        <w:spacing w:line="480" w:lineRule="auto"/>
        <w:rPr>
          <w:rFonts w:ascii="Times New Roman" w:hAnsi="Times New Roman" w:cs="Times New Roman"/>
          <w:color w:val="000000"/>
          <w:sz w:val="20"/>
          <w:szCs w:val="20"/>
        </w:rPr>
      </w:pPr>
      <w:r w:rsidRPr="006C4374">
        <w:rPr>
          <w:rFonts w:ascii="Times New Roman" w:hAnsi="Times New Roman" w:cs="Times New Roman"/>
          <w:color w:val="000000"/>
          <w:sz w:val="20"/>
          <w:szCs w:val="20"/>
        </w:rPr>
        <w:t>Bioinformatic analyses</w:t>
      </w:r>
    </w:p>
    <w:p w14:paraId="0ADE82DC" w14:textId="77777777" w:rsidR="007B0381" w:rsidRPr="006C4374" w:rsidRDefault="007B0381" w:rsidP="00B94F4F">
      <w:pPr>
        <w:pBdr>
          <w:top w:val="nil"/>
          <w:left w:val="nil"/>
          <w:bottom w:val="nil"/>
          <w:right w:val="nil"/>
          <w:between w:val="nil"/>
        </w:pBdr>
        <w:spacing w:before="180" w:after="180" w:line="480" w:lineRule="auto"/>
        <w:rPr>
          <w:rFonts w:ascii="Times New Roman" w:hAnsi="Times New Roman" w:cs="Times New Roman"/>
          <w:sz w:val="20"/>
          <w:szCs w:val="20"/>
        </w:rPr>
      </w:pPr>
      <w:r w:rsidRPr="006C4374">
        <w:rPr>
          <w:rFonts w:ascii="Times New Roman" w:hAnsi="Times New Roman" w:cs="Times New Roman"/>
          <w:sz w:val="20"/>
          <w:szCs w:val="20"/>
        </w:rPr>
        <w:t xml:space="preserve">Reads were processed post-sequencing in order to remove errors and then analysed using the OBITools package </w:t>
      </w:r>
      <w:r w:rsidRPr="006C4374">
        <w:rPr>
          <w:rFonts w:ascii="Times New Roman" w:hAnsi="Times New Roman" w:cs="Times New Roman"/>
          <w:sz w:val="20"/>
          <w:szCs w:val="20"/>
        </w:rPr>
        <w:fldChar w:fldCharType="begin" w:fldLock="1"/>
      </w:r>
      <w:r w:rsidR="00240D20" w:rsidRPr="006C4374">
        <w:rPr>
          <w:rFonts w:ascii="Times New Roman" w:hAnsi="Times New Roman" w:cs="Times New Roman"/>
          <w:sz w:val="20"/>
          <w:szCs w:val="20"/>
        </w:rPr>
        <w:instrText>ADDIN CSL_CITATION {"citationItems":[{"id":"ITEM-1","itemData":{"DOI":"10.1111/1755-0998.12428","ISSN":"1755-0998","PMID":"25959493","abstract":"DNA metabarcoding offers new perspectives in biodiversity research. This recently developed approach to ecosystem study relies heavily on the use of next-generation sequencing (NGS) and thus calls upon the ability to deal with huge sequence data sets. The obitools package satisfies this requirement thanks to a set of programs specifically designed for analysing NGS data in a DNA metabarcoding context. Their capacity to filter and edit sequences while taking into account taxonomic annotation helps to set up tailor-made analysis pipelines for a broad range of DNA metabarcoding applications, including biodiversity surveys or diet analyses. The obitools package is distributed as an open source software available on the following website: http://metabarcoding.org/obitools. A Galaxy wrapper is available on the GenOuest core facility toolshed: http://toolshed.genouest.org.","author":[{"dropping-particle":"","family":"Boyer","given":"Frédéric","non-dropping-particle":"","parse-names":false,"suffix":""},{"dropping-particle":"","family":"Mercier","given":"Céline","non-dropping-particle":"","parse-names":false,"suffix":""},{"dropping-particle":"","family":"Bonin","given":"Aurélie","non-dropping-particle":"","parse-names":false,"suffix":""},{"dropping-particle":"","family":"Bras","given":"Yvan","non-dropping-particle":"Le","parse-names":false,"suffix":""},{"dropping-particle":"","family":"Taberlet","given":"Pierre","non-dropping-particle":"","parse-names":false,"suffix":""},{"dropping-particle":"","family":"Coissac","given":"Eric","non-dropping-particle":"","parse-names":false,"suffix":""}],"container-title":"Molecular Ecology Resources","id":"ITEM-1","issue":"1","issued":{"date-parts":[["2016","1","1"]]},"page":"176-182","publisher":"John Wiley &amp; Sons, Ltd","title":"obitools: a unix-inspired software package for DNA metabarcoding","type":"article-journal","volume":"16"},"uris":["http://www.mendeley.com/documents/?uuid=61ce6f98-a8b1-4d0b-9e78-dfabc16d27c5"]}],"mendeley":{"formattedCitation":"(Boyer et al., 2016)","plainTextFormattedCitation":"(Boyer et al., 2016)","previouslyFormattedCitation":"&lt;sup&gt;5&lt;/sup&gt;"},"properties":{"noteIndex":0},"schema":"https://github.com/citation-style-language/schema/raw/master/csl-citation.json"}</w:instrText>
      </w:r>
      <w:r w:rsidRPr="006C4374">
        <w:rPr>
          <w:rFonts w:ascii="Times New Roman" w:hAnsi="Times New Roman" w:cs="Times New Roman"/>
          <w:sz w:val="20"/>
          <w:szCs w:val="20"/>
        </w:rPr>
        <w:fldChar w:fldCharType="separate"/>
      </w:r>
      <w:r w:rsidR="00240D20" w:rsidRPr="006C4374">
        <w:rPr>
          <w:rFonts w:ascii="Times New Roman" w:hAnsi="Times New Roman" w:cs="Times New Roman"/>
          <w:noProof/>
          <w:sz w:val="20"/>
          <w:szCs w:val="20"/>
        </w:rPr>
        <w:t>(Boyer et al., 2016)</w:t>
      </w:r>
      <w:r w:rsidRPr="006C4374">
        <w:rPr>
          <w:rFonts w:ascii="Times New Roman" w:hAnsi="Times New Roman" w:cs="Times New Roman"/>
          <w:sz w:val="20"/>
          <w:szCs w:val="20"/>
        </w:rPr>
        <w:fldChar w:fldCharType="end"/>
      </w:r>
      <w:r w:rsidRPr="006C4374">
        <w:rPr>
          <w:rFonts w:ascii="Times New Roman" w:hAnsi="Times New Roman" w:cs="Times New Roman"/>
          <w:sz w:val="20"/>
          <w:szCs w:val="20"/>
        </w:rPr>
        <w:t xml:space="preserve"> according to existing protocols </w:t>
      </w:r>
      <w:r w:rsidRPr="006C4374">
        <w:rPr>
          <w:rFonts w:ascii="Times New Roman" w:hAnsi="Times New Roman" w:cs="Times New Roman"/>
          <w:sz w:val="20"/>
          <w:szCs w:val="20"/>
        </w:rPr>
        <w:fldChar w:fldCharType="begin" w:fldLock="1"/>
      </w:r>
      <w:r w:rsidR="00240D20" w:rsidRPr="006C4374">
        <w:rPr>
          <w:rFonts w:ascii="Times New Roman" w:hAnsi="Times New Roman" w:cs="Times New Roman"/>
          <w:sz w:val="20"/>
          <w:szCs w:val="20"/>
        </w:rPr>
        <w:instrText>ADDIN CSL_CITATION {"citationItems":[{"id":"ITEM-1","itemData":{"DOI":"10.1002/edn3.140","ISSN":"26374943","abstract":"Environmental DNA (eDNA) analysis is a revolutionary method to monitor marine biodiversity from animal DNA traces. Examining the capacity of eDNA to provide accurate biodiversity measures in species-rich ecosystems such as coral reefs is a prerequisite for their application in long-term monitoring. Here, we surveyed two Colombian tropical marine reefs, the island of Providencia and Gayraca Bay near Santa Marta, using eDNA and underwater visual census (UVC) methods. We collected a large quantity of surface water (30 L per filter) above the reefs and applied a metabarcoding protocol using three different primer sets targeting the 12S mitochondrial DNA, which are specific to the vertebrates Actinopterygii and Elasmobranchii. By assigning eDNA sequences to species using a public reference database, we detected the presence of 107 and 85 fish species, 106 and 92 genera, and 73 and 57 families in Providencia and Gayraca Bay, respectively. Of the species identified using eDNA, 32.7% (Providencia) and 18.8% (Gayraca) were also found in the UVCs. We further found congruence in genus and species richness and abundance between eDNA and UVC approaches in Providencia but not in Gayraca Bay. Mismatches between eDNA and UVC had a phylogenetic and ecological signal, with eDNA detecting a broader phylogenetic diversity and more effectively detecting smaller species, pelagic species and those in deeper habitats. Altogether, eDNA can be used for fast and broad biodiversity surveys and is applicable to species-rich ecosystems in the tropics, but improved coverage of the reference database is required before this new method could serve as an effective complement to traditional census methods.","author":[{"dropping-particle":"","family":"Polanco Fernández","given":"Andrea","non-dropping-particle":"","parse-names":false,"suffix":""},{"dropping-particle":"","family":"Marques","given":"Virginie","non-dropping-particle":"","parse-names":false,"suffix":""},{"dropping-particle":"","family":"Fopp","given":"Fabian","non-dropping-particle":"","parse-names":false,"suffix":""},{"dropping-particle":"","family":"Juhel","given":"Jean Baptiste","non-dropping-particle":"","parse-names":false,"suffix":""},{"dropping-particle":"","family":"Borrero-Pérez","given":"Giomar Helena","non-dropping-particle":"","parse-names":false,"suffix":""},{"dropping-particle":"","family":"Cheutin","given":"Marie Charlotte","non-dropping-particle":"","parse-names":false,"suffix":""},{"dropping-particle":"","family":"Dejean","given":"Tony","non-dropping-particle":"","parse-names":false,"suffix":""},{"dropping-particle":"","family":"González Corredor","given":"Juan David","non-dropping-particle":"","parse-names":false,"suffix":""},{"dropping-particle":"","family":"Acosta-Chaparro","given":"Andrés","non-dropping-particle":"","parse-names":false,"suffix":""},{"dropping-particle":"","family":"Hocdé","given":"Régis","non-dropping-particle":"","parse-names":false,"suffix":""},{"dropping-particle":"","family":"Eme","given":"David","non-dropping-particle":"","parse-names":false,"suffix":""},{"dropping-particle":"","family":"Maire","given":"Eva","non-dropping-particle":"","parse-names":false,"suffix":""},{"dropping-particle":"","family":"Spescha","given":"Manuel","non-dropping-particle":"","parse-names":false,"suffix":""},{"dropping-particle":"","family":"Valentini","given":"Alice","non-dropping-particle":"","parse-names":false,"suffix":""},{"dropping-particle":"","family":"Manel","given":"Stéphanie","non-dropping-particle":"","parse-names":false,"suffix":""},{"dropping-particle":"","family":"Mouillot","given":"David","non-dropping-particle":"","parse-names":false,"suffix":""},{"dropping-particle":"","family":"Albouy","given":"Camille","non-dropping-particle":"","parse-names":false,"suffix":""},{"dropping-particle":"","family":"Pellissier","given":"Loïc","non-dropping-particle":"","parse-names":false,"suffix":""}],"container-title":"Environmental DNA","id":"ITEM-1","issue":"1","issued":{"date-parts":[["2021","1","1"]]},"page":"142-156","publisher":"John Wiley &amp; Sons, Ltd","title":"Comparing environmental DNA metabarcoding and underwater visual census to monitor tropical reef fishes","type":"article-journal","volume":"3"},"uris":["http://www.mendeley.com/documents/?uuid=fddb536d-8b2e-373a-9b18-d25ef16d855d"]},{"id":"ITEM-2","itemData":{"DOI":"10.1111/MEC.13428","ISSN":"1365-294X","PMID":"26479867","abstract":"Global biodiversity in freshwater and the oceans is declining at high rates. Reliable tools for assessing and monitoring aquatic biodiversity, especially for rare and secretive species, are important for efficient and timely management. Recent advances in DNA sequencing have provided a new tool for species detection from DNA present in the environment. In this study, we tested whether an environmental DNA (eDNA) metabarcoding approach, using water samples, can be used for addressing significant questions in ecology and conservation. Two key aquatic vertebrate groups were targeted: amphibians and bony fish. The reliability of this method was cautiously validated in silico, in vitro and in situ. When compared with traditional surveys or historical data, eDNA metabarcoding showed a much better detection probability overall. For amphibians, the detection probability with eDNA metabarcoding was 0.97 (CI = 0.90-0.99) vs. 0.58 (CI = 0.50-0.63) for traditional surveys. For fish, in 89% of the studied sites, the number of taxa detected using the eDNA metabarcoding approach was higher or identical to the number detected using traditional methods. We argue that the proposed DNA-based approach has the potential to become the next-generation tool for ecological studies and standardized biodiversity monitoring in a wide range of aquatic ecosystems.","author":[{"dropping-particle":"","family":"Valentini","given":"Alice","non-dropping-particle":"","parse-names":false,"suffix":""},{"dropping-particle":"","family":"Taberlet","given":"Pierre","non-dropping-particle":"","parse-names":false,"suffix":""},{"dropping-particle":"","family":"Miaud","given":"Claude","non-dropping-particle":"","parse-names":false,"suffix":""},{"dropping-particle":"","family":"Civade","given":"Raphaël","non-dropping-particle":"","parse-names":false,"suffix":""},{"dropping-particle":"","family":"Herder","given":"Jelger","non-dropping-particle":"","parse-names":false,"suffix":""},{"dropping-particle":"","family":"Thomsen","given":"Philip Francis","non-dropping-particle":"","parse-names":false,"suffix":""},{"dropping-particle":"","family":"Bellemain","given":"Eva","non-dropping-particle":"","parse-names":false,"suffix":""},{"dropping-particle":"","family":"Besnard","given":"Aurélien","non-dropping-particle":"","parse-names":false,"suffix":""},{"dropping-particle":"","family":"Coissac","given":"Eric","non-dropping-particle":"","parse-names":false,"suffix":""},{"dropping-particle":"","family":"Boyer","given":"Frédéric","non-dropping-particle":"","parse-names":false,"suffix":""},{"dropping-particle":"","family":"Gaboriaud","given":"Coline","non-dropping-particle":"","parse-names":false,"suffix":""},{"dropping-particle":"","family":"Jean","given":"Pauline","non-dropping-particle":"","parse-names":false,"suffix":""},{"dropping-particle":"","family":"Poulet","given":"Nicolas","non-dropping-particle":"","parse-names":false,"suffix":""},{"dropping-particle":"","family":"Roset","given":"Nicolas","non-dropping-particle":"","parse-names":false,"suffix":""},{"dropping-particle":"","family":"Copp","given":"Gordon H.","non-dropping-particle":"","parse-names":false,"suffix":""},{"dropping-particle":"","family":"Geniez","given":"Philippe","non-dropping-particle":"","parse-names":false,"suffix":""},{"dropping-particle":"","family":"Pont","given":"Didier","non-dropping-particle":"","parse-names":false,"suffix":""},{"dropping-particle":"","family":"Argillier","given":"Christine","non-dropping-particle":"","parse-names":false,"suffix":""},{"dropping-particle":"","family":"Baudoin","given":"Jean Marc","non-dropping-particle":"","parse-names":false,"suffix":""},{"dropping-particle":"","family":"Peroux","given":"Tiphaine","non-dropping-particle":"","parse-names":false,"suffix":""},{"dropping-particle":"","family":"Crivelli","given":"Alain J.","non-dropping-particle":"","parse-names":false,"suffix":""},{"dropping-particle":"","family":"Olivier","given":"Anthony","non-dropping-particle":"","parse-names":false,"suffix":""},{"dropping-particle":"","family":"Acqueberge","given":"Manon","non-dropping-particle":"","parse-names":false,"suffix":""},{"dropping-particle":"","family":"Brun","given":"Matthieu","non-dropping-particle":"Le","parse-names":false,"suffix":""},{"dropping-particle":"","family":"Møller","given":"Peter R.","non-dropping-particle":"","parse-names":false,"suffix":""},{"dropping-particle":"","family":"Willerslev","given":"Eske","non-dropping-particle":"","parse-names":false,"suffix":""},{"dropping-particle":"","family":"Dejean","given":"Tony","non-dropping-particle":"","parse-names":false,"suffix":""}],"id":"ITEM-2","issue":"4","issued":{"date-parts":[["2016","2","1"]]},"page":"929-942","title":"Next-generation monitoring of aquatic biodiversity using environmental DNA metabarcoding","type":"article-journal","volume":"25"},"uris":["http://www.mendeley.com/documents/?uuid=8dcfec96-d3f0-45d1-a46e-5fe2caf88555"]}],"mendeley":{"formattedCitation":"(Polanco Fernández et al., 2021; Valentini et al., 2016)","plainTextFormattedCitation":"(Polanco Fernández et al., 2021; Valentini et al., 2016)","previouslyFormattedCitation":"&lt;sup&gt;6,7&lt;/sup&gt;"},"properties":{"noteIndex":0},"schema":"https://github.com/citation-style-language/schema/raw/master/csl-citation.json"}</w:instrText>
      </w:r>
      <w:r w:rsidRPr="006C4374">
        <w:rPr>
          <w:rFonts w:ascii="Times New Roman" w:hAnsi="Times New Roman" w:cs="Times New Roman"/>
          <w:sz w:val="20"/>
          <w:szCs w:val="20"/>
        </w:rPr>
        <w:fldChar w:fldCharType="separate"/>
      </w:r>
      <w:r w:rsidR="00240D20" w:rsidRPr="006C4374">
        <w:rPr>
          <w:rFonts w:ascii="Times New Roman" w:hAnsi="Times New Roman" w:cs="Times New Roman"/>
          <w:noProof/>
          <w:sz w:val="20"/>
          <w:szCs w:val="20"/>
        </w:rPr>
        <w:t>(Polanco Fernández et al., 2021; Valentini et al., 2016)</w:t>
      </w:r>
      <w:r w:rsidRPr="006C4374">
        <w:rPr>
          <w:rFonts w:ascii="Times New Roman" w:hAnsi="Times New Roman" w:cs="Times New Roman"/>
          <w:sz w:val="20"/>
          <w:szCs w:val="20"/>
        </w:rPr>
        <w:fldChar w:fldCharType="end"/>
      </w:r>
      <w:r w:rsidRPr="006C4374">
        <w:rPr>
          <w:rFonts w:ascii="Times New Roman" w:hAnsi="Times New Roman" w:cs="Times New Roman"/>
          <w:sz w:val="20"/>
          <w:szCs w:val="20"/>
        </w:rPr>
        <w:t xml:space="preserve">. The ILLUMINAPAIREDEND program assembled forward and reverse reads, using a minimum score of 40 and retrieving only joined sequences. NGSFILTER software was used to assign each read to a sample. Using OBISPLIT, the original data was divided such that each sample had its own data set. Next, each sample was individually analysed, and then the taxon list was merged. For the final ecological analysis, OBIUNIQ clustered together strictly identical sequences. The OBIGREP program excluded sequences shorter than 20 bp, those with fewer than ten occurrences and those labelled "internal" by the OBICLEAN program.  The ECOTAG program with the sequences extracted from release 142 of the ENA database (standard sequences) was then used for the remaining sequences' taxonomic assignment. Sequences with &lt;100 reads in each sample were discarded, and only sequences with a similarity of higher than 98% for spermatophytes and 90% for vertebrates were kept.  Taxonomic assignment outputs were corrected to avoid any over-confidence in assignments: species-level assignments were validated only for sequences with an identification match &gt;98%, genus-level with a 96–98% match and family-level with a 90–96% match. Considering the incorrect assignment of a few sequences to the sample due to tag-jumps </w:t>
      </w:r>
      <w:r w:rsidRPr="006C4374">
        <w:rPr>
          <w:rFonts w:ascii="Times New Roman" w:hAnsi="Times New Roman" w:cs="Times New Roman"/>
          <w:sz w:val="20"/>
          <w:szCs w:val="20"/>
        </w:rPr>
        <w:fldChar w:fldCharType="begin" w:fldLock="1"/>
      </w:r>
      <w:r w:rsidR="00240D20" w:rsidRPr="006C4374">
        <w:rPr>
          <w:rFonts w:ascii="Times New Roman" w:hAnsi="Times New Roman" w:cs="Times New Roman"/>
          <w:sz w:val="20"/>
          <w:szCs w:val="20"/>
        </w:rPr>
        <w:instrText>ADDIN CSL_CITATION {"citationItems":[{"id":"ITEM-1","itemData":{"DOI":"10.1186/s12983-015-0115-z","ISSN":"17429994","abstract":"Invertebrate-derived DNA (iDNA) from terrestrial haematophagous leeches has recently been proposed as a powerful non-invasive tool with which to detect vertebrate species and thus to survey their populations. However, to date little attention has been given to whether and how this, or indeed any other iDNA-derived data, can be combined with state-of-the-art analytical tools to estimate wildlife abundances, population dynamics and distributions. In this review, we discuss the challenges that face the application of existing analytical methods such as site-occupancy and spatial capture-recapture (SCR) models to terrestrial leech iDNA, in particular, possible violations of key assumptions arising from factors intrinsic to invertebrate parasite biology. Specifically, we review the advantages and disadvantages of terrestrial leeches as a source of iDNA and summarize the utility of leeches for presence, occupancy, and spatial capture-recapture models. The main source of uncertainty that attends species detections derived from leech gut contents is attributable to uncertainty about the spatio-temporal sampling frame, since leeches retain host-blood for months and can move after feeding. Subsequently, we briefly address how the analytical challenges associated with leeches may apply to other sources of iDNA. Our review highlights that despite the considerable potential of leech (and indeed any) iDNA as a new survey tool, further pilot studies are needed to assess how analytical methods can overcome or not the potential biases and assumption violations of the new field of iDNA. Specifically we argue that studies to compare iDNA sampling with standard survey methods such as camera trapping, and those to improve our knowledge on leech (and other invertebrate parasite) physiology, taxonomy, and ecology will be of immense future value.","author":[{"dropping-particle":"","family":"Schnell","given":"Ida Bærholm","non-dropping-particle":"","parse-names":false,"suffix":""},{"dropping-particle":"","family":"Sollmann","given":"Rahel","non-dropping-particle":"","parse-names":false,"suffix":""},{"dropping-particle":"","family":"Calvignac-Spencer","given":"Sébastien","non-dropping-particle":"","parse-names":false,"suffix":""},{"dropping-particle":"","family":"Siddall","given":"Mark E.","non-dropping-particle":"","parse-names":false,"suffix":""},{"dropping-particle":"","family":"Yu","given":"Douglas W.","non-dropping-particle":"","parse-names":false,"suffix":""},{"dropping-particle":"","family":"Wilting","given":"Andreas","non-dropping-particle":"","parse-names":false,"suffix":""},{"dropping-particle":"","family":"Gilbert","given":"M. Thomas P.","non-dropping-particle":"","parse-names":false,"suffix":""}],"container-title":"Frontiers in Zoology","id":"ITEM-1","issue":"1","issued":{"date-parts":[["2015","10","1"]]},"page":"1-14","publisher":"BioMed Central Ltd.","title":"iDNA from terrestrial haematophagous leeches as a wildlife surveying and monitoring tool - prospects, pitfalls and avenues to be developed","type":"article-journal","volume":"12"},"uris":["http://www.mendeley.com/documents/?uuid=de9117a1-6771-3656-ab4c-17a571a89c92"]}],"mendeley":{"formattedCitation":"(Schnell et al., 2015)","plainTextFormattedCitation":"(Schnell et al., 2015)","previouslyFormattedCitation":"&lt;sup&gt;8&lt;/sup&gt;"},"properties":{"noteIndex":0},"schema":"https://github.com/citation-style-language/schema/raw/master/csl-citation.json"}</w:instrText>
      </w:r>
      <w:r w:rsidRPr="006C4374">
        <w:rPr>
          <w:rFonts w:ascii="Times New Roman" w:hAnsi="Times New Roman" w:cs="Times New Roman"/>
          <w:sz w:val="20"/>
          <w:szCs w:val="20"/>
        </w:rPr>
        <w:fldChar w:fldCharType="separate"/>
      </w:r>
      <w:r w:rsidR="00240D20" w:rsidRPr="006C4374">
        <w:rPr>
          <w:rFonts w:ascii="Times New Roman" w:hAnsi="Times New Roman" w:cs="Times New Roman"/>
          <w:noProof/>
          <w:sz w:val="20"/>
          <w:szCs w:val="20"/>
        </w:rPr>
        <w:t>(Schnell et al., 2015)</w:t>
      </w:r>
      <w:r w:rsidRPr="006C4374">
        <w:rPr>
          <w:rFonts w:ascii="Times New Roman" w:hAnsi="Times New Roman" w:cs="Times New Roman"/>
          <w:sz w:val="20"/>
          <w:szCs w:val="20"/>
        </w:rPr>
        <w:fldChar w:fldCharType="end"/>
      </w:r>
      <w:r w:rsidRPr="006C4374">
        <w:rPr>
          <w:rFonts w:ascii="Times New Roman" w:hAnsi="Times New Roman" w:cs="Times New Roman"/>
          <w:sz w:val="20"/>
          <w:szCs w:val="20"/>
        </w:rPr>
        <w:t>, we discarded all sequences with a frequency of occurrence &lt; 0.001 per sequence and per library. The extraction and PCR negative controls remained completely clean after the filtering pipeline, and the samples contained no sequence reads.</w:t>
      </w:r>
    </w:p>
    <w:p w14:paraId="154EF7E8" w14:textId="77777777" w:rsidR="007B0381" w:rsidRPr="006C4374" w:rsidRDefault="007B0381" w:rsidP="00B94F4F">
      <w:pPr>
        <w:pStyle w:val="Heading3"/>
        <w:spacing w:line="480" w:lineRule="auto"/>
        <w:rPr>
          <w:rFonts w:ascii="Times New Roman" w:hAnsi="Times New Roman" w:cs="Times New Roman"/>
          <w:color w:val="000000"/>
          <w:sz w:val="20"/>
          <w:szCs w:val="20"/>
        </w:rPr>
      </w:pPr>
      <w:r w:rsidRPr="006C4374">
        <w:rPr>
          <w:rFonts w:ascii="Times New Roman" w:hAnsi="Times New Roman" w:cs="Times New Roman"/>
          <w:color w:val="000000"/>
          <w:sz w:val="20"/>
          <w:szCs w:val="20"/>
        </w:rPr>
        <w:lastRenderedPageBreak/>
        <w:t>Assessment of Total and Common Regional Species Richness</w:t>
      </w:r>
    </w:p>
    <w:p w14:paraId="11894BC9" w14:textId="25AFE2AE" w:rsidR="007B0381" w:rsidRPr="006C4374" w:rsidRDefault="007B0381" w:rsidP="00B94F4F">
      <w:pPr>
        <w:pBdr>
          <w:top w:val="nil"/>
          <w:left w:val="nil"/>
          <w:bottom w:val="nil"/>
          <w:right w:val="nil"/>
          <w:between w:val="nil"/>
        </w:pBdr>
        <w:spacing w:before="180" w:after="180" w:line="480" w:lineRule="auto"/>
        <w:rPr>
          <w:rFonts w:ascii="Times New Roman" w:hAnsi="Times New Roman" w:cs="Times New Roman"/>
          <w:sz w:val="20"/>
          <w:szCs w:val="20"/>
        </w:rPr>
      </w:pPr>
      <w:r w:rsidRPr="006C4374">
        <w:rPr>
          <w:rFonts w:ascii="Times New Roman" w:hAnsi="Times New Roman" w:cs="Times New Roman"/>
          <w:sz w:val="20"/>
          <w:szCs w:val="20"/>
        </w:rPr>
        <w:t>We calculated regional species richness as a sum of all species present in the ten catchments, and furthermore sorted species into common and rare classification to obtain the regional species r</w:t>
      </w:r>
      <w:r w:rsidR="0017369A" w:rsidRPr="006C4374">
        <w:rPr>
          <w:rFonts w:ascii="Times New Roman" w:hAnsi="Times New Roman" w:cs="Times New Roman"/>
          <w:sz w:val="20"/>
          <w:szCs w:val="20"/>
        </w:rPr>
        <w:t>i</w:t>
      </w:r>
      <w:r w:rsidRPr="006C4374">
        <w:rPr>
          <w:rFonts w:ascii="Times New Roman" w:hAnsi="Times New Roman" w:cs="Times New Roman"/>
          <w:sz w:val="20"/>
          <w:szCs w:val="20"/>
        </w:rPr>
        <w:t>chness of common species. For birds, we obtained regional species occurrence data from the Swiss Ornithological Institute Vogelwarte (</w:t>
      </w:r>
      <w:hyperlink r:id="rId7" w:history="1">
        <w:r w:rsidRPr="006C4374">
          <w:rPr>
            <w:rStyle w:val="Hyperlink"/>
            <w:rFonts w:ascii="Times New Roman" w:hAnsi="Times New Roman" w:cs="Times New Roman"/>
            <w:sz w:val="20"/>
            <w:szCs w:val="20"/>
          </w:rPr>
          <w:t>https://www.vogelwarte.ch/</w:t>
        </w:r>
      </w:hyperlink>
      <w:r w:rsidRPr="006C4374">
        <w:rPr>
          <w:rFonts w:ascii="Times New Roman" w:hAnsi="Times New Roman" w:cs="Times New Roman"/>
          <w:sz w:val="20"/>
          <w:szCs w:val="20"/>
        </w:rPr>
        <w:t xml:space="preserve">), which provides species distribution maps validated from long term field expeditions. For all other vertebrates, we obtained regional species </w:t>
      </w:r>
      <w:r w:rsidR="000F0AC9">
        <w:rPr>
          <w:rFonts w:ascii="Times New Roman" w:hAnsi="Times New Roman" w:cs="Times New Roman"/>
          <w:sz w:val="20"/>
          <w:szCs w:val="20"/>
        </w:rPr>
        <w:t>presence-absence</w:t>
      </w:r>
      <w:r w:rsidRPr="006C4374">
        <w:rPr>
          <w:rFonts w:ascii="Times New Roman" w:hAnsi="Times New Roman" w:cs="Times New Roman"/>
          <w:sz w:val="20"/>
          <w:szCs w:val="20"/>
        </w:rPr>
        <w:t xml:space="preserve"> data from InfoSpecies (Schweizerisches Informationszentrum für Arten, Swiss Information Centre for Species), which provides species occurrences validated from primary and secondary sources (academic research, monitoring programs, existing literature, collections, as well as field expeditions from environmental offices and cantonal efforts)</w:t>
      </w:r>
      <w:r w:rsidR="000F0AC9">
        <w:rPr>
          <w:rFonts w:ascii="Times New Roman" w:hAnsi="Times New Roman" w:cs="Times New Roman"/>
          <w:sz w:val="20"/>
          <w:szCs w:val="20"/>
        </w:rPr>
        <w:t xml:space="preserve"> at the 5 × 5 km scale</w:t>
      </w:r>
      <w:r w:rsidRPr="006C4374">
        <w:rPr>
          <w:rFonts w:ascii="Times New Roman" w:hAnsi="Times New Roman" w:cs="Times New Roman"/>
          <w:sz w:val="20"/>
          <w:szCs w:val="20"/>
        </w:rPr>
        <w:t xml:space="preserve">. We next assigned species into common or rare categories using existing literature, expert opinion and records from InfoSpecies. For amphibians, </w:t>
      </w:r>
      <w:r w:rsidR="000F0AC9">
        <w:rPr>
          <w:rFonts w:ascii="Times New Roman" w:hAnsi="Times New Roman" w:cs="Times New Roman"/>
          <w:sz w:val="20"/>
          <w:szCs w:val="20"/>
        </w:rPr>
        <w:t>the spatial data was first aggregated to the catchment level. S</w:t>
      </w:r>
      <w:r w:rsidRPr="006C4374">
        <w:rPr>
          <w:rFonts w:ascii="Times New Roman" w:hAnsi="Times New Roman" w:cs="Times New Roman"/>
          <w:sz w:val="20"/>
          <w:szCs w:val="20"/>
        </w:rPr>
        <w:t xml:space="preserve">pecies were assigned as common if the species were present in at least half of the catchments according to the regional species occurrence data. </w:t>
      </w:r>
      <w:r w:rsidR="000F0AC9">
        <w:rPr>
          <w:rFonts w:ascii="Times New Roman" w:hAnsi="Times New Roman" w:cs="Times New Roman"/>
          <w:sz w:val="20"/>
          <w:szCs w:val="20"/>
        </w:rPr>
        <w:t>The freely available spatial data only included presences and not the number of observations. Thus, to verify that species were not assigned as common due to a single observation in one catchment, an additional visual inspection of publicly available species distribution maps (</w:t>
      </w:r>
      <w:hyperlink r:id="rId8" w:history="1">
        <w:r w:rsidR="000F0AC9" w:rsidRPr="008B3704">
          <w:rPr>
            <w:rStyle w:val="Hyperlink"/>
            <w:rFonts w:ascii="Times New Roman" w:hAnsi="Times New Roman" w:cs="Times New Roman"/>
            <w:sz w:val="20"/>
            <w:szCs w:val="20"/>
          </w:rPr>
          <w:t>https://lepus.unine.ch/carto/</w:t>
        </w:r>
      </w:hyperlink>
      <w:r w:rsidR="000F0AC9">
        <w:rPr>
          <w:rFonts w:ascii="Times New Roman" w:hAnsi="Times New Roman" w:cs="Times New Roman"/>
          <w:sz w:val="20"/>
          <w:szCs w:val="20"/>
        </w:rPr>
        <w:t xml:space="preserve">) with some information of the number of sightings was conducted. This confirmed that all species present within a catchment demonstrated multiple sightings across multiple grid cells within the catchment. </w:t>
      </w:r>
      <w:r w:rsidRPr="006C4374">
        <w:rPr>
          <w:rFonts w:ascii="Times New Roman" w:hAnsi="Times New Roman" w:cs="Times New Roman"/>
          <w:sz w:val="20"/>
          <w:szCs w:val="20"/>
        </w:rPr>
        <w:t>Swiss breeding birds were divided into rare and common categories by a combination of both visual inspections of the territory maps from the Swiss Ornithological Institute and local expert knowledge of the area. Mammal and fish species were explored using species maps on the GBIF database (</w:t>
      </w:r>
      <w:hyperlink r:id="rId9" w:history="1">
        <w:r w:rsidRPr="006C4374">
          <w:rPr>
            <w:rStyle w:val="Hyperlink"/>
            <w:rFonts w:ascii="Times New Roman" w:hAnsi="Times New Roman" w:cs="Times New Roman"/>
            <w:sz w:val="20"/>
            <w:szCs w:val="20"/>
          </w:rPr>
          <w:t>https://www.gbif.org/</w:t>
        </w:r>
      </w:hyperlink>
      <w:r w:rsidRPr="006C4374">
        <w:rPr>
          <w:rFonts w:ascii="Times New Roman" w:hAnsi="Times New Roman" w:cs="Times New Roman"/>
          <w:sz w:val="20"/>
          <w:szCs w:val="20"/>
        </w:rPr>
        <w:t>)  and classified according to their percentage spatial coverage into very common (&gt;75%), common (50–75%), fairly common (25–50%), uncommon (&lt;25%) and rare (&lt;10 locations). These classifications were aggregated into two classes: common (&gt;25%) and rare (&lt;25%). Moreover, two common exclusively lake species (</w:t>
      </w:r>
      <w:r w:rsidRPr="006C4374">
        <w:rPr>
          <w:rFonts w:ascii="Times New Roman" w:hAnsi="Times New Roman" w:cs="Times New Roman"/>
          <w:i/>
          <w:sz w:val="20"/>
          <w:szCs w:val="20"/>
        </w:rPr>
        <w:t xml:space="preserve">Salvelinus namaycush </w:t>
      </w:r>
      <w:r w:rsidRPr="006C4374">
        <w:rPr>
          <w:rFonts w:ascii="Times New Roman" w:hAnsi="Times New Roman" w:cs="Times New Roman"/>
          <w:sz w:val="20"/>
          <w:szCs w:val="20"/>
        </w:rPr>
        <w:t xml:space="preserve">and </w:t>
      </w:r>
      <w:r w:rsidRPr="006C4374">
        <w:rPr>
          <w:rFonts w:ascii="Times New Roman" w:hAnsi="Times New Roman" w:cs="Times New Roman"/>
          <w:i/>
          <w:sz w:val="20"/>
          <w:szCs w:val="20"/>
        </w:rPr>
        <w:t xml:space="preserve">Salvelinus umbla) </w:t>
      </w:r>
      <w:r w:rsidRPr="006C4374">
        <w:rPr>
          <w:rFonts w:ascii="Times New Roman" w:hAnsi="Times New Roman" w:cs="Times New Roman"/>
          <w:sz w:val="20"/>
          <w:szCs w:val="20"/>
        </w:rPr>
        <w:t xml:space="preserve">were reclassified as rare as they are not expected to be found in rivers. For spermatophytes, we obtained regional species occurrence data compiled from long-term field studies in the area </w:t>
      </w:r>
      <w:r w:rsidRPr="006C4374">
        <w:rPr>
          <w:rFonts w:ascii="Times New Roman" w:hAnsi="Times New Roman" w:cs="Times New Roman"/>
          <w:sz w:val="20"/>
          <w:szCs w:val="20"/>
        </w:rPr>
        <w:fldChar w:fldCharType="begin" w:fldLock="1"/>
      </w:r>
      <w:r w:rsidR="00240D20" w:rsidRPr="006C4374">
        <w:rPr>
          <w:rFonts w:ascii="Times New Roman" w:hAnsi="Times New Roman" w:cs="Times New Roman"/>
          <w:sz w:val="20"/>
          <w:szCs w:val="20"/>
        </w:rPr>
        <w:instrText>ADDIN CSL_CITATION {"citationItems":[{"id":"ITEM-1","itemData":{"author":[{"dropping-particle":"","family":"Guisan","given":"Antoine","non-dropping-particle":"","parse-names":false,"suffix":""},{"dropping-particle":"","family":"Dubuis","given":"Anne","non-dropping-particle":"","parse-names":false,"suffix":""},{"dropping-particle":"","family":"Vittoz","given":"Pascal","non-dropping-particle":"","parse-names":false,"suffix":""}],"id":"ITEM-1","issued":{"date-parts":[["2014"]]},"publisher":"Dryad","title":"Data from: Predicting spatial patterns of plant species richness: a comparison of direct macroecological and species stacking modelling approaches","type":"article"},"uris":["http://www.mendeley.com/documents/?uuid=097c8dc6-5c76-4528-a7cd-ec9b43f7ccb9"]}],"mendeley":{"formattedCitation":"(Guisan et al., 2014)","plainTextFormattedCitation":"(Guisan et al., 2014)","previouslyFormattedCitation":"&lt;sup&gt;9&lt;/sup&gt;"},"properties":{"noteIndex":0},"schema":"https://github.com/citation-style-language/schema/raw/master/csl-citation.json"}</w:instrText>
      </w:r>
      <w:r w:rsidRPr="006C4374">
        <w:rPr>
          <w:rFonts w:ascii="Times New Roman" w:hAnsi="Times New Roman" w:cs="Times New Roman"/>
          <w:sz w:val="20"/>
          <w:szCs w:val="20"/>
        </w:rPr>
        <w:fldChar w:fldCharType="separate"/>
      </w:r>
      <w:r w:rsidR="00240D20" w:rsidRPr="006C4374">
        <w:rPr>
          <w:rFonts w:ascii="Times New Roman" w:hAnsi="Times New Roman" w:cs="Times New Roman"/>
          <w:noProof/>
          <w:sz w:val="20"/>
          <w:szCs w:val="20"/>
        </w:rPr>
        <w:t>(Guisan et al., 2014)</w:t>
      </w:r>
      <w:r w:rsidRPr="006C4374">
        <w:rPr>
          <w:rFonts w:ascii="Times New Roman" w:hAnsi="Times New Roman" w:cs="Times New Roman"/>
          <w:sz w:val="20"/>
          <w:szCs w:val="20"/>
        </w:rPr>
        <w:fldChar w:fldCharType="end"/>
      </w:r>
      <w:r w:rsidRPr="006C4374">
        <w:rPr>
          <w:rFonts w:ascii="Times New Roman" w:hAnsi="Times New Roman" w:cs="Times New Roman"/>
          <w:sz w:val="20"/>
          <w:szCs w:val="20"/>
        </w:rPr>
        <w:t xml:space="preserve">. Species were assigned as common if they were present in at least 5% of all sampled plots within the ten catchments. </w:t>
      </w:r>
      <w:r w:rsidR="008A3B00" w:rsidRPr="006C4374">
        <w:rPr>
          <w:rFonts w:ascii="Times New Roman" w:hAnsi="Times New Roman" w:cs="Times New Roman"/>
          <w:sz w:val="20"/>
          <w:szCs w:val="20"/>
        </w:rPr>
        <w:t xml:space="preserve">The regional species occurrence data did not </w:t>
      </w:r>
      <w:r w:rsidR="00C054D8" w:rsidRPr="006C4374">
        <w:rPr>
          <w:rFonts w:ascii="Times New Roman" w:hAnsi="Times New Roman" w:cs="Times New Roman"/>
          <w:sz w:val="20"/>
          <w:szCs w:val="20"/>
        </w:rPr>
        <w:t xml:space="preserve">include </w:t>
      </w:r>
      <w:r w:rsidR="008A3B00" w:rsidRPr="006C4374">
        <w:rPr>
          <w:rFonts w:ascii="Times New Roman" w:hAnsi="Times New Roman" w:cs="Times New Roman"/>
          <w:sz w:val="20"/>
          <w:szCs w:val="20"/>
        </w:rPr>
        <w:t xml:space="preserve">ornamental, agricultural, and lowland plants which are part of the national checklist. For this analysis, we excluded identified taxa that were not part of the regional species occurrence data </w:t>
      </w:r>
      <w:r w:rsidR="00C054D8" w:rsidRPr="006C4374">
        <w:rPr>
          <w:rFonts w:ascii="Times New Roman" w:hAnsi="Times New Roman" w:cs="Times New Roman"/>
          <w:sz w:val="20"/>
          <w:szCs w:val="20"/>
        </w:rPr>
        <w:t xml:space="preserve">so that taxa </w:t>
      </w:r>
      <w:r w:rsidR="00B31A59">
        <w:rPr>
          <w:rFonts w:ascii="Times New Roman" w:hAnsi="Times New Roman" w:cs="Times New Roman"/>
          <w:sz w:val="20"/>
          <w:szCs w:val="20"/>
        </w:rPr>
        <w:t>absent</w:t>
      </w:r>
      <w:r w:rsidR="00C054D8" w:rsidRPr="006C4374">
        <w:rPr>
          <w:rFonts w:ascii="Times New Roman" w:hAnsi="Times New Roman" w:cs="Times New Roman"/>
          <w:sz w:val="20"/>
          <w:szCs w:val="20"/>
        </w:rPr>
        <w:t xml:space="preserve"> in the occurrence dataset would not be counted</w:t>
      </w:r>
      <w:r w:rsidR="00B31A59">
        <w:rPr>
          <w:rFonts w:ascii="Times New Roman" w:hAnsi="Times New Roman" w:cs="Times New Roman"/>
          <w:sz w:val="20"/>
          <w:szCs w:val="20"/>
        </w:rPr>
        <w:t xml:space="preserve"> </w:t>
      </w:r>
      <w:r w:rsidR="00C054D8" w:rsidRPr="006C4374">
        <w:rPr>
          <w:rFonts w:ascii="Times New Roman" w:hAnsi="Times New Roman" w:cs="Times New Roman"/>
          <w:sz w:val="20"/>
          <w:szCs w:val="20"/>
        </w:rPr>
        <w:t xml:space="preserve">towards </w:t>
      </w:r>
      <w:r w:rsidR="00FD6EFF">
        <w:rPr>
          <w:rFonts w:ascii="Times New Roman" w:hAnsi="Times New Roman" w:cs="Times New Roman"/>
          <w:sz w:val="20"/>
          <w:szCs w:val="20"/>
        </w:rPr>
        <w:t>species accumulat</w:t>
      </w:r>
      <w:r w:rsidR="00B31A59">
        <w:rPr>
          <w:rFonts w:ascii="Times New Roman" w:hAnsi="Times New Roman" w:cs="Times New Roman"/>
          <w:sz w:val="20"/>
          <w:szCs w:val="20"/>
        </w:rPr>
        <w:t>ion</w:t>
      </w:r>
      <w:r w:rsidR="00FD6EFF">
        <w:rPr>
          <w:rFonts w:ascii="Times New Roman" w:hAnsi="Times New Roman" w:cs="Times New Roman"/>
          <w:sz w:val="20"/>
          <w:szCs w:val="20"/>
        </w:rPr>
        <w:t xml:space="preserve"> rate.</w:t>
      </w:r>
      <w:r w:rsidR="00B31A59">
        <w:rPr>
          <w:rFonts w:ascii="Times New Roman" w:hAnsi="Times New Roman" w:cs="Times New Roman"/>
          <w:sz w:val="20"/>
          <w:szCs w:val="20"/>
        </w:rPr>
        <w:t xml:space="preserve"> For the taxa identified at lower the species level resolution, we </w:t>
      </w:r>
      <w:r w:rsidR="00B31A59">
        <w:rPr>
          <w:rFonts w:ascii="Times New Roman" w:hAnsi="Times New Roman" w:cs="Times New Roman"/>
          <w:sz w:val="20"/>
          <w:szCs w:val="20"/>
        </w:rPr>
        <w:lastRenderedPageBreak/>
        <w:t>assigned them as rare if the taxon encompassed at least one species which was identified as rare, otherwise, it was classified as common.</w:t>
      </w:r>
    </w:p>
    <w:p w14:paraId="5B2D22F4" w14:textId="77777777" w:rsidR="00240D20" w:rsidRPr="006C4374" w:rsidRDefault="00240D20" w:rsidP="00B94F4F">
      <w:pPr>
        <w:spacing w:line="480" w:lineRule="auto"/>
        <w:rPr>
          <w:rFonts w:ascii="Times New Roman" w:eastAsiaTheme="majorEastAsia" w:hAnsi="Times New Roman" w:cs="Times New Roman"/>
          <w:b/>
          <w:bCs/>
          <w:color w:val="000000"/>
          <w:sz w:val="20"/>
          <w:szCs w:val="20"/>
        </w:rPr>
      </w:pPr>
      <w:r w:rsidRPr="006C4374">
        <w:rPr>
          <w:rFonts w:ascii="Times New Roman" w:hAnsi="Times New Roman" w:cs="Times New Roman"/>
          <w:color w:val="000000"/>
          <w:sz w:val="20"/>
          <w:szCs w:val="20"/>
        </w:rPr>
        <w:br w:type="page"/>
      </w:r>
    </w:p>
    <w:p w14:paraId="6DA2C8AC" w14:textId="77777777" w:rsidR="00240D20" w:rsidRPr="006C4374" w:rsidRDefault="00240D20" w:rsidP="00B94F4F">
      <w:pPr>
        <w:pStyle w:val="Heading3"/>
        <w:spacing w:line="480" w:lineRule="auto"/>
        <w:rPr>
          <w:rFonts w:ascii="Times New Roman" w:hAnsi="Times New Roman" w:cs="Times New Roman"/>
          <w:color w:val="000000"/>
          <w:sz w:val="20"/>
          <w:szCs w:val="20"/>
        </w:rPr>
      </w:pPr>
      <w:r w:rsidRPr="006C4374">
        <w:rPr>
          <w:rFonts w:ascii="Times New Roman" w:hAnsi="Times New Roman" w:cs="Times New Roman"/>
          <w:color w:val="000000"/>
          <w:sz w:val="20"/>
          <w:szCs w:val="20"/>
        </w:rPr>
        <w:lastRenderedPageBreak/>
        <w:t>References</w:t>
      </w:r>
    </w:p>
    <w:p w14:paraId="18F96D1E" w14:textId="77777777" w:rsidR="00240D20" w:rsidRPr="006C4374" w:rsidRDefault="00240D20" w:rsidP="00B94F4F">
      <w:pPr>
        <w:widowControl w:val="0"/>
        <w:autoSpaceDE w:val="0"/>
        <w:autoSpaceDN w:val="0"/>
        <w:adjustRightInd w:val="0"/>
        <w:spacing w:line="480" w:lineRule="auto"/>
        <w:ind w:left="480" w:hanging="480"/>
        <w:rPr>
          <w:rFonts w:ascii="Times New Roman" w:hAnsi="Times New Roman" w:cs="Times New Roman"/>
          <w:noProof/>
          <w:sz w:val="20"/>
          <w:szCs w:val="20"/>
        </w:rPr>
      </w:pPr>
      <w:r w:rsidRPr="006C4374">
        <w:rPr>
          <w:rFonts w:ascii="Times New Roman" w:hAnsi="Times New Roman" w:cs="Times New Roman"/>
          <w:sz w:val="20"/>
          <w:szCs w:val="20"/>
        </w:rPr>
        <w:fldChar w:fldCharType="begin" w:fldLock="1"/>
      </w:r>
      <w:r w:rsidRPr="006C4374">
        <w:rPr>
          <w:rFonts w:ascii="Times New Roman" w:hAnsi="Times New Roman" w:cs="Times New Roman"/>
          <w:sz w:val="20"/>
          <w:szCs w:val="20"/>
        </w:rPr>
        <w:instrText xml:space="preserve">ADDIN Mendeley Bibliography CSL_BIBLIOGRAPHY </w:instrText>
      </w:r>
      <w:r w:rsidRPr="006C4374">
        <w:rPr>
          <w:rFonts w:ascii="Times New Roman" w:hAnsi="Times New Roman" w:cs="Times New Roman"/>
          <w:sz w:val="20"/>
          <w:szCs w:val="20"/>
        </w:rPr>
        <w:fldChar w:fldCharType="separate"/>
      </w:r>
      <w:r w:rsidRPr="006C4374">
        <w:rPr>
          <w:rFonts w:ascii="Times New Roman" w:hAnsi="Times New Roman" w:cs="Times New Roman"/>
          <w:noProof/>
          <w:sz w:val="20"/>
          <w:szCs w:val="20"/>
        </w:rPr>
        <w:t xml:space="preserve">Biggs, J., Ewald, N., Valentini, A., Gaboriaud, C., Dejean, T., Griffiths, R. A., Foster, J., Wilkinson, J. W., Arnell, A., Brotherton, P., Williams, P., &amp; Dunn, F. (2015). Using eDNA to develop a national citizen science-based monitoring programme for the great crested newt (Triturus cristatus). </w:t>
      </w:r>
      <w:r w:rsidRPr="006C4374">
        <w:rPr>
          <w:rFonts w:ascii="Times New Roman" w:hAnsi="Times New Roman" w:cs="Times New Roman"/>
          <w:i/>
          <w:iCs/>
          <w:noProof/>
          <w:sz w:val="20"/>
          <w:szCs w:val="20"/>
        </w:rPr>
        <w:t>Biological Conservation</w:t>
      </w:r>
      <w:r w:rsidRPr="006C4374">
        <w:rPr>
          <w:rFonts w:ascii="Times New Roman" w:hAnsi="Times New Roman" w:cs="Times New Roman"/>
          <w:noProof/>
          <w:sz w:val="20"/>
          <w:szCs w:val="20"/>
        </w:rPr>
        <w:t xml:space="preserve">, </w:t>
      </w:r>
      <w:r w:rsidRPr="006C4374">
        <w:rPr>
          <w:rFonts w:ascii="Times New Roman" w:hAnsi="Times New Roman" w:cs="Times New Roman"/>
          <w:i/>
          <w:iCs/>
          <w:noProof/>
          <w:sz w:val="20"/>
          <w:szCs w:val="20"/>
        </w:rPr>
        <w:t>183</w:t>
      </w:r>
      <w:r w:rsidRPr="006C4374">
        <w:rPr>
          <w:rFonts w:ascii="Times New Roman" w:hAnsi="Times New Roman" w:cs="Times New Roman"/>
          <w:noProof/>
          <w:sz w:val="20"/>
          <w:szCs w:val="20"/>
        </w:rPr>
        <w:t>, 19–28. https://doi.org/10.1016/j.biocon.2014.11.029</w:t>
      </w:r>
    </w:p>
    <w:p w14:paraId="33DBCA7A" w14:textId="77777777" w:rsidR="00240D20" w:rsidRPr="006C4374" w:rsidRDefault="00240D20" w:rsidP="00B94F4F">
      <w:pPr>
        <w:widowControl w:val="0"/>
        <w:autoSpaceDE w:val="0"/>
        <w:autoSpaceDN w:val="0"/>
        <w:adjustRightInd w:val="0"/>
        <w:spacing w:line="480" w:lineRule="auto"/>
        <w:ind w:left="480" w:hanging="480"/>
        <w:rPr>
          <w:rFonts w:ascii="Times New Roman" w:hAnsi="Times New Roman" w:cs="Times New Roman"/>
          <w:noProof/>
          <w:sz w:val="20"/>
          <w:szCs w:val="20"/>
        </w:rPr>
      </w:pPr>
      <w:r w:rsidRPr="006C4374">
        <w:rPr>
          <w:rFonts w:ascii="Times New Roman" w:hAnsi="Times New Roman" w:cs="Times New Roman"/>
          <w:noProof/>
          <w:sz w:val="20"/>
          <w:szCs w:val="20"/>
        </w:rPr>
        <w:t xml:space="preserve">Boyer, F., Mercier, C., Bonin, A., Le Bras, Y., Taberlet, P., &amp; Coissac, E. (2016). obitools: a unix-inspired software package for DNA metabarcoding. </w:t>
      </w:r>
      <w:r w:rsidRPr="006C4374">
        <w:rPr>
          <w:rFonts w:ascii="Times New Roman" w:hAnsi="Times New Roman" w:cs="Times New Roman"/>
          <w:i/>
          <w:iCs/>
          <w:noProof/>
          <w:sz w:val="20"/>
          <w:szCs w:val="20"/>
        </w:rPr>
        <w:t>Molecular Ecology Resources</w:t>
      </w:r>
      <w:r w:rsidRPr="006C4374">
        <w:rPr>
          <w:rFonts w:ascii="Times New Roman" w:hAnsi="Times New Roman" w:cs="Times New Roman"/>
          <w:noProof/>
          <w:sz w:val="20"/>
          <w:szCs w:val="20"/>
        </w:rPr>
        <w:t xml:space="preserve">, </w:t>
      </w:r>
      <w:r w:rsidRPr="006C4374">
        <w:rPr>
          <w:rFonts w:ascii="Times New Roman" w:hAnsi="Times New Roman" w:cs="Times New Roman"/>
          <w:i/>
          <w:iCs/>
          <w:noProof/>
          <w:sz w:val="20"/>
          <w:szCs w:val="20"/>
        </w:rPr>
        <w:t>16</w:t>
      </w:r>
      <w:r w:rsidRPr="006C4374">
        <w:rPr>
          <w:rFonts w:ascii="Times New Roman" w:hAnsi="Times New Roman" w:cs="Times New Roman"/>
          <w:noProof/>
          <w:sz w:val="20"/>
          <w:szCs w:val="20"/>
        </w:rPr>
        <w:t>(1), 176–182. https://doi.org/10.1111/1755-0998.12428</w:t>
      </w:r>
    </w:p>
    <w:p w14:paraId="11F3751A" w14:textId="77777777" w:rsidR="00240D20" w:rsidRPr="006C4374" w:rsidRDefault="00240D20" w:rsidP="00B94F4F">
      <w:pPr>
        <w:widowControl w:val="0"/>
        <w:autoSpaceDE w:val="0"/>
        <w:autoSpaceDN w:val="0"/>
        <w:adjustRightInd w:val="0"/>
        <w:spacing w:line="480" w:lineRule="auto"/>
        <w:ind w:left="480" w:hanging="480"/>
        <w:rPr>
          <w:rFonts w:ascii="Times New Roman" w:hAnsi="Times New Roman" w:cs="Times New Roman"/>
          <w:noProof/>
          <w:sz w:val="20"/>
          <w:szCs w:val="20"/>
        </w:rPr>
      </w:pPr>
      <w:r w:rsidRPr="006C4374">
        <w:rPr>
          <w:rFonts w:ascii="Times New Roman" w:hAnsi="Times New Roman" w:cs="Times New Roman"/>
          <w:noProof/>
          <w:sz w:val="20"/>
          <w:szCs w:val="20"/>
        </w:rPr>
        <w:t xml:space="preserve">De Barba, M., Miquel, C., Boyer, F., Mercier, C., Rioux, D., Coissac, E., &amp; Taberlet, P. (2014). DNA metabarcoding multiplexing and validation of data accuracy for diet assessment: Application to omnivorous diet. </w:t>
      </w:r>
      <w:r w:rsidRPr="006C4374">
        <w:rPr>
          <w:rFonts w:ascii="Times New Roman" w:hAnsi="Times New Roman" w:cs="Times New Roman"/>
          <w:i/>
          <w:iCs/>
          <w:noProof/>
          <w:sz w:val="20"/>
          <w:szCs w:val="20"/>
        </w:rPr>
        <w:t>Molecular Ecology Resources</w:t>
      </w:r>
      <w:r w:rsidRPr="006C4374">
        <w:rPr>
          <w:rFonts w:ascii="Times New Roman" w:hAnsi="Times New Roman" w:cs="Times New Roman"/>
          <w:noProof/>
          <w:sz w:val="20"/>
          <w:szCs w:val="20"/>
        </w:rPr>
        <w:t xml:space="preserve">, </w:t>
      </w:r>
      <w:r w:rsidRPr="006C4374">
        <w:rPr>
          <w:rFonts w:ascii="Times New Roman" w:hAnsi="Times New Roman" w:cs="Times New Roman"/>
          <w:i/>
          <w:iCs/>
          <w:noProof/>
          <w:sz w:val="20"/>
          <w:szCs w:val="20"/>
        </w:rPr>
        <w:t>14</w:t>
      </w:r>
      <w:r w:rsidRPr="006C4374">
        <w:rPr>
          <w:rFonts w:ascii="Times New Roman" w:hAnsi="Times New Roman" w:cs="Times New Roman"/>
          <w:noProof/>
          <w:sz w:val="20"/>
          <w:szCs w:val="20"/>
        </w:rPr>
        <w:t>(2), 306–323. https://doi.org/10.1111/1755-0998.12188</w:t>
      </w:r>
    </w:p>
    <w:p w14:paraId="43E02490" w14:textId="77777777" w:rsidR="00240D20" w:rsidRPr="006C4374" w:rsidRDefault="00240D20" w:rsidP="00B94F4F">
      <w:pPr>
        <w:widowControl w:val="0"/>
        <w:autoSpaceDE w:val="0"/>
        <w:autoSpaceDN w:val="0"/>
        <w:adjustRightInd w:val="0"/>
        <w:spacing w:line="480" w:lineRule="auto"/>
        <w:ind w:left="480" w:hanging="480"/>
        <w:rPr>
          <w:rFonts w:ascii="Times New Roman" w:hAnsi="Times New Roman" w:cs="Times New Roman"/>
          <w:noProof/>
          <w:sz w:val="20"/>
          <w:szCs w:val="20"/>
        </w:rPr>
      </w:pPr>
      <w:r w:rsidRPr="006C4374">
        <w:rPr>
          <w:rFonts w:ascii="Times New Roman" w:hAnsi="Times New Roman" w:cs="Times New Roman"/>
          <w:noProof/>
          <w:sz w:val="20"/>
          <w:szCs w:val="20"/>
        </w:rPr>
        <w:t xml:space="preserve">Guisan, A., Dubuis, A., &amp; Vittoz, P. (2014). </w:t>
      </w:r>
      <w:r w:rsidRPr="006C4374">
        <w:rPr>
          <w:rFonts w:ascii="Times New Roman" w:hAnsi="Times New Roman" w:cs="Times New Roman"/>
          <w:i/>
          <w:iCs/>
          <w:noProof/>
          <w:sz w:val="20"/>
          <w:szCs w:val="20"/>
        </w:rPr>
        <w:t>Data from: Predicting spatial patterns of plant species richness: a comparison of direct macroecological and species stacking modelling approaches</w:t>
      </w:r>
      <w:r w:rsidRPr="006C4374">
        <w:rPr>
          <w:rFonts w:ascii="Times New Roman" w:hAnsi="Times New Roman" w:cs="Times New Roman"/>
          <w:noProof/>
          <w:sz w:val="20"/>
          <w:szCs w:val="20"/>
        </w:rPr>
        <w:t>. Dryad. https://doi.org/10.5061/dryad.28d4k</w:t>
      </w:r>
    </w:p>
    <w:p w14:paraId="08E7720C" w14:textId="77777777" w:rsidR="00240D20" w:rsidRPr="006C4374" w:rsidRDefault="00240D20" w:rsidP="00B94F4F">
      <w:pPr>
        <w:widowControl w:val="0"/>
        <w:autoSpaceDE w:val="0"/>
        <w:autoSpaceDN w:val="0"/>
        <w:adjustRightInd w:val="0"/>
        <w:spacing w:line="480" w:lineRule="auto"/>
        <w:ind w:left="480" w:hanging="480"/>
        <w:rPr>
          <w:rFonts w:ascii="Times New Roman" w:hAnsi="Times New Roman" w:cs="Times New Roman"/>
          <w:noProof/>
          <w:sz w:val="20"/>
          <w:szCs w:val="20"/>
          <w:lang w:val="fr-CH"/>
        </w:rPr>
      </w:pPr>
      <w:r w:rsidRPr="006C4374">
        <w:rPr>
          <w:rFonts w:ascii="Times New Roman" w:hAnsi="Times New Roman" w:cs="Times New Roman"/>
          <w:noProof/>
          <w:sz w:val="20"/>
          <w:szCs w:val="20"/>
        </w:rPr>
        <w:t xml:space="preserve">Polanco Fernández, A., Marques, V., Fopp, F., Juhel, J. B., Borrero-Pérez, G. H., Cheutin, M. C., Dejean, T., González Corredor, J. D., Acosta-Chaparro, A., Hocdé, R., Eme, D., Maire, E., Spescha, M., Valentini, A., Manel, S., Mouillot, D., Albouy, C., &amp; Pellissier, L. (2021). Comparing environmental DNA metabarcoding and underwater visual census to monitor tropical reef fishes. </w:t>
      </w:r>
      <w:r w:rsidRPr="006C4374">
        <w:rPr>
          <w:rFonts w:ascii="Times New Roman" w:hAnsi="Times New Roman" w:cs="Times New Roman"/>
          <w:i/>
          <w:iCs/>
          <w:noProof/>
          <w:sz w:val="20"/>
          <w:szCs w:val="20"/>
          <w:lang w:val="fr-CH"/>
        </w:rPr>
        <w:t>Environmental DNA</w:t>
      </w:r>
      <w:r w:rsidRPr="006C4374">
        <w:rPr>
          <w:rFonts w:ascii="Times New Roman" w:hAnsi="Times New Roman" w:cs="Times New Roman"/>
          <w:noProof/>
          <w:sz w:val="20"/>
          <w:szCs w:val="20"/>
          <w:lang w:val="fr-CH"/>
        </w:rPr>
        <w:t xml:space="preserve">, </w:t>
      </w:r>
      <w:r w:rsidRPr="006C4374">
        <w:rPr>
          <w:rFonts w:ascii="Times New Roman" w:hAnsi="Times New Roman" w:cs="Times New Roman"/>
          <w:i/>
          <w:iCs/>
          <w:noProof/>
          <w:sz w:val="20"/>
          <w:szCs w:val="20"/>
          <w:lang w:val="fr-CH"/>
        </w:rPr>
        <w:t>3</w:t>
      </w:r>
      <w:r w:rsidRPr="006C4374">
        <w:rPr>
          <w:rFonts w:ascii="Times New Roman" w:hAnsi="Times New Roman" w:cs="Times New Roman"/>
          <w:noProof/>
          <w:sz w:val="20"/>
          <w:szCs w:val="20"/>
          <w:lang w:val="fr-CH"/>
        </w:rPr>
        <w:t>(1), 142–156. https://doi.org/10.1002/edn3.140</w:t>
      </w:r>
    </w:p>
    <w:p w14:paraId="320EDFA5" w14:textId="77777777" w:rsidR="00240D20" w:rsidRPr="006C4374" w:rsidRDefault="00240D20" w:rsidP="00B94F4F">
      <w:pPr>
        <w:widowControl w:val="0"/>
        <w:autoSpaceDE w:val="0"/>
        <w:autoSpaceDN w:val="0"/>
        <w:adjustRightInd w:val="0"/>
        <w:spacing w:line="480" w:lineRule="auto"/>
        <w:ind w:left="480" w:hanging="480"/>
        <w:rPr>
          <w:rFonts w:ascii="Times New Roman" w:hAnsi="Times New Roman" w:cs="Times New Roman"/>
          <w:noProof/>
          <w:sz w:val="20"/>
          <w:szCs w:val="20"/>
        </w:rPr>
      </w:pPr>
      <w:r w:rsidRPr="006C4374">
        <w:rPr>
          <w:rFonts w:ascii="Times New Roman" w:hAnsi="Times New Roman" w:cs="Times New Roman"/>
          <w:noProof/>
          <w:sz w:val="20"/>
          <w:szCs w:val="20"/>
          <w:lang w:val="fr-CH"/>
        </w:rPr>
        <w:t xml:space="preserve">Pont, D., Rocle, M., Valentini, A., Civade, R., Jean, P., Maire, A., Roset, N., Schabuss, M., Zornig, H., &amp; Dejean, T. (2018). </w:t>
      </w:r>
      <w:r w:rsidRPr="006C4374">
        <w:rPr>
          <w:rFonts w:ascii="Times New Roman" w:hAnsi="Times New Roman" w:cs="Times New Roman"/>
          <w:noProof/>
          <w:sz w:val="20"/>
          <w:szCs w:val="20"/>
        </w:rPr>
        <w:t xml:space="preserve">Environmental DNA reveals quantitative patterns of fish biodiversity in large rivers despite its downstream transportation. </w:t>
      </w:r>
      <w:r w:rsidRPr="006C4374">
        <w:rPr>
          <w:rFonts w:ascii="Times New Roman" w:hAnsi="Times New Roman" w:cs="Times New Roman"/>
          <w:i/>
          <w:iCs/>
          <w:noProof/>
          <w:sz w:val="20"/>
          <w:szCs w:val="20"/>
        </w:rPr>
        <w:t>Scientific Reports</w:t>
      </w:r>
      <w:r w:rsidRPr="006C4374">
        <w:rPr>
          <w:rFonts w:ascii="Times New Roman" w:hAnsi="Times New Roman" w:cs="Times New Roman"/>
          <w:noProof/>
          <w:sz w:val="20"/>
          <w:szCs w:val="20"/>
        </w:rPr>
        <w:t xml:space="preserve">, </w:t>
      </w:r>
      <w:r w:rsidRPr="006C4374">
        <w:rPr>
          <w:rFonts w:ascii="Times New Roman" w:hAnsi="Times New Roman" w:cs="Times New Roman"/>
          <w:i/>
          <w:iCs/>
          <w:noProof/>
          <w:sz w:val="20"/>
          <w:szCs w:val="20"/>
        </w:rPr>
        <w:t>8</w:t>
      </w:r>
      <w:r w:rsidRPr="006C4374">
        <w:rPr>
          <w:rFonts w:ascii="Times New Roman" w:hAnsi="Times New Roman" w:cs="Times New Roman"/>
          <w:noProof/>
          <w:sz w:val="20"/>
          <w:szCs w:val="20"/>
        </w:rPr>
        <w:t>(1), 1–13. https://doi.org/10.1038/s41598-018-28424-8</w:t>
      </w:r>
    </w:p>
    <w:p w14:paraId="7FA69A00" w14:textId="77777777" w:rsidR="00240D20" w:rsidRPr="006C4374" w:rsidRDefault="00240D20" w:rsidP="00B94F4F">
      <w:pPr>
        <w:widowControl w:val="0"/>
        <w:autoSpaceDE w:val="0"/>
        <w:autoSpaceDN w:val="0"/>
        <w:adjustRightInd w:val="0"/>
        <w:spacing w:line="480" w:lineRule="auto"/>
        <w:ind w:left="480" w:hanging="480"/>
        <w:rPr>
          <w:rFonts w:ascii="Times New Roman" w:hAnsi="Times New Roman" w:cs="Times New Roman"/>
          <w:noProof/>
          <w:sz w:val="20"/>
          <w:szCs w:val="20"/>
        </w:rPr>
      </w:pPr>
      <w:r w:rsidRPr="006C4374">
        <w:rPr>
          <w:rFonts w:ascii="Times New Roman" w:hAnsi="Times New Roman" w:cs="Times New Roman"/>
          <w:noProof/>
          <w:sz w:val="20"/>
          <w:szCs w:val="20"/>
        </w:rPr>
        <w:t xml:space="preserve">Schnell, I. B., Sollmann, R., Calvignac-Spencer, S., Siddall, M. E., Yu, D. W., Wilting, A., &amp; Gilbert, M. T. P. (2015). iDNA from terrestrial haematophagous leeches as a wildlife surveying and monitoring tool - prospects, pitfalls and avenues to be developed. </w:t>
      </w:r>
      <w:r w:rsidRPr="006C4374">
        <w:rPr>
          <w:rFonts w:ascii="Times New Roman" w:hAnsi="Times New Roman" w:cs="Times New Roman"/>
          <w:i/>
          <w:iCs/>
          <w:noProof/>
          <w:sz w:val="20"/>
          <w:szCs w:val="20"/>
        </w:rPr>
        <w:t>Frontiers in Zoology</w:t>
      </w:r>
      <w:r w:rsidRPr="006C4374">
        <w:rPr>
          <w:rFonts w:ascii="Times New Roman" w:hAnsi="Times New Roman" w:cs="Times New Roman"/>
          <w:noProof/>
          <w:sz w:val="20"/>
          <w:szCs w:val="20"/>
        </w:rPr>
        <w:t xml:space="preserve">, </w:t>
      </w:r>
      <w:r w:rsidRPr="006C4374">
        <w:rPr>
          <w:rFonts w:ascii="Times New Roman" w:hAnsi="Times New Roman" w:cs="Times New Roman"/>
          <w:i/>
          <w:iCs/>
          <w:noProof/>
          <w:sz w:val="20"/>
          <w:szCs w:val="20"/>
        </w:rPr>
        <w:t>12</w:t>
      </w:r>
      <w:r w:rsidRPr="006C4374">
        <w:rPr>
          <w:rFonts w:ascii="Times New Roman" w:hAnsi="Times New Roman" w:cs="Times New Roman"/>
          <w:noProof/>
          <w:sz w:val="20"/>
          <w:szCs w:val="20"/>
        </w:rPr>
        <w:t>(1), 1–14. https://doi.org/10.1186/s12983-015-0115-z</w:t>
      </w:r>
    </w:p>
    <w:p w14:paraId="356EE2C5" w14:textId="77777777" w:rsidR="00240D20" w:rsidRPr="006C4374" w:rsidRDefault="00240D20" w:rsidP="00B94F4F">
      <w:pPr>
        <w:widowControl w:val="0"/>
        <w:autoSpaceDE w:val="0"/>
        <w:autoSpaceDN w:val="0"/>
        <w:adjustRightInd w:val="0"/>
        <w:spacing w:line="480" w:lineRule="auto"/>
        <w:ind w:left="480" w:hanging="480"/>
        <w:rPr>
          <w:rFonts w:ascii="Times New Roman" w:hAnsi="Times New Roman" w:cs="Times New Roman"/>
          <w:noProof/>
          <w:sz w:val="20"/>
          <w:szCs w:val="20"/>
        </w:rPr>
      </w:pPr>
      <w:r w:rsidRPr="006C4374">
        <w:rPr>
          <w:rFonts w:ascii="Times New Roman" w:hAnsi="Times New Roman" w:cs="Times New Roman"/>
          <w:noProof/>
          <w:sz w:val="20"/>
          <w:szCs w:val="20"/>
        </w:rPr>
        <w:t xml:space="preserve">Taberlet, P., Bonin, A., Zinger, L., &amp; Coissac, E. (2018). Environmental DNA: For biodiversity research and monitoring. In </w:t>
      </w:r>
      <w:r w:rsidRPr="006C4374">
        <w:rPr>
          <w:rFonts w:ascii="Times New Roman" w:hAnsi="Times New Roman" w:cs="Times New Roman"/>
          <w:i/>
          <w:iCs/>
          <w:noProof/>
          <w:sz w:val="20"/>
          <w:szCs w:val="20"/>
        </w:rPr>
        <w:t>Environmental DNA: For Biodiversity Research and Monitoring</w:t>
      </w:r>
      <w:r w:rsidRPr="006C4374">
        <w:rPr>
          <w:rFonts w:ascii="Times New Roman" w:hAnsi="Times New Roman" w:cs="Times New Roman"/>
          <w:noProof/>
          <w:sz w:val="20"/>
          <w:szCs w:val="20"/>
        </w:rPr>
        <w:t xml:space="preserve">. Oxford University Press. </w:t>
      </w:r>
      <w:r w:rsidRPr="006C4374">
        <w:rPr>
          <w:rFonts w:ascii="Times New Roman" w:hAnsi="Times New Roman" w:cs="Times New Roman"/>
          <w:noProof/>
          <w:sz w:val="20"/>
          <w:szCs w:val="20"/>
        </w:rPr>
        <w:lastRenderedPageBreak/>
        <w:t>https://doi.org/10.1093/oso/9780198767220.001.0001</w:t>
      </w:r>
    </w:p>
    <w:p w14:paraId="79FE6146" w14:textId="77777777" w:rsidR="00240D20" w:rsidRPr="006C4374" w:rsidRDefault="00240D20" w:rsidP="00B94F4F">
      <w:pPr>
        <w:widowControl w:val="0"/>
        <w:autoSpaceDE w:val="0"/>
        <w:autoSpaceDN w:val="0"/>
        <w:adjustRightInd w:val="0"/>
        <w:spacing w:line="480" w:lineRule="auto"/>
        <w:ind w:left="480" w:hanging="480"/>
        <w:rPr>
          <w:rFonts w:ascii="Times New Roman" w:hAnsi="Times New Roman" w:cs="Times New Roman"/>
          <w:noProof/>
          <w:sz w:val="20"/>
          <w:szCs w:val="20"/>
        </w:rPr>
      </w:pPr>
      <w:r w:rsidRPr="006C4374">
        <w:rPr>
          <w:rFonts w:ascii="Times New Roman" w:hAnsi="Times New Roman" w:cs="Times New Roman"/>
          <w:noProof/>
          <w:sz w:val="20"/>
          <w:szCs w:val="20"/>
        </w:rPr>
        <w:t xml:space="preserve">Valentini, A., Taberlet, P., Miaud, C., Civade, R., Herder, J., Thomsen, P. F., Bellemain, E., Besnard, A., Coissac, E., Boyer, F., Gaboriaud, C., Jean, P., Poulet, N., Roset, N., Copp, G. H., Geniez, P., Pont, D., Argillier, C., Baudoin, J. M., … Dejean, T. (2016). </w:t>
      </w:r>
      <w:r w:rsidRPr="006C4374">
        <w:rPr>
          <w:rFonts w:ascii="Times New Roman" w:hAnsi="Times New Roman" w:cs="Times New Roman"/>
          <w:i/>
          <w:iCs/>
          <w:noProof/>
          <w:sz w:val="20"/>
          <w:szCs w:val="20"/>
        </w:rPr>
        <w:t>Next-generation monitoring of aquatic biodiversity using environmental DNA metabarcoding</w:t>
      </w:r>
      <w:r w:rsidRPr="006C4374">
        <w:rPr>
          <w:rFonts w:ascii="Times New Roman" w:hAnsi="Times New Roman" w:cs="Times New Roman"/>
          <w:noProof/>
          <w:sz w:val="20"/>
          <w:szCs w:val="20"/>
        </w:rPr>
        <w:t xml:space="preserve">. </w:t>
      </w:r>
      <w:r w:rsidRPr="006C4374">
        <w:rPr>
          <w:rFonts w:ascii="Times New Roman" w:hAnsi="Times New Roman" w:cs="Times New Roman"/>
          <w:i/>
          <w:iCs/>
          <w:noProof/>
          <w:sz w:val="20"/>
          <w:szCs w:val="20"/>
        </w:rPr>
        <w:t>25</w:t>
      </w:r>
      <w:r w:rsidRPr="006C4374">
        <w:rPr>
          <w:rFonts w:ascii="Times New Roman" w:hAnsi="Times New Roman" w:cs="Times New Roman"/>
          <w:noProof/>
          <w:sz w:val="20"/>
          <w:szCs w:val="20"/>
        </w:rPr>
        <w:t>(4), 929–942. https://doi.org/10.1111/MEC.13428</w:t>
      </w:r>
    </w:p>
    <w:p w14:paraId="2EE6C619" w14:textId="77777777" w:rsidR="007B0381" w:rsidRPr="006C4374" w:rsidRDefault="00240D20" w:rsidP="00B94F4F">
      <w:pPr>
        <w:spacing w:line="480" w:lineRule="auto"/>
        <w:rPr>
          <w:rFonts w:ascii="Times New Roman" w:hAnsi="Times New Roman" w:cs="Times New Roman"/>
          <w:sz w:val="20"/>
          <w:szCs w:val="20"/>
        </w:rPr>
      </w:pPr>
      <w:r w:rsidRPr="006C4374">
        <w:rPr>
          <w:rFonts w:ascii="Times New Roman" w:hAnsi="Times New Roman" w:cs="Times New Roman"/>
          <w:sz w:val="20"/>
          <w:szCs w:val="20"/>
        </w:rPr>
        <w:fldChar w:fldCharType="end"/>
      </w:r>
    </w:p>
    <w:sectPr w:rsidR="007B0381" w:rsidRPr="006C43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Kartika">
    <w:altName w:val="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A0M7S0MDKzMLAwMTdS0lEKTi0uzszPAykwNKgFAINZF1EtAAAA"/>
  </w:docVars>
  <w:rsids>
    <w:rsidRoot w:val="00EF787C"/>
    <w:rsid w:val="000D01C6"/>
    <w:rsid w:val="000F0AC9"/>
    <w:rsid w:val="00102ACC"/>
    <w:rsid w:val="0017369A"/>
    <w:rsid w:val="00240D20"/>
    <w:rsid w:val="002B61F3"/>
    <w:rsid w:val="002D68DE"/>
    <w:rsid w:val="00391BE5"/>
    <w:rsid w:val="00487BAA"/>
    <w:rsid w:val="005B3E86"/>
    <w:rsid w:val="006C4374"/>
    <w:rsid w:val="007B0381"/>
    <w:rsid w:val="0088557B"/>
    <w:rsid w:val="008A3B00"/>
    <w:rsid w:val="009600C9"/>
    <w:rsid w:val="00B31A59"/>
    <w:rsid w:val="00B356E0"/>
    <w:rsid w:val="00B94F4F"/>
    <w:rsid w:val="00C054D8"/>
    <w:rsid w:val="00D97C19"/>
    <w:rsid w:val="00ED5D4C"/>
    <w:rsid w:val="00EF787C"/>
    <w:rsid w:val="00FD6EFF"/>
    <w:rsid w:val="00FF3834"/>
  </w:rsids>
  <m:mathPr>
    <m:mathFont m:val="Cambria Math"/>
    <m:brkBin m:val="before"/>
    <m:brkBinSub m:val="--"/>
    <m:smallFrac m:val="0"/>
    <m:dispDef/>
    <m:lMargin m:val="0"/>
    <m:rMargin m:val="0"/>
    <m:defJc m:val="centerGroup"/>
    <m:wrapIndent m:val="1440"/>
    <m:intLim m:val="subSup"/>
    <m:naryLim m:val="undOvr"/>
  </m:mathPr>
  <w:themeFontLang w:val="en-GB" w:eastAsia="ko-KR"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B9F957"/>
  <w14:defaultImageDpi w14:val="32767"/>
  <w15:chartTrackingRefBased/>
  <w15:docId w15:val="{02F30F43-E11F-4135-897C-2E57CA8B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87C"/>
    <w:rPr>
      <w:rFonts w:ascii="Calibri" w:eastAsia="Calibri" w:hAnsi="Calibri" w:cs="Calibri"/>
      <w:lang w:bidi="ml-IN"/>
    </w:rPr>
  </w:style>
  <w:style w:type="paragraph" w:styleId="Heading1">
    <w:name w:val="heading 1"/>
    <w:basedOn w:val="Normal"/>
    <w:next w:val="Normal"/>
    <w:link w:val="Heading1Char"/>
    <w:uiPriority w:val="9"/>
    <w:qFormat/>
    <w:rsid w:val="00487BAA"/>
    <w:pPr>
      <w:keepNext/>
      <w:keepLines/>
      <w:spacing w:before="240" w:after="0"/>
      <w:outlineLvl w:val="0"/>
    </w:pPr>
    <w:rPr>
      <w:rFonts w:asciiTheme="majorHAnsi" w:eastAsiaTheme="majorEastAsia" w:hAnsiTheme="majorHAnsi" w:cstheme="majorBidi"/>
      <w:color w:val="2F5496" w:themeColor="accent1" w:themeShade="BF"/>
      <w:sz w:val="32"/>
      <w:szCs w:val="32"/>
      <w:lang w:bidi="ar-SA"/>
    </w:rPr>
  </w:style>
  <w:style w:type="paragraph" w:styleId="Heading3">
    <w:name w:val="heading 3"/>
    <w:basedOn w:val="Normal"/>
    <w:next w:val="BodyText"/>
    <w:link w:val="Heading3Char"/>
    <w:uiPriority w:val="9"/>
    <w:unhideWhenUsed/>
    <w:qFormat/>
    <w:rsid w:val="007B0381"/>
    <w:pPr>
      <w:keepNext/>
      <w:keepLines/>
      <w:spacing w:before="200" w:after="0" w:line="240" w:lineRule="auto"/>
      <w:outlineLvl w:val="2"/>
    </w:pPr>
    <w:rPr>
      <w:rFonts w:asciiTheme="majorHAnsi" w:eastAsiaTheme="majorEastAsia" w:hAnsiTheme="majorHAnsi" w:cstheme="majorBidi"/>
      <w:b/>
      <w:bCs/>
      <w:color w:val="4472C4" w:themeColor="accen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Heading1"/>
    <w:link w:val="MyHeadingChar"/>
    <w:qFormat/>
    <w:rsid w:val="00487BAA"/>
    <w:rPr>
      <w:rFonts w:ascii="Arial" w:hAnsi="Arial"/>
      <w:b/>
    </w:rPr>
  </w:style>
  <w:style w:type="character" w:customStyle="1" w:styleId="MyHeadingChar">
    <w:name w:val="My Heading Char"/>
    <w:basedOn w:val="Heading1Char"/>
    <w:link w:val="MyHeading"/>
    <w:rsid w:val="00487BAA"/>
    <w:rPr>
      <w:rFonts w:ascii="Arial" w:eastAsiaTheme="majorEastAsia" w:hAnsi="Arial" w:cstheme="majorBidi"/>
      <w:b/>
      <w:color w:val="2F5496" w:themeColor="accent1" w:themeShade="BF"/>
      <w:sz w:val="32"/>
      <w:szCs w:val="32"/>
    </w:rPr>
  </w:style>
  <w:style w:type="character" w:customStyle="1" w:styleId="Heading1Char">
    <w:name w:val="Heading 1 Char"/>
    <w:basedOn w:val="DefaultParagraphFont"/>
    <w:link w:val="Heading1"/>
    <w:uiPriority w:val="9"/>
    <w:rsid w:val="00487BAA"/>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F787C"/>
    <w:pPr>
      <w:keepNext/>
      <w:keepLines/>
      <w:spacing w:before="480" w:after="120"/>
    </w:pPr>
    <w:rPr>
      <w:b/>
      <w:sz w:val="72"/>
      <w:szCs w:val="72"/>
    </w:rPr>
  </w:style>
  <w:style w:type="character" w:customStyle="1" w:styleId="TitleChar">
    <w:name w:val="Title Char"/>
    <w:basedOn w:val="DefaultParagraphFont"/>
    <w:link w:val="Title"/>
    <w:uiPriority w:val="10"/>
    <w:rsid w:val="00EF787C"/>
    <w:rPr>
      <w:rFonts w:ascii="Calibri" w:eastAsia="Calibri" w:hAnsi="Calibri" w:cs="Calibri"/>
      <w:b/>
      <w:sz w:val="72"/>
      <w:szCs w:val="72"/>
      <w:lang w:bidi="ml-IN"/>
    </w:rPr>
  </w:style>
  <w:style w:type="character" w:customStyle="1" w:styleId="Heading3Char">
    <w:name w:val="Heading 3 Char"/>
    <w:basedOn w:val="DefaultParagraphFont"/>
    <w:link w:val="Heading3"/>
    <w:uiPriority w:val="9"/>
    <w:rsid w:val="007B0381"/>
    <w:rPr>
      <w:rFonts w:asciiTheme="majorHAnsi" w:eastAsiaTheme="majorEastAsia" w:hAnsiTheme="majorHAnsi" w:cstheme="majorBidi"/>
      <w:b/>
      <w:bCs/>
      <w:color w:val="4472C4" w:themeColor="accent1"/>
      <w:sz w:val="28"/>
      <w:szCs w:val="28"/>
      <w:lang w:bidi="ml-IN"/>
    </w:rPr>
  </w:style>
  <w:style w:type="paragraph" w:styleId="BodyText">
    <w:name w:val="Body Text"/>
    <w:basedOn w:val="Normal"/>
    <w:link w:val="BodyTextChar"/>
    <w:uiPriority w:val="99"/>
    <w:semiHidden/>
    <w:unhideWhenUsed/>
    <w:rsid w:val="007B0381"/>
    <w:pPr>
      <w:spacing w:after="120"/>
    </w:pPr>
  </w:style>
  <w:style w:type="character" w:customStyle="1" w:styleId="BodyTextChar">
    <w:name w:val="Body Text Char"/>
    <w:basedOn w:val="DefaultParagraphFont"/>
    <w:link w:val="BodyText"/>
    <w:uiPriority w:val="99"/>
    <w:semiHidden/>
    <w:rsid w:val="007B0381"/>
    <w:rPr>
      <w:rFonts w:ascii="Calibri" w:eastAsia="Calibri" w:hAnsi="Calibri" w:cs="Calibri"/>
      <w:lang w:bidi="ml-IN"/>
    </w:rPr>
  </w:style>
  <w:style w:type="character" w:styleId="Hyperlink">
    <w:name w:val="Hyperlink"/>
    <w:basedOn w:val="DefaultParagraphFont"/>
    <w:rsid w:val="007B0381"/>
    <w:rPr>
      <w:color w:val="4472C4" w:themeColor="accent1"/>
    </w:rPr>
  </w:style>
  <w:style w:type="character" w:styleId="UnresolvedMention">
    <w:name w:val="Unresolved Mention"/>
    <w:basedOn w:val="DefaultParagraphFont"/>
    <w:uiPriority w:val="99"/>
    <w:semiHidden/>
    <w:unhideWhenUsed/>
    <w:rsid w:val="00FF38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pus.unine.ch/carto/" TargetMode="External"/><Relationship Id="rId3" Type="http://schemas.openxmlformats.org/officeDocument/2006/relationships/settings" Target="settings.xml"/><Relationship Id="rId7" Type="http://schemas.openxmlformats.org/officeDocument/2006/relationships/hyperlink" Target="https://www.vogelwarte.c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loic.pellissier@usys.ethz.ch" TargetMode="External"/><Relationship Id="rId11" Type="http://schemas.openxmlformats.org/officeDocument/2006/relationships/theme" Target="theme/theme1.xml"/><Relationship Id="rId5" Type="http://schemas.openxmlformats.org/officeDocument/2006/relationships/hyperlink" Target="mailto:merin.rejichacko@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bi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F2A7A-A4B5-47C2-9AD6-7A3834A5B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6326</Words>
  <Characters>36064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Chacko  Merin Reji</dc:creator>
  <cp:keywords/>
  <dc:description/>
  <cp:lastModifiedBy>Chacko  Merin Reji</cp:lastModifiedBy>
  <cp:revision>20</cp:revision>
  <dcterms:created xsi:type="dcterms:W3CDTF">2022-06-28T15:24:00Z</dcterms:created>
  <dcterms:modified xsi:type="dcterms:W3CDTF">2023-06-06T14:50:00Z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32a4debe-a624-3bde-a4f9-3639cc3d88ca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