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BB65" w14:textId="216D4EA6" w:rsidR="006229DF" w:rsidRPr="003F5E9D" w:rsidRDefault="00101D79" w:rsidP="007D4FDE">
      <w:pPr>
        <w:spacing w:line="360" w:lineRule="auto"/>
        <w:rPr>
          <w:rFonts w:ascii="Times New Roman" w:hAnsi="Times New Roman" w:cs="Times New Roman"/>
          <w:b/>
          <w:bCs/>
          <w:iCs/>
          <w:color w:val="000000" w:themeColor="text1"/>
          <w:kern w:val="0"/>
          <w:sz w:val="24"/>
        </w:rPr>
      </w:pPr>
      <w:bookmarkStart w:id="0" w:name="_Hlk158020184"/>
      <w:bookmarkEnd w:id="0"/>
      <w:r w:rsidRPr="003F5E9D">
        <w:rPr>
          <w:rFonts w:ascii="Times New Roman" w:hAnsi="Times New Roman" w:cs="Times New Roman"/>
          <w:b/>
          <w:bCs/>
          <w:iCs/>
          <w:color w:val="000000" w:themeColor="text1"/>
          <w:kern w:val="0"/>
          <w:sz w:val="24"/>
        </w:rPr>
        <w:t>Supplementary Material</w:t>
      </w:r>
    </w:p>
    <w:p w14:paraId="34A3F009" w14:textId="2F96E928" w:rsidR="00DD4A0A" w:rsidRPr="003F5E9D" w:rsidRDefault="008E6EDF" w:rsidP="008E6EDF">
      <w:pPr>
        <w:autoSpaceDE w:val="0"/>
        <w:autoSpaceDN w:val="0"/>
        <w:adjustRightInd w:val="0"/>
        <w:spacing w:line="360" w:lineRule="auto"/>
        <w:rPr>
          <w:rFonts w:ascii="Times New Roman" w:hAnsi="Times New Roman" w:cs="Times New Roman"/>
          <w:color w:val="000000" w:themeColor="text1"/>
          <w:sz w:val="24"/>
        </w:rPr>
      </w:pPr>
      <w:r w:rsidRPr="003F5E9D">
        <w:rPr>
          <w:rFonts w:ascii="Times New Roman" w:hAnsi="Times New Roman" w:cs="Times New Roman"/>
          <w:color w:val="000000" w:themeColor="text1"/>
          <w:sz w:val="24"/>
        </w:rPr>
        <w:t>Table S1. Species information and characteristics of 77 studied species</w:t>
      </w:r>
      <w:r w:rsidR="00DF6B0F" w:rsidRPr="003F5E9D">
        <w:rPr>
          <w:rFonts w:ascii="Times New Roman" w:hAnsi="Times New Roman" w:cs="Times New Roman"/>
          <w:color w:val="000000" w:themeColor="text1"/>
          <w:sz w:val="24"/>
        </w:rPr>
        <w:t xml:space="preserve"> in Loma Bonita, southeastern Mexico</w:t>
      </w:r>
      <w:r w:rsidRPr="003F5E9D">
        <w:rPr>
          <w:rFonts w:ascii="Times New Roman" w:hAnsi="Times New Roman" w:cs="Times New Roman"/>
          <w:color w:val="000000" w:themeColor="text1"/>
          <w:sz w:val="24"/>
        </w:rPr>
        <w:t>. The table includes family, genus and species name, and successional guild (</w:t>
      </w:r>
      <w:r w:rsidR="00DD4A0A" w:rsidRPr="003F5E9D">
        <w:rPr>
          <w:rFonts w:ascii="Times New Roman" w:hAnsi="Times New Roman" w:cs="Times New Roman"/>
          <w:color w:val="000000" w:themeColor="text1"/>
          <w:sz w:val="24"/>
        </w:rPr>
        <w:t>E</w:t>
      </w:r>
      <w:r w:rsidRPr="003F5E9D">
        <w:rPr>
          <w:rFonts w:ascii="Times New Roman" w:hAnsi="Times New Roman" w:cs="Times New Roman"/>
          <w:color w:val="000000" w:themeColor="text1"/>
          <w:sz w:val="24"/>
        </w:rPr>
        <w:t>arly</w:t>
      </w:r>
      <w:r w:rsidR="00DD4A0A" w:rsidRPr="003F5E9D">
        <w:rPr>
          <w:rFonts w:ascii="Times New Roman" w:hAnsi="Times New Roman" w:cs="Times New Roman"/>
          <w:color w:val="000000" w:themeColor="text1"/>
          <w:sz w:val="24"/>
        </w:rPr>
        <w:t>-</w:t>
      </w:r>
      <w:r w:rsidRPr="003F5E9D">
        <w:rPr>
          <w:rFonts w:ascii="Times New Roman" w:hAnsi="Times New Roman" w:cs="Times New Roman"/>
          <w:color w:val="000000" w:themeColor="text1"/>
          <w:sz w:val="24"/>
        </w:rPr>
        <w:t>, Mid</w:t>
      </w:r>
      <w:r w:rsidR="00DD4A0A" w:rsidRPr="003F5E9D">
        <w:rPr>
          <w:rFonts w:ascii="Times New Roman" w:hAnsi="Times New Roman" w:cs="Times New Roman"/>
          <w:color w:val="000000" w:themeColor="text1"/>
          <w:sz w:val="24"/>
        </w:rPr>
        <w:t>-</w:t>
      </w:r>
      <w:r w:rsidRPr="003F5E9D">
        <w:rPr>
          <w:rFonts w:ascii="Times New Roman" w:hAnsi="Times New Roman" w:cs="Times New Roman"/>
          <w:color w:val="000000" w:themeColor="text1"/>
          <w:sz w:val="24"/>
        </w:rPr>
        <w:t>, Late</w:t>
      </w:r>
      <w:r w:rsidR="00DD4A0A" w:rsidRPr="003F5E9D">
        <w:rPr>
          <w:rFonts w:ascii="Times New Roman" w:hAnsi="Times New Roman" w:cs="Times New Roman"/>
          <w:color w:val="000000" w:themeColor="text1"/>
          <w:sz w:val="24"/>
        </w:rPr>
        <w:t>-successional species</w:t>
      </w:r>
      <w:r w:rsidRPr="003F5E9D">
        <w:rPr>
          <w:rFonts w:ascii="Times New Roman" w:hAnsi="Times New Roman" w:cs="Times New Roman"/>
          <w:color w:val="000000" w:themeColor="text1"/>
          <w:sz w:val="24"/>
        </w:rPr>
        <w:t xml:space="preserve">, and NA: no information), </w:t>
      </w:r>
      <w:r w:rsidR="00DD4A0A" w:rsidRPr="003F5E9D">
        <w:rPr>
          <w:rFonts w:ascii="Times New Roman" w:hAnsi="Times New Roman" w:cs="Times New Roman"/>
          <w:color w:val="000000" w:themeColor="text1"/>
          <w:sz w:val="24"/>
        </w:rPr>
        <w:t xml:space="preserve">deciduousness, </w:t>
      </w:r>
      <w:r w:rsidR="00924BD3" w:rsidRPr="003F5E9D">
        <w:rPr>
          <w:rFonts w:ascii="Times New Roman" w:hAnsi="Times New Roman" w:cs="Times New Roman"/>
          <w:color w:val="000000" w:themeColor="text1"/>
          <w:sz w:val="24"/>
        </w:rPr>
        <w:t xml:space="preserve">Dmin; </w:t>
      </w:r>
      <w:r w:rsidR="008E7B79" w:rsidRPr="003F5E9D">
        <w:rPr>
          <w:rFonts w:ascii="Times New Roman" w:hAnsi="Times New Roman" w:cs="Times New Roman"/>
          <w:color w:val="000000" w:themeColor="text1"/>
          <w:sz w:val="24"/>
        </w:rPr>
        <w:t>minimum</w:t>
      </w:r>
      <w:r w:rsidR="00924BD3" w:rsidRPr="003F5E9D">
        <w:rPr>
          <w:rFonts w:ascii="Times New Roman" w:hAnsi="Times New Roman" w:cs="Times New Roman"/>
          <w:color w:val="000000" w:themeColor="text1"/>
          <w:sz w:val="24"/>
        </w:rPr>
        <w:t xml:space="preserve"> </w:t>
      </w:r>
      <w:r w:rsidR="008E7B79">
        <w:rPr>
          <w:rFonts w:ascii="Times New Roman" w:hAnsi="Times New Roman" w:cs="Times New Roman"/>
          <w:color w:val="000000" w:themeColor="text1"/>
          <w:sz w:val="24"/>
        </w:rPr>
        <w:t xml:space="preserve">stem </w:t>
      </w:r>
      <w:r w:rsidR="00924BD3" w:rsidRPr="003F5E9D">
        <w:rPr>
          <w:rFonts w:ascii="Times New Roman" w:hAnsi="Times New Roman" w:cs="Times New Roman"/>
          <w:color w:val="000000" w:themeColor="text1"/>
          <w:sz w:val="24"/>
        </w:rPr>
        <w:t xml:space="preserve">diameter at breast height (cm), Dmax; maximum </w:t>
      </w:r>
      <w:r w:rsidR="008E7B79">
        <w:rPr>
          <w:rFonts w:ascii="Times New Roman" w:hAnsi="Times New Roman" w:cs="Times New Roman"/>
          <w:color w:val="000000" w:themeColor="text1"/>
          <w:sz w:val="24"/>
        </w:rPr>
        <w:t xml:space="preserve">stem </w:t>
      </w:r>
      <w:r w:rsidR="00924BD3" w:rsidRPr="003F5E9D">
        <w:rPr>
          <w:rFonts w:ascii="Times New Roman" w:hAnsi="Times New Roman" w:cs="Times New Roman"/>
          <w:color w:val="000000" w:themeColor="text1"/>
          <w:sz w:val="24"/>
        </w:rPr>
        <w:t xml:space="preserve">diameter at breast height (cm), Hmin; minimum tree height (m), and Hmax; maximum tree height observed in the study site (m). The successional guild is based on the existing studies </w:t>
      </w:r>
      <w:r w:rsidR="00DF6B0F" w:rsidRPr="003F5E9D">
        <w:rPr>
          <w:rFonts w:ascii="Times New Roman" w:hAnsi="Times New Roman" w:cs="Times New Roman"/>
          <w:color w:val="000000" w:themeColor="text1"/>
          <w:sz w:val="24"/>
        </w:rPr>
        <w:t xml:space="preserve">conducted in the study site </w:t>
      </w:r>
      <w:r w:rsidR="00924BD3" w:rsidRPr="003F5E9D">
        <w:rPr>
          <w:rFonts w:ascii="Times New Roman" w:hAnsi="Times New Roman" w:cs="Times New Roman"/>
          <w:color w:val="000000" w:themeColor="text1"/>
          <w:sz w:val="24"/>
        </w:rPr>
        <w:t>and literature</w:t>
      </w:r>
      <w:r w:rsidR="000570CD">
        <w:rPr>
          <w:rFonts w:ascii="Times New Roman" w:hAnsi="Times New Roman" w:cs="Times New Roman"/>
          <w:color w:val="000000" w:themeColor="text1"/>
          <w:sz w:val="24"/>
        </w:rPr>
        <w:t>s</w:t>
      </w:r>
      <w:r w:rsidR="00924BD3" w:rsidRPr="003F5E9D">
        <w:rPr>
          <w:rFonts w:ascii="Times New Roman" w:hAnsi="Times New Roman" w:cs="Times New Roman"/>
          <w:color w:val="000000" w:themeColor="text1"/>
          <w:sz w:val="24"/>
        </w:rPr>
        <w:t xml:space="preserve"> in the Neotropics (</w:t>
      </w:r>
      <w:r w:rsidR="003313B4" w:rsidRPr="003F5E9D">
        <w:rPr>
          <w:rFonts w:ascii="Times New Roman" w:hAnsi="Times New Roman" w:cs="Times New Roman"/>
          <w:color w:val="000000" w:themeColor="text1"/>
          <w:sz w:val="24"/>
        </w:rPr>
        <w:t>M. Martínez-Ramos</w:t>
      </w:r>
      <w:r w:rsidR="00924BD3" w:rsidRPr="003F5E9D">
        <w:rPr>
          <w:rFonts w:ascii="Times New Roman" w:hAnsi="Times New Roman" w:cs="Times New Roman"/>
          <w:color w:val="000000" w:themeColor="text1"/>
          <w:sz w:val="24"/>
        </w:rPr>
        <w:t>, unpublished).</w:t>
      </w:r>
    </w:p>
    <w:p w14:paraId="2DF1B3AB" w14:textId="77777777" w:rsidR="00266FE0" w:rsidRPr="003F5E9D" w:rsidRDefault="00266FE0" w:rsidP="008E6EDF">
      <w:pPr>
        <w:autoSpaceDE w:val="0"/>
        <w:autoSpaceDN w:val="0"/>
        <w:adjustRightInd w:val="0"/>
        <w:spacing w:line="360" w:lineRule="auto"/>
        <w:rPr>
          <w:rFonts w:ascii="Times New Roman" w:hAnsi="Times New Roman" w:cs="Times New Roman"/>
          <w:color w:val="000000" w:themeColor="text1"/>
          <w:sz w:val="24"/>
        </w:rPr>
      </w:pPr>
    </w:p>
    <w:p w14:paraId="181CE936" w14:textId="5AEBEAD2" w:rsidR="00A9221E" w:rsidRPr="003F5E9D" w:rsidRDefault="00A9221E" w:rsidP="008E6EDF">
      <w:pPr>
        <w:autoSpaceDE w:val="0"/>
        <w:autoSpaceDN w:val="0"/>
        <w:adjustRightInd w:val="0"/>
        <w:spacing w:line="360" w:lineRule="auto"/>
        <w:rPr>
          <w:rFonts w:ascii="Times New Roman" w:hAnsi="Times New Roman" w:cs="Times New Roman"/>
          <w:color w:val="000000" w:themeColor="text1"/>
          <w:sz w:val="24"/>
        </w:rPr>
      </w:pPr>
      <w:r w:rsidRPr="003F5E9D">
        <w:rPr>
          <w:noProof/>
          <w:color w:val="000000" w:themeColor="text1"/>
        </w:rPr>
        <w:lastRenderedPageBreak/>
        <w:drawing>
          <wp:inline distT="0" distB="0" distL="0" distR="0" wp14:anchorId="279C7121" wp14:editId="37ACB59D">
            <wp:extent cx="4657090" cy="8352790"/>
            <wp:effectExtent l="0" t="0" r="0" b="0"/>
            <wp:docPr id="16" name="Picture 16">
              <a:extLst xmlns:a="http://schemas.openxmlformats.org/drawingml/2006/main">
                <a:ext uri="{FF2B5EF4-FFF2-40B4-BE49-F238E27FC236}">
                  <a16:creationId xmlns:a16="http://schemas.microsoft.com/office/drawing/2014/main" id="{59D9D555-0753-4670-5411-2FBCC2F1AD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9D9D555-0753-4670-5411-2FBCC2F1ADBF}"/>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7090" cy="8352790"/>
                    </a:xfrm>
                    <a:prstGeom prst="rect">
                      <a:avLst/>
                    </a:prstGeom>
                    <a:noFill/>
                  </pic:spPr>
                </pic:pic>
              </a:graphicData>
            </a:graphic>
          </wp:inline>
        </w:drawing>
      </w:r>
    </w:p>
    <w:p w14:paraId="32FD80DA" w14:textId="43321D21" w:rsidR="00AE2BF6" w:rsidRPr="003F5E9D" w:rsidRDefault="007D4FDE" w:rsidP="00AE2BF6">
      <w:pPr>
        <w:autoSpaceDE w:val="0"/>
        <w:autoSpaceDN w:val="0"/>
        <w:adjustRightInd w:val="0"/>
        <w:spacing w:line="360" w:lineRule="auto"/>
        <w:rPr>
          <w:rFonts w:ascii="Times New Roman" w:hAnsi="Times New Roman" w:cs="Times New Roman"/>
          <w:color w:val="000000" w:themeColor="text1"/>
          <w:sz w:val="24"/>
        </w:rPr>
      </w:pPr>
      <w:r w:rsidRPr="003F5E9D">
        <w:rPr>
          <w:rFonts w:ascii="Times New Roman" w:hAnsi="Times New Roman" w:cs="Times New Roman"/>
          <w:color w:val="000000" w:themeColor="text1"/>
          <w:sz w:val="24"/>
        </w:rPr>
        <w:lastRenderedPageBreak/>
        <w:t>Table S</w:t>
      </w:r>
      <w:r w:rsidR="008E6EDF" w:rsidRPr="003F5E9D">
        <w:rPr>
          <w:rFonts w:ascii="Times New Roman" w:hAnsi="Times New Roman" w:cs="Times New Roman"/>
          <w:color w:val="000000" w:themeColor="text1"/>
          <w:sz w:val="24"/>
        </w:rPr>
        <w:t>2</w:t>
      </w:r>
      <w:r w:rsidRPr="003F5E9D">
        <w:rPr>
          <w:rFonts w:ascii="Times New Roman" w:hAnsi="Times New Roman" w:cs="Times New Roman"/>
          <w:color w:val="000000" w:themeColor="text1"/>
          <w:sz w:val="24"/>
        </w:rPr>
        <w:t xml:space="preserve">. </w:t>
      </w:r>
      <w:r w:rsidR="00AE2BF6" w:rsidRPr="003F5E9D">
        <w:rPr>
          <w:rFonts w:ascii="Times New Roman" w:hAnsi="Times New Roman" w:cs="Times New Roman"/>
          <w:color w:val="000000" w:themeColor="text1"/>
          <w:sz w:val="24"/>
        </w:rPr>
        <w:t xml:space="preserve">Top three dominant </w:t>
      </w:r>
      <w:r w:rsidR="006842A1" w:rsidRPr="003F5E9D">
        <w:rPr>
          <w:rFonts w:ascii="Times New Roman" w:hAnsi="Times New Roman" w:cs="Times New Roman"/>
          <w:color w:val="000000" w:themeColor="text1"/>
          <w:sz w:val="24"/>
        </w:rPr>
        <w:t xml:space="preserve">studied </w:t>
      </w:r>
      <w:r w:rsidR="00AE2BF6" w:rsidRPr="003F5E9D">
        <w:rPr>
          <w:rFonts w:ascii="Times New Roman" w:hAnsi="Times New Roman" w:cs="Times New Roman"/>
          <w:color w:val="000000" w:themeColor="text1"/>
          <w:sz w:val="24"/>
        </w:rPr>
        <w:t>species based on the relative aboveground biomass (AGB) for each plot. The relative AGB for each species was calculated as the total AGB for each species divided by the total AGB for each plot, multiplied by 100. Because larger trees strongly shape the forest structure, we calculated the species dominance based on the relative AGB instead of numbers of individuals per species.</w:t>
      </w:r>
    </w:p>
    <w:p w14:paraId="40577727" w14:textId="77777777" w:rsidR="0085582A" w:rsidRDefault="005F2D23" w:rsidP="00A44A1F">
      <w:pPr>
        <w:autoSpaceDE w:val="0"/>
        <w:autoSpaceDN w:val="0"/>
        <w:adjustRightInd w:val="0"/>
        <w:spacing w:line="360" w:lineRule="auto"/>
        <w:rPr>
          <w:rFonts w:ascii="Times New Roman" w:hAnsi="Times New Roman" w:cs="Times New Roman"/>
          <w:color w:val="000000" w:themeColor="text1"/>
          <w:sz w:val="24"/>
        </w:rPr>
      </w:pPr>
      <w:r w:rsidRPr="003F5E9D">
        <w:rPr>
          <w:rFonts w:ascii="Times New Roman" w:hAnsi="Times New Roman" w:cs="Times New Roman"/>
          <w:noProof/>
          <w:color w:val="000000" w:themeColor="text1"/>
          <w:sz w:val="24"/>
        </w:rPr>
        <w:lastRenderedPageBreak/>
        <w:drawing>
          <wp:inline distT="0" distB="0" distL="0" distR="0" wp14:anchorId="32585F12" wp14:editId="24CBECF9">
            <wp:extent cx="5391785" cy="8031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785" cy="8031480"/>
                    </a:xfrm>
                    <a:prstGeom prst="rect">
                      <a:avLst/>
                    </a:prstGeom>
                    <a:noFill/>
                    <a:ln>
                      <a:noFill/>
                    </a:ln>
                  </pic:spPr>
                </pic:pic>
              </a:graphicData>
            </a:graphic>
          </wp:inline>
        </w:drawing>
      </w:r>
    </w:p>
    <w:p w14:paraId="69C14256"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56A30CA8" w14:textId="47D7010E"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85582A">
        <w:rPr>
          <w:rFonts w:ascii="Times New Roman" w:hAnsi="Times New Roman" w:cs="Times New Roman"/>
          <w:color w:val="000000" w:themeColor="text1"/>
          <w:sz w:val="24"/>
        </w:rPr>
        <w:lastRenderedPageBreak/>
        <w:t xml:space="preserve">Table </w:t>
      </w:r>
      <w:r w:rsidRPr="0085582A">
        <w:rPr>
          <w:rFonts w:ascii="Times New Roman" w:hAnsi="Times New Roman" w:cs="Times New Roman"/>
          <w:color w:val="000000" w:themeColor="text1"/>
          <w:sz w:val="24"/>
        </w:rPr>
        <w:t>S</w:t>
      </w:r>
      <w:r w:rsidRPr="0085582A">
        <w:rPr>
          <w:rFonts w:ascii="Times New Roman" w:hAnsi="Times New Roman" w:cs="Times New Roman"/>
          <w:color w:val="000000" w:themeColor="text1"/>
          <w:sz w:val="24"/>
        </w:rPr>
        <w:t>3.</w:t>
      </w:r>
      <w:r w:rsidRPr="00381F08">
        <w:rPr>
          <w:rFonts w:ascii="Times New Roman" w:hAnsi="Times New Roman" w:cs="Times New Roman"/>
          <w:color w:val="000000" w:themeColor="text1"/>
          <w:sz w:val="24"/>
        </w:rPr>
        <w:t xml:space="preserve"> The </w:t>
      </w:r>
      <w:r>
        <w:rPr>
          <w:rFonts w:ascii="Times New Roman" w:hAnsi="Times New Roman" w:cs="Times New Roman"/>
          <w:color w:val="000000" w:themeColor="text1"/>
          <w:sz w:val="24"/>
        </w:rPr>
        <w:t xml:space="preserve">best </w:t>
      </w:r>
      <w:r w:rsidRPr="00381F08">
        <w:rPr>
          <w:rFonts w:ascii="Times New Roman" w:hAnsi="Times New Roman" w:cs="Times New Roman"/>
          <w:color w:val="000000" w:themeColor="text1"/>
          <w:sz w:val="24"/>
        </w:rPr>
        <w:t>model</w:t>
      </w:r>
      <w:r>
        <w:rPr>
          <w:rFonts w:ascii="Times New Roman" w:hAnsi="Times New Roman" w:cs="Times New Roman"/>
          <w:color w:val="000000" w:themeColor="text1"/>
          <w:sz w:val="24"/>
        </w:rPr>
        <w:t>s</w:t>
      </w:r>
      <w:r w:rsidRPr="00381F08">
        <w:rPr>
          <w:rFonts w:ascii="Times New Roman" w:hAnsi="Times New Roman" w:cs="Times New Roman"/>
          <w:color w:val="000000" w:themeColor="text1"/>
          <w:sz w:val="24"/>
        </w:rPr>
        <w:t xml:space="preserve"> of the changes in species dominance</w:t>
      </w:r>
      <w:r w:rsidR="00897A4B">
        <w:rPr>
          <w:rFonts w:ascii="Times New Roman" w:hAnsi="Times New Roman" w:cs="Times New Roman"/>
          <w:color w:val="000000" w:themeColor="text1"/>
          <w:sz w:val="24"/>
        </w:rPr>
        <w:t xml:space="preserve"> by model selection</w:t>
      </w:r>
      <w:r w:rsidRPr="00381F08">
        <w:rPr>
          <w:rFonts w:ascii="Times New Roman" w:hAnsi="Times New Roman" w:cs="Times New Roman"/>
          <w:color w:val="000000" w:themeColor="text1"/>
          <w:sz w:val="24"/>
        </w:rPr>
        <w:t xml:space="preserve">. The table shows the set of </w:t>
      </w:r>
      <w:r>
        <w:rPr>
          <w:rFonts w:ascii="Times New Roman" w:hAnsi="Times New Roman" w:cs="Times New Roman"/>
          <w:color w:val="000000" w:themeColor="text1"/>
          <w:sz w:val="24"/>
        </w:rPr>
        <w:t xml:space="preserve">best </w:t>
      </w:r>
      <w:r w:rsidRPr="00381F08">
        <w:rPr>
          <w:rFonts w:ascii="Times New Roman" w:hAnsi="Times New Roman" w:cs="Times New Roman"/>
          <w:color w:val="000000" w:themeColor="text1"/>
          <w:sz w:val="24"/>
        </w:rPr>
        <w:t>models with indiscernible ΔAIC ≤2 that include intercept (β</w:t>
      </w:r>
      <w:r w:rsidRPr="00381F08">
        <w:rPr>
          <w:rFonts w:ascii="Times New Roman" w:hAnsi="Times New Roman" w:cs="Times New Roman"/>
          <w:color w:val="000000" w:themeColor="text1"/>
          <w:sz w:val="24"/>
          <w:vertAlign w:val="subscript"/>
        </w:rPr>
        <w:t>0</w:t>
      </w:r>
      <w:r w:rsidRPr="00381F08">
        <w:rPr>
          <w:rFonts w:ascii="Times New Roman" w:hAnsi="Times New Roman" w:cs="Times New Roman"/>
          <w:color w:val="000000" w:themeColor="text1"/>
          <w:sz w:val="24"/>
        </w:rPr>
        <w:t>) and species average relative growth rate (RGR, g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and its interaction with stand age (Age, year). Moreover, AICc (</w:t>
      </w:r>
      <w:r>
        <w:rPr>
          <w:rFonts w:ascii="Times New Roman" w:hAnsi="Times New Roman" w:cs="Times New Roman"/>
          <w:color w:val="000000" w:themeColor="text1"/>
          <w:sz w:val="24"/>
        </w:rPr>
        <w:t xml:space="preserve">sample-corrected </w:t>
      </w:r>
      <w:r w:rsidRPr="00381F08">
        <w:rPr>
          <w:rFonts w:ascii="Times New Roman" w:hAnsi="Times New Roman" w:cs="Times New Roman"/>
          <w:color w:val="000000" w:themeColor="text1"/>
          <w:sz w:val="24"/>
        </w:rPr>
        <w:t>Akaike information criterion),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rPr>
        <w:t xml:space="preserve">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vertAlign w:val="subscript"/>
        </w:rPr>
        <w:t>i</w:t>
      </w:r>
      <w:r w:rsidRPr="00381F08">
        <w:rPr>
          <w:rFonts w:ascii="Times New Roman" w:hAnsi="Times New Roman" w:cs="Times New Roman"/>
          <w:color w:val="000000" w:themeColor="text1"/>
          <w:sz w:val="24"/>
        </w:rPr>
        <w:t xml:space="preserve"> −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vertAlign w:val="subscript"/>
        </w:rPr>
        <w:t>min</w:t>
      </w:r>
      <w:r w:rsidRPr="00381F08">
        <w:rPr>
          <w:rFonts w:ascii="Times New Roman" w:hAnsi="Times New Roman" w:cs="Times New Roman"/>
          <w:color w:val="000000" w:themeColor="text1"/>
          <w:sz w:val="24"/>
        </w:rPr>
        <w:t>) and Akaike weights (</w:t>
      </w:r>
      <w:r w:rsidRPr="00381F08">
        <w:rPr>
          <w:rFonts w:ascii="Times New Roman" w:hAnsi="Times New Roman" w:cs="Times New Roman"/>
          <w:i/>
          <w:iCs/>
          <w:color w:val="000000" w:themeColor="text1"/>
          <w:sz w:val="24"/>
        </w:rPr>
        <w:t>w</w:t>
      </w:r>
      <w:r w:rsidRPr="00381F08">
        <w:rPr>
          <w:rFonts w:ascii="Times New Roman" w:hAnsi="Times New Roman" w:cs="Times New Roman"/>
          <w:i/>
          <w:iCs/>
          <w:color w:val="000000" w:themeColor="text1"/>
          <w:sz w:val="24"/>
          <w:vertAlign w:val="subscript"/>
        </w:rPr>
        <w:t>i</w:t>
      </w:r>
      <w:r w:rsidRPr="00381F08">
        <w:rPr>
          <w:rFonts w:ascii="Times New Roman" w:hAnsi="Times New Roman" w:cs="Times New Roman"/>
          <w:color w:val="000000" w:themeColor="text1"/>
          <w:sz w:val="24"/>
        </w:rPr>
        <w:t>) are shown for each model.</w:t>
      </w:r>
    </w:p>
    <w:p w14:paraId="48295D1A"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r>
        <w:rPr>
          <w:rFonts w:ascii="Times New Roman" w:hAnsi="Times New Roman" w:cs="Times New Roman"/>
          <w:noProof/>
          <w:color w:val="000000" w:themeColor="text1"/>
          <w:sz w:val="24"/>
        </w:rPr>
        <w:drawing>
          <wp:inline distT="0" distB="0" distL="0" distR="0" wp14:anchorId="679D292D" wp14:editId="13419637">
            <wp:extent cx="4278630" cy="647065"/>
            <wp:effectExtent l="0" t="0" r="7620" b="635"/>
            <wp:docPr id="229134706" name="Picture 22913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8630" cy="647065"/>
                    </a:xfrm>
                    <a:prstGeom prst="rect">
                      <a:avLst/>
                    </a:prstGeom>
                    <a:noFill/>
                    <a:ln>
                      <a:noFill/>
                    </a:ln>
                  </pic:spPr>
                </pic:pic>
              </a:graphicData>
            </a:graphic>
          </wp:inline>
        </w:drawing>
      </w:r>
    </w:p>
    <w:p w14:paraId="75E597A4"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4FF0B927"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5B76AAFA"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18F200E8"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46577979"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1C712180"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1438E74B"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4486C67C"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5F14CA28"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6E5B4578"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439E7259"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689D1EEB"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1F22F79A"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382EF783"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78207591"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4A971954" w14:textId="77777777"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03F76FAF" w14:textId="7A391E55"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85582A">
        <w:rPr>
          <w:rFonts w:ascii="Times New Roman" w:hAnsi="Times New Roman" w:cs="Times New Roman"/>
          <w:color w:val="000000" w:themeColor="text1"/>
          <w:sz w:val="24"/>
        </w:rPr>
        <w:lastRenderedPageBreak/>
        <w:t xml:space="preserve">Table </w:t>
      </w:r>
      <w:r w:rsidRPr="0085582A">
        <w:rPr>
          <w:rFonts w:ascii="Times New Roman" w:hAnsi="Times New Roman" w:cs="Times New Roman"/>
          <w:color w:val="000000" w:themeColor="text1"/>
          <w:sz w:val="24"/>
        </w:rPr>
        <w:t>S</w:t>
      </w:r>
      <w:r w:rsidRPr="0085582A">
        <w:rPr>
          <w:rFonts w:ascii="Times New Roman" w:hAnsi="Times New Roman" w:cs="Times New Roman"/>
          <w:color w:val="000000" w:themeColor="text1"/>
          <w:sz w:val="24"/>
        </w:rPr>
        <w:t>4.</w:t>
      </w:r>
      <w:r w:rsidRPr="00381F08">
        <w:rPr>
          <w:rFonts w:ascii="Times New Roman" w:hAnsi="Times New Roman" w:cs="Times New Roman"/>
          <w:color w:val="000000" w:themeColor="text1"/>
          <w:sz w:val="24"/>
        </w:rPr>
        <w:t xml:space="preserve"> The </w:t>
      </w:r>
      <w:r>
        <w:rPr>
          <w:rFonts w:ascii="Times New Roman" w:hAnsi="Times New Roman" w:cs="Times New Roman"/>
          <w:color w:val="000000" w:themeColor="text1"/>
          <w:sz w:val="24"/>
        </w:rPr>
        <w:t xml:space="preserve">best </w:t>
      </w:r>
      <w:r w:rsidRPr="00381F08">
        <w:rPr>
          <w:rFonts w:ascii="Times New Roman" w:hAnsi="Times New Roman" w:cs="Times New Roman"/>
          <w:color w:val="000000" w:themeColor="text1"/>
          <w:sz w:val="24"/>
        </w:rPr>
        <w:t>model</w:t>
      </w:r>
      <w:r>
        <w:rPr>
          <w:rFonts w:ascii="Times New Roman" w:hAnsi="Times New Roman" w:cs="Times New Roman"/>
          <w:color w:val="000000" w:themeColor="text1"/>
          <w:sz w:val="24"/>
        </w:rPr>
        <w:t>s</w:t>
      </w:r>
      <w:r w:rsidRPr="00381F08">
        <w:rPr>
          <w:rFonts w:ascii="Times New Roman" w:hAnsi="Times New Roman" w:cs="Times New Roman"/>
          <w:color w:val="000000" w:themeColor="text1"/>
          <w:sz w:val="24"/>
        </w:rPr>
        <w:t xml:space="preserve"> of species average relative growth rate (RGR, g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w:t>
      </w:r>
      <w:r w:rsidR="00897A4B">
        <w:rPr>
          <w:rFonts w:ascii="Times New Roman" w:hAnsi="Times New Roman" w:cs="Times New Roman"/>
          <w:color w:val="000000" w:themeColor="text1"/>
          <w:sz w:val="24"/>
        </w:rPr>
        <w:t xml:space="preserve"> by model selection</w:t>
      </w:r>
      <w:r w:rsidRPr="00381F08">
        <w:rPr>
          <w:rFonts w:ascii="Times New Roman" w:hAnsi="Times New Roman" w:cs="Times New Roman"/>
          <w:color w:val="000000" w:themeColor="text1"/>
          <w:sz w:val="24"/>
        </w:rPr>
        <w:t xml:space="preserve">. The table shows the set of </w:t>
      </w:r>
      <w:r>
        <w:rPr>
          <w:rFonts w:ascii="Times New Roman" w:hAnsi="Times New Roman" w:cs="Times New Roman"/>
          <w:color w:val="000000" w:themeColor="text1"/>
          <w:sz w:val="24"/>
        </w:rPr>
        <w:t xml:space="preserve">best </w:t>
      </w:r>
      <w:r w:rsidRPr="00381F08">
        <w:rPr>
          <w:rFonts w:ascii="Times New Roman" w:hAnsi="Times New Roman" w:cs="Times New Roman"/>
          <w:color w:val="000000" w:themeColor="text1"/>
          <w:sz w:val="24"/>
        </w:rPr>
        <w:t>models with indiscernible ΔAIC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rPr>
        <w:t xml:space="preserve"> ≤2 that include intercept (β</w:t>
      </w:r>
      <w:r w:rsidRPr="00381F08">
        <w:rPr>
          <w:rFonts w:ascii="Times New Roman" w:hAnsi="Times New Roman" w:cs="Times New Roman"/>
          <w:color w:val="000000" w:themeColor="text1"/>
          <w:sz w:val="24"/>
          <w:vertAlign w:val="subscript"/>
        </w:rPr>
        <w:t>0</w:t>
      </w:r>
      <w:r w:rsidRPr="00381F08">
        <w:rPr>
          <w:rFonts w:ascii="Times New Roman" w:hAnsi="Times New Roman" w:cs="Times New Roman"/>
          <w:color w:val="000000" w:themeColor="text1"/>
          <w:sz w:val="24"/>
        </w:rPr>
        <w:t>) and species average LIE (light interception efficiency, MJ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species average LUE (light use efficiency, g MJ </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and their interactions with forest age (Age, year). Moreover, AICc (</w:t>
      </w:r>
      <w:r>
        <w:rPr>
          <w:rFonts w:ascii="Times New Roman" w:hAnsi="Times New Roman" w:cs="Times New Roman"/>
          <w:color w:val="000000" w:themeColor="text1"/>
          <w:sz w:val="24"/>
        </w:rPr>
        <w:t xml:space="preserve">sample-corrected </w:t>
      </w:r>
      <w:r w:rsidRPr="00381F08">
        <w:rPr>
          <w:rFonts w:ascii="Times New Roman" w:hAnsi="Times New Roman" w:cs="Times New Roman"/>
          <w:color w:val="000000" w:themeColor="text1"/>
          <w:sz w:val="24"/>
        </w:rPr>
        <w:t>Akaike information criterion),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rPr>
        <w:t xml:space="preserve">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vertAlign w:val="subscript"/>
        </w:rPr>
        <w:t>i</w:t>
      </w:r>
      <w:r w:rsidRPr="00381F08">
        <w:rPr>
          <w:rFonts w:ascii="Times New Roman" w:hAnsi="Times New Roman" w:cs="Times New Roman"/>
          <w:color w:val="000000" w:themeColor="text1"/>
          <w:sz w:val="24"/>
        </w:rPr>
        <w:t xml:space="preserve"> −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vertAlign w:val="subscript"/>
        </w:rPr>
        <w:t>min</w:t>
      </w:r>
      <w:r w:rsidRPr="00381F08">
        <w:rPr>
          <w:rFonts w:ascii="Times New Roman" w:hAnsi="Times New Roman" w:cs="Times New Roman"/>
          <w:color w:val="000000" w:themeColor="text1"/>
          <w:sz w:val="24"/>
        </w:rPr>
        <w:t>) and Akaike weights (</w:t>
      </w:r>
      <w:r w:rsidRPr="00381F08">
        <w:rPr>
          <w:rFonts w:ascii="Times New Roman" w:hAnsi="Times New Roman" w:cs="Times New Roman"/>
          <w:i/>
          <w:iCs/>
          <w:color w:val="000000" w:themeColor="text1"/>
          <w:sz w:val="24"/>
        </w:rPr>
        <w:t>w</w:t>
      </w:r>
      <w:r w:rsidRPr="00381F08">
        <w:rPr>
          <w:rFonts w:ascii="Times New Roman" w:hAnsi="Times New Roman" w:cs="Times New Roman"/>
          <w:i/>
          <w:iCs/>
          <w:color w:val="000000" w:themeColor="text1"/>
          <w:sz w:val="24"/>
          <w:vertAlign w:val="subscript"/>
        </w:rPr>
        <w:t>i</w:t>
      </w:r>
      <w:r w:rsidRPr="00381F08">
        <w:rPr>
          <w:rFonts w:ascii="Times New Roman" w:hAnsi="Times New Roman" w:cs="Times New Roman"/>
          <w:color w:val="000000" w:themeColor="text1"/>
          <w:sz w:val="24"/>
        </w:rPr>
        <w:t>) are shown for each model.</w:t>
      </w:r>
    </w:p>
    <w:p w14:paraId="46843EDA"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r>
        <w:rPr>
          <w:rFonts w:ascii="Times New Roman" w:hAnsi="Times New Roman" w:cs="Times New Roman"/>
          <w:noProof/>
          <w:color w:val="000000" w:themeColor="text1"/>
          <w:sz w:val="24"/>
        </w:rPr>
        <w:drawing>
          <wp:inline distT="0" distB="0" distL="0" distR="0" wp14:anchorId="562C80EA" wp14:editId="045A6F0C">
            <wp:extent cx="4278630" cy="871220"/>
            <wp:effectExtent l="0" t="0" r="7620" b="5080"/>
            <wp:docPr id="229134705" name="Picture 22913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8630" cy="871220"/>
                    </a:xfrm>
                    <a:prstGeom prst="rect">
                      <a:avLst/>
                    </a:prstGeom>
                    <a:noFill/>
                    <a:ln>
                      <a:noFill/>
                    </a:ln>
                  </pic:spPr>
                </pic:pic>
              </a:graphicData>
            </a:graphic>
          </wp:inline>
        </w:drawing>
      </w:r>
    </w:p>
    <w:p w14:paraId="5A6C0676"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445C7333"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7E37B558"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0472B080"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700BDCFC"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37EB3954"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3E41D7EB"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2D4C1D50"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2721C7CD"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2894A25B"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7EAE8367"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0A40C187"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4B4B3230"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2EEC2ABA"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5CD333E3" w14:textId="77777777"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7D40D1D4" w14:textId="60ADD2BB"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85582A">
        <w:rPr>
          <w:rFonts w:ascii="Times New Roman" w:hAnsi="Times New Roman" w:cs="Times New Roman"/>
          <w:color w:val="000000" w:themeColor="text1"/>
          <w:sz w:val="24"/>
        </w:rPr>
        <w:lastRenderedPageBreak/>
        <w:t xml:space="preserve">Table </w:t>
      </w:r>
      <w:r w:rsidRPr="0085582A">
        <w:rPr>
          <w:rFonts w:ascii="Times New Roman" w:hAnsi="Times New Roman" w:cs="Times New Roman"/>
          <w:color w:val="000000" w:themeColor="text1"/>
          <w:sz w:val="24"/>
        </w:rPr>
        <w:t>S</w:t>
      </w:r>
      <w:r w:rsidRPr="0085582A">
        <w:rPr>
          <w:rFonts w:ascii="Times New Roman" w:hAnsi="Times New Roman" w:cs="Times New Roman"/>
          <w:color w:val="000000" w:themeColor="text1"/>
          <w:sz w:val="24"/>
        </w:rPr>
        <w:t>5.</w:t>
      </w:r>
      <w:r w:rsidRPr="00381F08">
        <w:rPr>
          <w:rFonts w:ascii="Times New Roman" w:hAnsi="Times New Roman" w:cs="Times New Roman"/>
          <w:color w:val="000000" w:themeColor="text1"/>
          <w:sz w:val="24"/>
        </w:rPr>
        <w:t xml:space="preserve"> The </w:t>
      </w:r>
      <w:r>
        <w:rPr>
          <w:rFonts w:ascii="Times New Roman" w:hAnsi="Times New Roman" w:cs="Times New Roman"/>
          <w:color w:val="000000" w:themeColor="text1"/>
          <w:sz w:val="24"/>
        </w:rPr>
        <w:t xml:space="preserve">best </w:t>
      </w:r>
      <w:r w:rsidRPr="00381F08">
        <w:rPr>
          <w:rFonts w:ascii="Times New Roman" w:hAnsi="Times New Roman" w:cs="Times New Roman"/>
          <w:color w:val="000000" w:themeColor="text1"/>
          <w:sz w:val="24"/>
        </w:rPr>
        <w:t>models of a) species average LIE (light interception efficiency, MJ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and b) species average LUE (light use efficiency, g MJ </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w:t>
      </w:r>
      <w:r w:rsidR="00897A4B">
        <w:rPr>
          <w:rFonts w:ascii="Times New Roman" w:hAnsi="Times New Roman" w:cs="Times New Roman"/>
          <w:color w:val="000000" w:themeColor="text1"/>
          <w:sz w:val="24"/>
        </w:rPr>
        <w:t xml:space="preserve"> by modl selection</w:t>
      </w:r>
      <w:r w:rsidRPr="00381F08">
        <w:rPr>
          <w:rFonts w:ascii="Times New Roman" w:hAnsi="Times New Roman" w:cs="Times New Roman"/>
          <w:color w:val="000000" w:themeColor="text1"/>
          <w:sz w:val="24"/>
        </w:rPr>
        <w:t xml:space="preserve">. The table shows the set of </w:t>
      </w:r>
      <w:r>
        <w:rPr>
          <w:rFonts w:ascii="Times New Roman" w:hAnsi="Times New Roman" w:cs="Times New Roman"/>
          <w:color w:val="000000" w:themeColor="text1"/>
          <w:sz w:val="24"/>
        </w:rPr>
        <w:t xml:space="preserve">best </w:t>
      </w:r>
      <w:r w:rsidRPr="00381F08">
        <w:rPr>
          <w:rFonts w:ascii="Times New Roman" w:hAnsi="Times New Roman" w:cs="Times New Roman"/>
          <w:color w:val="000000" w:themeColor="text1"/>
          <w:sz w:val="24"/>
        </w:rPr>
        <w:t>models with indiscernible ΔAIC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rPr>
        <w:t xml:space="preserve"> ≤ 2 that include intercept (β</w:t>
      </w:r>
      <w:r w:rsidRPr="00381F08">
        <w:rPr>
          <w:rFonts w:ascii="Times New Roman" w:hAnsi="Times New Roman" w:cs="Times New Roman"/>
          <w:color w:val="000000" w:themeColor="text1"/>
          <w:sz w:val="24"/>
          <w:vertAlign w:val="subscript"/>
        </w:rPr>
        <w:t>0</w:t>
      </w:r>
      <w:r w:rsidRPr="00381F08">
        <w:rPr>
          <w:rFonts w:ascii="Times New Roman" w:hAnsi="Times New Roman" w:cs="Times New Roman"/>
          <w:color w:val="000000" w:themeColor="text1"/>
          <w:sz w:val="24"/>
        </w:rPr>
        <w:t xml:space="preserve">) and traits (refer to Table </w:t>
      </w:r>
      <w:r>
        <w:rPr>
          <w:rFonts w:ascii="Times New Roman" w:hAnsi="Times New Roman" w:cs="Times New Roman"/>
          <w:color w:val="000000" w:themeColor="text1"/>
          <w:sz w:val="24"/>
        </w:rPr>
        <w:t>E8</w:t>
      </w:r>
      <w:r w:rsidRPr="00381F08">
        <w:rPr>
          <w:rFonts w:ascii="Times New Roman" w:hAnsi="Times New Roman" w:cs="Times New Roman"/>
          <w:color w:val="000000" w:themeColor="text1"/>
          <w:sz w:val="24"/>
        </w:rPr>
        <w:t xml:space="preserve"> for the abbreviations) and their interactions with forest age (Age, year). Moreover, AICc (</w:t>
      </w:r>
      <w:r>
        <w:rPr>
          <w:rFonts w:ascii="Times New Roman" w:hAnsi="Times New Roman" w:cs="Times New Roman"/>
          <w:color w:val="000000" w:themeColor="text1"/>
          <w:sz w:val="24"/>
        </w:rPr>
        <w:t xml:space="preserve">sample-corrected </w:t>
      </w:r>
      <w:r w:rsidRPr="00381F08">
        <w:rPr>
          <w:rFonts w:ascii="Times New Roman" w:hAnsi="Times New Roman" w:cs="Times New Roman"/>
          <w:color w:val="000000" w:themeColor="text1"/>
          <w:sz w:val="24"/>
        </w:rPr>
        <w:t>Akaike information criterion),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rPr>
        <w:t xml:space="preserve">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vertAlign w:val="subscript"/>
        </w:rPr>
        <w:t>i</w:t>
      </w:r>
      <w:r w:rsidRPr="00381F08">
        <w:rPr>
          <w:rFonts w:ascii="Times New Roman" w:hAnsi="Times New Roman" w:cs="Times New Roman"/>
          <w:color w:val="000000" w:themeColor="text1"/>
          <w:sz w:val="24"/>
        </w:rPr>
        <w:t xml:space="preserve"> − AIC</w:t>
      </w:r>
      <w:r>
        <w:rPr>
          <w:rFonts w:ascii="Times New Roman" w:hAnsi="Times New Roman" w:cs="Times New Roman"/>
          <w:color w:val="000000" w:themeColor="text1"/>
          <w:sz w:val="24"/>
        </w:rPr>
        <w:t>c</w:t>
      </w:r>
      <w:r w:rsidRPr="00381F08">
        <w:rPr>
          <w:rFonts w:ascii="Times New Roman" w:hAnsi="Times New Roman" w:cs="Times New Roman"/>
          <w:color w:val="000000" w:themeColor="text1"/>
          <w:sz w:val="24"/>
          <w:vertAlign w:val="subscript"/>
        </w:rPr>
        <w:t>min</w:t>
      </w:r>
      <w:r w:rsidRPr="00381F08">
        <w:rPr>
          <w:rFonts w:ascii="Times New Roman" w:hAnsi="Times New Roman" w:cs="Times New Roman"/>
          <w:color w:val="000000" w:themeColor="text1"/>
          <w:sz w:val="24"/>
        </w:rPr>
        <w:t>) and Akaike weights (</w:t>
      </w:r>
      <w:r w:rsidRPr="00381F08">
        <w:rPr>
          <w:rFonts w:ascii="Times New Roman" w:hAnsi="Times New Roman" w:cs="Times New Roman"/>
          <w:i/>
          <w:iCs/>
          <w:color w:val="000000" w:themeColor="text1"/>
          <w:sz w:val="24"/>
        </w:rPr>
        <w:t>w</w:t>
      </w:r>
      <w:r w:rsidRPr="00381F08">
        <w:rPr>
          <w:rFonts w:ascii="Times New Roman" w:hAnsi="Times New Roman" w:cs="Times New Roman"/>
          <w:i/>
          <w:iCs/>
          <w:color w:val="000000" w:themeColor="text1"/>
          <w:sz w:val="24"/>
          <w:vertAlign w:val="subscript"/>
        </w:rPr>
        <w:t>i</w:t>
      </w:r>
      <w:r w:rsidRPr="00381F08">
        <w:rPr>
          <w:rFonts w:ascii="Times New Roman" w:hAnsi="Times New Roman" w:cs="Times New Roman"/>
          <w:color w:val="000000" w:themeColor="text1"/>
          <w:sz w:val="24"/>
        </w:rPr>
        <w:t>) are shown for each model.</w:t>
      </w:r>
    </w:p>
    <w:p w14:paraId="3ABEA09C" w14:textId="77777777"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Pr>
          <w:rFonts w:ascii="Times New Roman" w:hAnsi="Times New Roman" w:cs="Times New Roman"/>
          <w:noProof/>
          <w:color w:val="000000" w:themeColor="text1"/>
          <w:sz w:val="24"/>
        </w:rPr>
        <w:drawing>
          <wp:inline distT="0" distB="0" distL="0" distR="0" wp14:anchorId="1C62D144" wp14:editId="1602D022">
            <wp:extent cx="4278630" cy="647065"/>
            <wp:effectExtent l="0" t="0" r="7620" b="635"/>
            <wp:docPr id="229134704" name="Picture 22913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8630" cy="647065"/>
                    </a:xfrm>
                    <a:prstGeom prst="rect">
                      <a:avLst/>
                    </a:prstGeom>
                    <a:noFill/>
                    <a:ln>
                      <a:noFill/>
                    </a:ln>
                  </pic:spPr>
                </pic:pic>
              </a:graphicData>
            </a:graphic>
          </wp:inline>
        </w:drawing>
      </w:r>
    </w:p>
    <w:p w14:paraId="3E245E68" w14:textId="77777777" w:rsidR="0085582A" w:rsidRDefault="0085582A" w:rsidP="0085582A">
      <w:pPr>
        <w:autoSpaceDE w:val="0"/>
        <w:autoSpaceDN w:val="0"/>
        <w:adjustRightInd w:val="0"/>
        <w:spacing w:line="480" w:lineRule="auto"/>
        <w:rPr>
          <w:rFonts w:ascii="Times New Roman" w:hAnsi="Times New Roman" w:cs="Times New Roman"/>
          <w:color w:val="000000" w:themeColor="text1"/>
          <w:sz w:val="24"/>
        </w:rPr>
      </w:pPr>
      <w:r>
        <w:rPr>
          <w:rFonts w:ascii="Times New Roman" w:hAnsi="Times New Roman" w:cs="Times New Roman"/>
          <w:noProof/>
          <w:color w:val="000000" w:themeColor="text1"/>
          <w:sz w:val="24"/>
        </w:rPr>
        <w:drawing>
          <wp:inline distT="0" distB="0" distL="0" distR="0" wp14:anchorId="04F76533" wp14:editId="21F1F586">
            <wp:extent cx="4278630" cy="647065"/>
            <wp:effectExtent l="0" t="0" r="7620" b="635"/>
            <wp:docPr id="229134703" name="Picture 22913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8630" cy="647065"/>
                    </a:xfrm>
                    <a:prstGeom prst="rect">
                      <a:avLst/>
                    </a:prstGeom>
                    <a:noFill/>
                    <a:ln>
                      <a:noFill/>
                    </a:ln>
                  </pic:spPr>
                </pic:pic>
              </a:graphicData>
            </a:graphic>
          </wp:inline>
        </w:drawing>
      </w:r>
    </w:p>
    <w:p w14:paraId="14469E8A" w14:textId="77777777" w:rsidR="0085582A" w:rsidRPr="00B86839"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743CD70A"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5D12A2B3"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2EF8A7D6"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144B8B6B"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31305712"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26892728"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76AFE64C"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5522D75C"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34ACD80A"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65E8B586"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2B88B0DE"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35F610A9"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70EAC6EE" w14:textId="06BDD5B1"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85582A">
        <w:rPr>
          <w:rFonts w:ascii="Times New Roman" w:hAnsi="Times New Roman" w:cs="Times New Roman"/>
          <w:color w:val="000000" w:themeColor="text1"/>
          <w:sz w:val="24"/>
        </w:rPr>
        <w:lastRenderedPageBreak/>
        <w:t xml:space="preserve">Table </w:t>
      </w:r>
      <w:r w:rsidR="008A2F6B">
        <w:rPr>
          <w:rFonts w:ascii="Times New Roman" w:hAnsi="Times New Roman" w:cs="Times New Roman"/>
          <w:color w:val="000000" w:themeColor="text1"/>
          <w:sz w:val="24"/>
        </w:rPr>
        <w:t>S</w:t>
      </w:r>
      <w:r w:rsidRPr="0085582A">
        <w:rPr>
          <w:rFonts w:ascii="Times New Roman" w:hAnsi="Times New Roman" w:cs="Times New Roman"/>
          <w:color w:val="000000" w:themeColor="text1"/>
          <w:sz w:val="24"/>
        </w:rPr>
        <w:t>6.</w:t>
      </w:r>
      <w:r w:rsidRPr="00381F08">
        <w:rPr>
          <w:rFonts w:ascii="Times New Roman" w:hAnsi="Times New Roman" w:cs="Times New Roman"/>
          <w:color w:val="000000" w:themeColor="text1"/>
          <w:sz w:val="24"/>
        </w:rPr>
        <w:t xml:space="preserve"> </w:t>
      </w:r>
      <w:r w:rsidR="008A2F6B">
        <w:rPr>
          <w:rFonts w:ascii="Times New Roman" w:hAnsi="Times New Roman" w:cs="Times New Roman"/>
          <w:color w:val="000000" w:themeColor="text1"/>
          <w:sz w:val="24"/>
        </w:rPr>
        <w:t>Summary of t</w:t>
      </w:r>
      <w:r>
        <w:rPr>
          <w:rFonts w:ascii="Times New Roman" w:hAnsi="Times New Roman" w:cs="Times New Roman"/>
          <w:color w:val="000000" w:themeColor="text1"/>
          <w:sz w:val="24"/>
        </w:rPr>
        <w:t>he model-averaged estimates of standardized coefficients</w:t>
      </w:r>
      <w:r w:rsidRPr="00381F08">
        <w:rPr>
          <w:rFonts w:ascii="Times New Roman" w:hAnsi="Times New Roman" w:cs="Times New Roman"/>
          <w:color w:val="000000" w:themeColor="text1"/>
          <w:sz w:val="24"/>
        </w:rPr>
        <w:t xml:space="preserve"> for the changes in species dominance. The linear mixed model was conducted with changes in species dominance as a response variable, and species average relative growth rate (g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and its interaction with forest age (Age, year) as fixed variables.</w:t>
      </w:r>
      <w:r w:rsidRPr="00381F08">
        <w:rPr>
          <w:rFonts w:ascii="Times New Roman" w:hAnsi="Times New Roman" w:cs="Times New Roman"/>
          <w:color w:val="000000" w:themeColor="text1"/>
          <w:sz w:val="24"/>
          <w:lang w:val="en-GB"/>
        </w:rPr>
        <w:t xml:space="preserve"> As random variables, we included forest stands and species to account for the fact that tree species were nested within stands. Changes in species dominance and relative growth rate were log</w:t>
      </w:r>
      <w:r w:rsidRPr="00381F08">
        <w:rPr>
          <w:rFonts w:ascii="Times New Roman" w:hAnsi="Times New Roman" w:cs="Times New Roman"/>
          <w:color w:val="000000" w:themeColor="text1"/>
          <w:sz w:val="24"/>
          <w:vertAlign w:val="subscript"/>
          <w:lang w:val="en-GB"/>
        </w:rPr>
        <w:t>10</w:t>
      </w:r>
      <w:r w:rsidRPr="00381F08">
        <w:rPr>
          <w:rFonts w:ascii="Times New Roman" w:hAnsi="Times New Roman" w:cs="Times New Roman"/>
          <w:color w:val="000000" w:themeColor="text1"/>
          <w:sz w:val="24"/>
          <w:lang w:val="en-GB"/>
        </w:rPr>
        <w:t>-transformed prior to the standardization (eq. 8) to improve the model.</w:t>
      </w:r>
      <w:r w:rsidRPr="00381F08">
        <w:rPr>
          <w:rFonts w:ascii="Times New Roman" w:hAnsi="Times New Roman" w:cs="Times New Roman"/>
          <w:color w:val="000000" w:themeColor="text1"/>
          <w:sz w:val="24"/>
        </w:rPr>
        <w:t xml:space="preserve"> The most influential variables were selected based on the best models with AICc (</w:t>
      </w:r>
      <w:r>
        <w:rPr>
          <w:rFonts w:ascii="Times New Roman" w:hAnsi="Times New Roman" w:cs="Times New Roman"/>
          <w:color w:val="000000" w:themeColor="text1"/>
          <w:sz w:val="24"/>
        </w:rPr>
        <w:t xml:space="preserve">sample-corrected </w:t>
      </w:r>
      <w:r w:rsidRPr="00381F08">
        <w:rPr>
          <w:rFonts w:ascii="Times New Roman" w:hAnsi="Times New Roman" w:cs="Times New Roman"/>
          <w:color w:val="000000" w:themeColor="text1"/>
          <w:sz w:val="24"/>
        </w:rPr>
        <w:t xml:space="preserve">Akaike information criterion) ≤ 2 (see method for the detail). </w:t>
      </w:r>
      <w:r>
        <w:rPr>
          <w:rFonts w:ascii="Times New Roman" w:hAnsi="Times New Roman" w:cs="Times New Roman"/>
          <w:color w:val="000000" w:themeColor="text1"/>
          <w:sz w:val="24"/>
        </w:rPr>
        <w:t xml:space="preserve"> Because the model selection with AICc using a function “dredge” chose two or three best models in our analysis (Table </w:t>
      </w:r>
      <w:r>
        <w:rPr>
          <w:rFonts w:ascii="Times New Roman" w:hAnsi="Times New Roman" w:cs="Times New Roman"/>
          <w:color w:val="000000" w:themeColor="text1"/>
          <w:sz w:val="24"/>
        </w:rPr>
        <w:t>S</w:t>
      </w:r>
      <w:r>
        <w:rPr>
          <w:rFonts w:ascii="Times New Roman" w:hAnsi="Times New Roman" w:cs="Times New Roman"/>
          <w:color w:val="000000" w:themeColor="text1"/>
          <w:sz w:val="24"/>
        </w:rPr>
        <w:t>3), we attempted model averaging to reduce model selection uncertainly. With this, we calculated the model-averaged estimates of standardized coefficients and p-values for the averaged model using the best models by a function of “</w:t>
      </w:r>
      <w:r w:rsidRPr="005C5597">
        <w:rPr>
          <w:rFonts w:ascii="Times New Roman" w:hAnsi="Times New Roman" w:cs="Times New Roman"/>
          <w:color w:val="000000" w:themeColor="text1"/>
          <w:sz w:val="24"/>
        </w:rPr>
        <w:t>model.avg</w:t>
      </w:r>
      <w:r>
        <w:rPr>
          <w:rFonts w:ascii="Times New Roman" w:hAnsi="Times New Roman" w:cs="Times New Roman"/>
          <w:color w:val="000000" w:themeColor="text1"/>
          <w:sz w:val="24"/>
        </w:rPr>
        <w:t>” in the “AICcmodavg” package.</w:t>
      </w:r>
    </w:p>
    <w:p w14:paraId="79DE876D" w14:textId="77777777"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68FE613F" w14:textId="77777777"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381F08">
        <w:rPr>
          <w:rFonts w:ascii="Times New Roman" w:hAnsi="Times New Roman" w:cs="Times New Roman"/>
          <w:noProof/>
          <w:color w:val="000000" w:themeColor="text1"/>
          <w:sz w:val="24"/>
        </w:rPr>
        <w:drawing>
          <wp:inline distT="0" distB="0" distL="0" distR="0" wp14:anchorId="5A64DEA9" wp14:editId="6ABED016">
            <wp:extent cx="5391785" cy="9836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785" cy="983615"/>
                    </a:xfrm>
                    <a:prstGeom prst="rect">
                      <a:avLst/>
                    </a:prstGeom>
                    <a:noFill/>
                    <a:ln>
                      <a:noFill/>
                    </a:ln>
                  </pic:spPr>
                </pic:pic>
              </a:graphicData>
            </a:graphic>
          </wp:inline>
        </w:drawing>
      </w:r>
    </w:p>
    <w:p w14:paraId="01E5A973"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62A2420B"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05CC92B8"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1425447C"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74C0FFE4"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2B25CC89"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6219D336" w14:textId="05EBD250"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85582A">
        <w:rPr>
          <w:rFonts w:ascii="Times New Roman" w:hAnsi="Times New Roman" w:cs="Times New Roman"/>
          <w:color w:val="000000" w:themeColor="text1"/>
          <w:sz w:val="24"/>
        </w:rPr>
        <w:lastRenderedPageBreak/>
        <w:t xml:space="preserve">Table </w:t>
      </w:r>
      <w:r>
        <w:rPr>
          <w:rFonts w:ascii="Times New Roman" w:hAnsi="Times New Roman" w:cs="Times New Roman"/>
          <w:color w:val="000000" w:themeColor="text1"/>
          <w:sz w:val="24"/>
        </w:rPr>
        <w:t>S</w:t>
      </w:r>
      <w:r w:rsidRPr="0085582A">
        <w:rPr>
          <w:rFonts w:ascii="Times New Roman" w:hAnsi="Times New Roman" w:cs="Times New Roman"/>
          <w:color w:val="000000" w:themeColor="text1"/>
          <w:sz w:val="24"/>
        </w:rPr>
        <w:t>7.</w:t>
      </w:r>
      <w:r w:rsidRPr="00381F08">
        <w:rPr>
          <w:rFonts w:ascii="Times New Roman" w:hAnsi="Times New Roman" w:cs="Times New Roman"/>
          <w:color w:val="000000" w:themeColor="text1"/>
          <w:sz w:val="24"/>
        </w:rPr>
        <w:t xml:space="preserve"> </w:t>
      </w:r>
      <w:r w:rsidR="008A2F6B">
        <w:rPr>
          <w:rFonts w:ascii="Times New Roman" w:hAnsi="Times New Roman" w:cs="Times New Roman"/>
          <w:color w:val="000000" w:themeColor="text1"/>
          <w:sz w:val="24"/>
        </w:rPr>
        <w:t>Summary of the</w:t>
      </w:r>
      <w:r>
        <w:rPr>
          <w:rFonts w:ascii="Times New Roman" w:hAnsi="Times New Roman" w:cs="Times New Roman"/>
          <w:color w:val="000000" w:themeColor="text1"/>
          <w:sz w:val="24"/>
        </w:rPr>
        <w:t xml:space="preserve"> model-averaged estimates of standardized coefficients</w:t>
      </w:r>
      <w:r w:rsidRPr="00381F08">
        <w:rPr>
          <w:rFonts w:ascii="Times New Roman" w:hAnsi="Times New Roman" w:cs="Times New Roman"/>
          <w:color w:val="000000" w:themeColor="text1"/>
          <w:sz w:val="24"/>
        </w:rPr>
        <w:t xml:space="preserve"> for species average relative growth rate (RGR, g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The linear mixed model was conducted with species RGR as a response variable, and species average LIE (light interception efficiency, MJ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LUE (light use efficiency, g MJ </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and their interactions with forest age (Age, year) as fixed variables.</w:t>
      </w:r>
      <w:r w:rsidRPr="00381F08">
        <w:rPr>
          <w:rFonts w:ascii="Times New Roman" w:hAnsi="Times New Roman" w:cs="Times New Roman"/>
          <w:color w:val="000000" w:themeColor="text1"/>
          <w:sz w:val="24"/>
          <w:lang w:val="en-GB"/>
        </w:rPr>
        <w:t xml:space="preserve"> As random variables, we included forest stands and species to account for the fact that tree species were nested within stands. RGR, LIE and LUE were log</w:t>
      </w:r>
      <w:r w:rsidRPr="00381F08">
        <w:rPr>
          <w:rFonts w:ascii="Times New Roman" w:hAnsi="Times New Roman" w:cs="Times New Roman"/>
          <w:color w:val="000000" w:themeColor="text1"/>
          <w:sz w:val="24"/>
          <w:vertAlign w:val="subscript"/>
          <w:lang w:val="en-GB"/>
        </w:rPr>
        <w:t>10</w:t>
      </w:r>
      <w:r w:rsidRPr="00381F08">
        <w:rPr>
          <w:rFonts w:ascii="Times New Roman" w:hAnsi="Times New Roman" w:cs="Times New Roman"/>
          <w:color w:val="000000" w:themeColor="text1"/>
          <w:sz w:val="24"/>
          <w:lang w:val="en-GB"/>
        </w:rPr>
        <w:t>-transformed prior to the standardization (eq. 8) to improve the model.</w:t>
      </w:r>
      <w:r w:rsidRPr="00381F08">
        <w:rPr>
          <w:rFonts w:ascii="Times New Roman" w:hAnsi="Times New Roman" w:cs="Times New Roman"/>
          <w:color w:val="000000" w:themeColor="text1"/>
          <w:sz w:val="24"/>
        </w:rPr>
        <w:t xml:space="preserve"> The most influential variables for each model were selected based on the best models with AICc (</w:t>
      </w:r>
      <w:r>
        <w:rPr>
          <w:rFonts w:ascii="Times New Roman" w:hAnsi="Times New Roman" w:cs="Times New Roman"/>
          <w:color w:val="000000" w:themeColor="text1"/>
          <w:sz w:val="24"/>
        </w:rPr>
        <w:t xml:space="preserve">sample-corrected </w:t>
      </w:r>
      <w:r w:rsidRPr="00381F08">
        <w:rPr>
          <w:rFonts w:ascii="Times New Roman" w:hAnsi="Times New Roman" w:cs="Times New Roman"/>
          <w:color w:val="000000" w:themeColor="text1"/>
          <w:sz w:val="24"/>
        </w:rPr>
        <w:t>Akaike information criterion) ≤ 2 (see method for the detail). Variance inflation factor (VIF) is shown for each predictor variable.</w:t>
      </w:r>
      <w:r w:rsidRPr="005C559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Because the model selection with AICc using a function “dredge” chose two or three best models in our analysis (Table </w:t>
      </w:r>
      <w:r>
        <w:rPr>
          <w:rFonts w:ascii="Times New Roman" w:hAnsi="Times New Roman" w:cs="Times New Roman"/>
          <w:color w:val="000000" w:themeColor="text1"/>
          <w:sz w:val="24"/>
        </w:rPr>
        <w:t>S</w:t>
      </w:r>
      <w:r>
        <w:rPr>
          <w:rFonts w:ascii="Times New Roman" w:hAnsi="Times New Roman" w:cs="Times New Roman"/>
          <w:color w:val="000000" w:themeColor="text1"/>
          <w:sz w:val="24"/>
        </w:rPr>
        <w:t>4), we attempted model averaging to reduce model selection uncertainly. With this, we calculated the model-averaged estimates of standardized coefficients and p-values for the averaged model using the best models by a function of “</w:t>
      </w:r>
      <w:r w:rsidRPr="005C5597">
        <w:rPr>
          <w:rFonts w:ascii="Times New Roman" w:hAnsi="Times New Roman" w:cs="Times New Roman"/>
          <w:color w:val="000000" w:themeColor="text1"/>
          <w:sz w:val="24"/>
        </w:rPr>
        <w:t>model.avg</w:t>
      </w:r>
      <w:r>
        <w:rPr>
          <w:rFonts w:ascii="Times New Roman" w:hAnsi="Times New Roman" w:cs="Times New Roman"/>
          <w:color w:val="000000" w:themeColor="text1"/>
          <w:sz w:val="24"/>
        </w:rPr>
        <w:t>” in the “AICcmodavg” package.</w:t>
      </w:r>
    </w:p>
    <w:p w14:paraId="13C8A798" w14:textId="77777777" w:rsidR="0085582A" w:rsidRPr="00B86839"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381F08">
        <w:rPr>
          <w:rFonts w:ascii="Times New Roman" w:hAnsi="Times New Roman" w:cs="Times New Roman"/>
          <w:noProof/>
          <w:color w:val="000000" w:themeColor="text1"/>
          <w:sz w:val="24"/>
        </w:rPr>
        <w:drawing>
          <wp:inline distT="0" distB="0" distL="0" distR="0" wp14:anchorId="3541BBE7" wp14:editId="35D25394">
            <wp:extent cx="5396230" cy="1346200"/>
            <wp:effectExtent l="0" t="0" r="0" b="6350"/>
            <wp:docPr id="17" name="Picture 17">
              <a:extLst xmlns:a="http://schemas.openxmlformats.org/drawingml/2006/main">
                <a:ext uri="{FF2B5EF4-FFF2-40B4-BE49-F238E27FC236}">
                  <a16:creationId xmlns:a16="http://schemas.microsoft.com/office/drawing/2014/main" id="{9AC9A4E3-1FC3-D66D-748E-C0760224E4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AC9A4E3-1FC3-D66D-748E-C0760224E478}"/>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6230" cy="1346200"/>
                    </a:xfrm>
                    <a:prstGeom prst="rect">
                      <a:avLst/>
                    </a:prstGeom>
                    <a:noFill/>
                  </pic:spPr>
                </pic:pic>
              </a:graphicData>
            </a:graphic>
          </wp:inline>
        </w:drawing>
      </w:r>
    </w:p>
    <w:p w14:paraId="13D2380E"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02BD2FA8"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2ED9E6D8" w14:textId="77777777" w:rsidR="0085582A" w:rsidRDefault="0085582A" w:rsidP="0085582A">
      <w:pPr>
        <w:autoSpaceDE w:val="0"/>
        <w:autoSpaceDN w:val="0"/>
        <w:adjustRightInd w:val="0"/>
        <w:spacing w:line="480" w:lineRule="auto"/>
        <w:rPr>
          <w:rFonts w:ascii="Times New Roman" w:hAnsi="Times New Roman" w:cs="Times New Roman"/>
          <w:b/>
          <w:bCs/>
          <w:color w:val="000000" w:themeColor="text1"/>
          <w:sz w:val="24"/>
        </w:rPr>
      </w:pPr>
    </w:p>
    <w:p w14:paraId="7879C9C1" w14:textId="6187ACDA"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85582A">
        <w:rPr>
          <w:rFonts w:ascii="Times New Roman" w:hAnsi="Times New Roman" w:cs="Times New Roman"/>
          <w:color w:val="000000" w:themeColor="text1"/>
          <w:sz w:val="24"/>
        </w:rPr>
        <w:lastRenderedPageBreak/>
        <w:t xml:space="preserve">Table </w:t>
      </w:r>
      <w:r w:rsidRPr="0085582A">
        <w:rPr>
          <w:rFonts w:ascii="Times New Roman" w:hAnsi="Times New Roman" w:cs="Times New Roman"/>
          <w:color w:val="000000" w:themeColor="text1"/>
          <w:sz w:val="24"/>
        </w:rPr>
        <w:t>S</w:t>
      </w:r>
      <w:r w:rsidRPr="0085582A">
        <w:rPr>
          <w:rFonts w:ascii="Times New Roman" w:hAnsi="Times New Roman" w:cs="Times New Roman"/>
          <w:color w:val="000000" w:themeColor="text1"/>
          <w:sz w:val="24"/>
        </w:rPr>
        <w:t>8.</w:t>
      </w:r>
      <w:r w:rsidRPr="00381F08">
        <w:rPr>
          <w:rFonts w:ascii="Times New Roman" w:hAnsi="Times New Roman" w:cs="Times New Roman"/>
          <w:b/>
          <w:bCs/>
          <w:color w:val="000000" w:themeColor="text1"/>
          <w:sz w:val="24"/>
        </w:rPr>
        <w:t xml:space="preserve"> </w:t>
      </w:r>
      <w:r w:rsidR="008A2F6B">
        <w:rPr>
          <w:rFonts w:ascii="Times New Roman" w:hAnsi="Times New Roman" w:cs="Times New Roman"/>
          <w:color w:val="000000" w:themeColor="text1"/>
          <w:sz w:val="24"/>
        </w:rPr>
        <w:t>Summary of the</w:t>
      </w:r>
      <w:r>
        <w:rPr>
          <w:rFonts w:ascii="Times New Roman" w:hAnsi="Times New Roman" w:cs="Times New Roman"/>
          <w:color w:val="000000" w:themeColor="text1"/>
          <w:sz w:val="24"/>
        </w:rPr>
        <w:t xml:space="preserve"> model-averaged estimates of standardized coefficients</w:t>
      </w:r>
      <w:r w:rsidRPr="00381F08">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for </w:t>
      </w:r>
      <w:r w:rsidRPr="00381F08">
        <w:rPr>
          <w:rFonts w:ascii="Times New Roman" w:hAnsi="Times New Roman" w:cs="Times New Roman"/>
          <w:color w:val="000000" w:themeColor="text1"/>
          <w:sz w:val="24"/>
        </w:rPr>
        <w:t>the effects of traits on a) light interception efficiency (LIE, MJ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year</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xml:space="preserve">) and b) light use efficiency (LUE, g MJ </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The linear mixed model was conducted with species average LIE as a response variable, and total tree photosynthetic mass of a horizontal crown layer (Mp, kg), tree height (H, m), wood density (WD, g cm</w:t>
      </w:r>
      <w:r w:rsidRPr="00381F08">
        <w:rPr>
          <w:rFonts w:ascii="Times New Roman" w:hAnsi="Times New Roman" w:cs="Times New Roman"/>
          <w:color w:val="000000" w:themeColor="text1"/>
          <w:sz w:val="24"/>
          <w:vertAlign w:val="superscript"/>
        </w:rPr>
        <w:t>-3</w:t>
      </w:r>
      <w:r w:rsidRPr="00381F08">
        <w:rPr>
          <w:rFonts w:ascii="Times New Roman" w:hAnsi="Times New Roman" w:cs="Times New Roman"/>
          <w:color w:val="000000" w:themeColor="text1"/>
          <w:sz w:val="24"/>
        </w:rPr>
        <w:t>), leaf mass per area (LMA, kg m</w:t>
      </w:r>
      <w:r w:rsidRPr="00381F08">
        <w:rPr>
          <w:rFonts w:ascii="Times New Roman" w:hAnsi="Times New Roman" w:cs="Times New Roman"/>
          <w:color w:val="000000" w:themeColor="text1"/>
          <w:sz w:val="24"/>
          <w:vertAlign w:val="superscript"/>
        </w:rPr>
        <w:t>-2</w:t>
      </w:r>
      <w:r w:rsidRPr="00381F08">
        <w:rPr>
          <w:rFonts w:ascii="Times New Roman" w:hAnsi="Times New Roman" w:cs="Times New Roman"/>
          <w:color w:val="000000" w:themeColor="text1"/>
          <w:sz w:val="24"/>
        </w:rPr>
        <w:t>), leaf area (LA, cm</w:t>
      </w:r>
      <w:r w:rsidRPr="00381F08">
        <w:rPr>
          <w:rFonts w:ascii="Times New Roman" w:hAnsi="Times New Roman" w:cs="Times New Roman"/>
          <w:color w:val="000000" w:themeColor="text1"/>
          <w:sz w:val="24"/>
          <w:vertAlign w:val="superscript"/>
        </w:rPr>
        <w:t>2</w:t>
      </w:r>
      <w:r w:rsidRPr="00381F08">
        <w:rPr>
          <w:rFonts w:ascii="Times New Roman" w:hAnsi="Times New Roman" w:cs="Times New Roman"/>
          <w:color w:val="000000" w:themeColor="text1"/>
          <w:sz w:val="24"/>
        </w:rPr>
        <w:t>) and their interactions with forest age as fixed variables.</w:t>
      </w:r>
      <w:r w:rsidRPr="00381F08">
        <w:rPr>
          <w:rFonts w:ascii="Times New Roman" w:hAnsi="Times New Roman" w:cs="Times New Roman"/>
          <w:color w:val="000000" w:themeColor="text1"/>
          <w:sz w:val="24"/>
          <w:lang w:val="en-GB"/>
        </w:rPr>
        <w:t xml:space="preserve"> Forest stands and species were included as random variable to account for the fact that tree species were nested within stands and to consider the species’ characteristics which we did not consider through functional traits but may influence the patterns. Similarly, we conducted the linear mixed model with species LUE </w:t>
      </w:r>
      <w:r w:rsidRPr="00381F08">
        <w:rPr>
          <w:rFonts w:ascii="Times New Roman" w:hAnsi="Times New Roman" w:cs="Times New Roman"/>
          <w:color w:val="000000" w:themeColor="text1"/>
          <w:sz w:val="24"/>
        </w:rPr>
        <w:t>as a response variable, and Mp, H, WD, LMA, leaf nitrogen concentration (LNC, mg g</w:t>
      </w:r>
      <w:r w:rsidRPr="00381F08">
        <w:rPr>
          <w:rFonts w:ascii="Times New Roman" w:hAnsi="Times New Roman" w:cs="Times New Roman"/>
          <w:color w:val="000000" w:themeColor="text1"/>
          <w:sz w:val="24"/>
          <w:vertAlign w:val="superscript"/>
        </w:rPr>
        <w:t>-1</w:t>
      </w:r>
      <w:r w:rsidRPr="00381F08">
        <w:rPr>
          <w:rFonts w:ascii="Times New Roman" w:hAnsi="Times New Roman" w:cs="Times New Roman"/>
          <w:color w:val="000000" w:themeColor="text1"/>
          <w:sz w:val="24"/>
        </w:rPr>
        <w:t>) and their interactions with forest age as fixed variables, and f</w:t>
      </w:r>
      <w:r w:rsidRPr="00381F08">
        <w:rPr>
          <w:rFonts w:ascii="Times New Roman" w:hAnsi="Times New Roman" w:cs="Times New Roman"/>
          <w:color w:val="000000" w:themeColor="text1"/>
          <w:sz w:val="24"/>
          <w:lang w:val="en-GB"/>
        </w:rPr>
        <w:t>orest stands and species as random variables. LIE, LUE and Mp were log</w:t>
      </w:r>
      <w:r w:rsidRPr="00381F08">
        <w:rPr>
          <w:rFonts w:ascii="Times New Roman" w:hAnsi="Times New Roman" w:cs="Times New Roman"/>
          <w:color w:val="000000" w:themeColor="text1"/>
          <w:sz w:val="24"/>
          <w:vertAlign w:val="subscript"/>
          <w:lang w:val="en-GB"/>
        </w:rPr>
        <w:t>10</w:t>
      </w:r>
      <w:r w:rsidRPr="00381F08">
        <w:rPr>
          <w:rFonts w:ascii="Times New Roman" w:hAnsi="Times New Roman" w:cs="Times New Roman"/>
          <w:color w:val="000000" w:themeColor="text1"/>
          <w:sz w:val="24"/>
          <w:lang w:val="en-GB"/>
        </w:rPr>
        <w:t>-transformed prior to the standardization (eq. 8) to improve the statistical models.</w:t>
      </w:r>
      <w:r w:rsidRPr="00381F08">
        <w:rPr>
          <w:rFonts w:ascii="Times New Roman" w:hAnsi="Times New Roman" w:cs="Times New Roman"/>
          <w:color w:val="000000" w:themeColor="text1"/>
          <w:sz w:val="24"/>
        </w:rPr>
        <w:t xml:space="preserve"> The most influential variables for each model were selected based on the best models with AICc (</w:t>
      </w:r>
      <w:r>
        <w:rPr>
          <w:rFonts w:ascii="Times New Roman" w:hAnsi="Times New Roman" w:cs="Times New Roman"/>
          <w:color w:val="000000" w:themeColor="text1"/>
          <w:sz w:val="24"/>
        </w:rPr>
        <w:t xml:space="preserve">sample-corrected </w:t>
      </w:r>
      <w:r w:rsidRPr="00381F08">
        <w:rPr>
          <w:rFonts w:ascii="Times New Roman" w:hAnsi="Times New Roman" w:cs="Times New Roman"/>
          <w:color w:val="000000" w:themeColor="text1"/>
          <w:sz w:val="24"/>
        </w:rPr>
        <w:t>Akaike information criterion) ≤ 2 (see method for the detail). Variance inflation factor (VIF) is shown for each predictor variable.</w:t>
      </w:r>
      <w:r w:rsidRPr="008F318A">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Because the model selection with AICc using a function “dredge” chose two or three best models in our analysis (Table </w:t>
      </w:r>
      <w:r>
        <w:rPr>
          <w:rFonts w:ascii="Times New Roman" w:hAnsi="Times New Roman" w:cs="Times New Roman"/>
          <w:color w:val="000000" w:themeColor="text1"/>
          <w:sz w:val="24"/>
        </w:rPr>
        <w:t>S</w:t>
      </w:r>
      <w:r>
        <w:rPr>
          <w:rFonts w:ascii="Times New Roman" w:hAnsi="Times New Roman" w:cs="Times New Roman"/>
          <w:color w:val="000000" w:themeColor="text1"/>
          <w:sz w:val="24"/>
        </w:rPr>
        <w:t>5), we attempted model averaging to reduce model selection uncertainly. With this, we calculated the model-averaged estimates of standardized coefficients and p-values for the averaged model using the best models by a function of “</w:t>
      </w:r>
      <w:r w:rsidRPr="005C5597">
        <w:rPr>
          <w:rFonts w:ascii="Times New Roman" w:hAnsi="Times New Roman" w:cs="Times New Roman"/>
          <w:color w:val="000000" w:themeColor="text1"/>
          <w:sz w:val="24"/>
        </w:rPr>
        <w:t>model.avg</w:t>
      </w:r>
      <w:r>
        <w:rPr>
          <w:rFonts w:ascii="Times New Roman" w:hAnsi="Times New Roman" w:cs="Times New Roman"/>
          <w:color w:val="000000" w:themeColor="text1"/>
          <w:sz w:val="24"/>
        </w:rPr>
        <w:t>” in the “AICcmodavg” package.</w:t>
      </w:r>
    </w:p>
    <w:p w14:paraId="733DE76C" w14:textId="77777777"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p>
    <w:p w14:paraId="28E4133F" w14:textId="77777777" w:rsidR="0085582A" w:rsidRPr="00381F08" w:rsidRDefault="0085582A" w:rsidP="0085582A">
      <w:pPr>
        <w:autoSpaceDE w:val="0"/>
        <w:autoSpaceDN w:val="0"/>
        <w:adjustRightInd w:val="0"/>
        <w:spacing w:line="480" w:lineRule="auto"/>
        <w:rPr>
          <w:rFonts w:ascii="Times New Roman" w:hAnsi="Times New Roman" w:cs="Times New Roman"/>
          <w:color w:val="000000" w:themeColor="text1"/>
          <w:sz w:val="24"/>
        </w:rPr>
      </w:pPr>
      <w:r w:rsidRPr="00381F08">
        <w:rPr>
          <w:rFonts w:ascii="Times New Roman" w:hAnsi="Times New Roman" w:cs="Times New Roman"/>
          <w:noProof/>
          <w:color w:val="000000" w:themeColor="text1"/>
          <w:sz w:val="24"/>
        </w:rPr>
        <w:lastRenderedPageBreak/>
        <w:drawing>
          <wp:inline distT="0" distB="0" distL="0" distR="0" wp14:anchorId="60DD1341" wp14:editId="1C389130">
            <wp:extent cx="5391785" cy="1371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1785" cy="1371600"/>
                    </a:xfrm>
                    <a:prstGeom prst="rect">
                      <a:avLst/>
                    </a:prstGeom>
                    <a:noFill/>
                    <a:ln>
                      <a:noFill/>
                    </a:ln>
                  </pic:spPr>
                </pic:pic>
              </a:graphicData>
            </a:graphic>
          </wp:inline>
        </w:drawing>
      </w:r>
      <w:r w:rsidRPr="00381F08">
        <w:rPr>
          <w:rFonts w:ascii="Times New Roman" w:hAnsi="Times New Roman" w:cs="Times New Roman"/>
          <w:noProof/>
          <w:color w:val="000000" w:themeColor="text1"/>
          <w:sz w:val="24"/>
        </w:rPr>
        <w:drawing>
          <wp:inline distT="0" distB="0" distL="0" distR="0" wp14:anchorId="4126997B" wp14:editId="00DAE29F">
            <wp:extent cx="5391785" cy="1190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1785" cy="1190625"/>
                    </a:xfrm>
                    <a:prstGeom prst="rect">
                      <a:avLst/>
                    </a:prstGeom>
                    <a:noFill/>
                    <a:ln>
                      <a:noFill/>
                    </a:ln>
                  </pic:spPr>
                </pic:pic>
              </a:graphicData>
            </a:graphic>
          </wp:inline>
        </w:drawing>
      </w:r>
    </w:p>
    <w:p w14:paraId="70F18A75" w14:textId="77777777" w:rsidR="00253E33" w:rsidRDefault="00253E33" w:rsidP="00A44A1F">
      <w:pPr>
        <w:autoSpaceDE w:val="0"/>
        <w:autoSpaceDN w:val="0"/>
        <w:adjustRightInd w:val="0"/>
        <w:spacing w:line="360" w:lineRule="auto"/>
        <w:rPr>
          <w:rFonts w:ascii="Times New Roman" w:hAnsi="Times New Roman" w:cs="Times New Roman"/>
          <w:color w:val="000000" w:themeColor="text1"/>
          <w:sz w:val="24"/>
        </w:rPr>
      </w:pPr>
    </w:p>
    <w:p w14:paraId="25702319" w14:textId="77777777" w:rsidR="00253E33" w:rsidRPr="003F5E9D" w:rsidRDefault="00253E33" w:rsidP="00A44A1F">
      <w:pPr>
        <w:autoSpaceDE w:val="0"/>
        <w:autoSpaceDN w:val="0"/>
        <w:adjustRightInd w:val="0"/>
        <w:spacing w:line="360" w:lineRule="auto"/>
        <w:rPr>
          <w:rFonts w:ascii="Times New Roman" w:hAnsi="Times New Roman" w:cs="Times New Roman"/>
          <w:color w:val="000000" w:themeColor="text1"/>
          <w:sz w:val="24"/>
        </w:rPr>
      </w:pPr>
    </w:p>
    <w:p w14:paraId="6D2EEA27" w14:textId="56C9F5E6" w:rsidR="006842A1" w:rsidRPr="008E7B79" w:rsidRDefault="00E54107" w:rsidP="00AE2BF6">
      <w:pPr>
        <w:autoSpaceDE w:val="0"/>
        <w:autoSpaceDN w:val="0"/>
        <w:adjustRightInd w:val="0"/>
        <w:spacing w:line="360" w:lineRule="auto"/>
        <w:rPr>
          <w:rFonts w:ascii="Times New Roman" w:hAnsi="Times New Roman" w:cs="Times New Roman"/>
          <w:color w:val="4472C4" w:themeColor="accent1"/>
          <w:sz w:val="24"/>
        </w:rPr>
      </w:pPr>
      <w:r w:rsidRPr="003F5E9D">
        <w:rPr>
          <w:rFonts w:ascii="Times New Roman" w:hAnsi="Times New Roman" w:cs="Times New Roman"/>
          <w:noProof/>
          <w:color w:val="000000" w:themeColor="text1"/>
          <w:sz w:val="24"/>
          <w:lang w:val="es-ES" w:eastAsia="es-ES"/>
        </w:rPr>
        <w:lastRenderedPageBreak/>
        <w:drawing>
          <wp:inline distT="0" distB="0" distL="0" distR="0" wp14:anchorId="1FC29172" wp14:editId="28DB4224">
            <wp:extent cx="5396230" cy="5396230"/>
            <wp:effectExtent l="0" t="0" r="1270" b="1270"/>
            <wp:docPr id="602102508" name="図 3" descr="ダイアグラム, 設計図,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02508" name="図 3" descr="ダイアグラム, 設計図, 概略図&#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6230" cy="5396230"/>
                    </a:xfrm>
                    <a:prstGeom prst="rect">
                      <a:avLst/>
                    </a:prstGeom>
                  </pic:spPr>
                </pic:pic>
              </a:graphicData>
            </a:graphic>
          </wp:inline>
        </w:drawing>
      </w:r>
    </w:p>
    <w:p w14:paraId="3BBFD54A" w14:textId="0F3F46E8" w:rsidR="00B266D5" w:rsidRPr="003F5E9D" w:rsidRDefault="006842A1" w:rsidP="00AE2BF6">
      <w:pPr>
        <w:autoSpaceDE w:val="0"/>
        <w:autoSpaceDN w:val="0"/>
        <w:adjustRightInd w:val="0"/>
        <w:spacing w:line="360" w:lineRule="auto"/>
        <w:rPr>
          <w:rFonts w:ascii="Times New Roman" w:hAnsi="Times New Roman" w:cs="Times New Roman"/>
          <w:color w:val="000000" w:themeColor="text1"/>
          <w:sz w:val="24"/>
        </w:rPr>
      </w:pPr>
      <w:r w:rsidRPr="003F5E9D">
        <w:rPr>
          <w:rFonts w:ascii="Times New Roman" w:hAnsi="Times New Roman" w:cs="Times New Roman"/>
          <w:color w:val="000000" w:themeColor="text1"/>
          <w:sz w:val="24"/>
        </w:rPr>
        <w:t>F</w:t>
      </w:r>
      <w:r w:rsidR="00123B4F">
        <w:rPr>
          <w:rFonts w:ascii="Times New Roman" w:hAnsi="Times New Roman" w:cs="Times New Roman"/>
          <w:color w:val="000000" w:themeColor="text1"/>
          <w:sz w:val="24"/>
        </w:rPr>
        <w:t>igure</w:t>
      </w:r>
      <w:r w:rsidRPr="003F5E9D">
        <w:rPr>
          <w:rFonts w:ascii="Times New Roman" w:hAnsi="Times New Roman" w:cs="Times New Roman"/>
          <w:color w:val="000000" w:themeColor="text1"/>
          <w:sz w:val="24"/>
        </w:rPr>
        <w:t xml:space="preserve"> S1. </w:t>
      </w:r>
      <w:r w:rsidR="00E54107" w:rsidRPr="003F5E9D">
        <w:rPr>
          <w:rFonts w:ascii="Times New Roman" w:hAnsi="Times New Roman" w:cs="Times New Roman"/>
          <w:color w:val="000000" w:themeColor="text1"/>
          <w:sz w:val="24"/>
        </w:rPr>
        <w:t>Forest and light</w:t>
      </w:r>
      <w:r w:rsidRPr="003F5E9D">
        <w:rPr>
          <w:rFonts w:ascii="Times New Roman" w:hAnsi="Times New Roman" w:cs="Times New Roman"/>
          <w:color w:val="000000" w:themeColor="text1"/>
          <w:sz w:val="24"/>
        </w:rPr>
        <w:t xml:space="preserve"> attributes during succession. </w:t>
      </w:r>
      <w:r w:rsidR="00E54107" w:rsidRPr="003F5E9D">
        <w:rPr>
          <w:rFonts w:ascii="Times New Roman" w:hAnsi="Times New Roman" w:cs="Times New Roman"/>
          <w:color w:val="000000" w:themeColor="text1"/>
          <w:sz w:val="24"/>
        </w:rPr>
        <w:t xml:space="preserve">a) canopy height (the heights of tallest tree: closed circles and </w:t>
      </w:r>
      <w:r w:rsidR="000601CC" w:rsidRPr="003F5E9D">
        <w:rPr>
          <w:rFonts w:ascii="Times New Roman" w:hAnsi="Times New Roman" w:cs="Times New Roman"/>
          <w:color w:val="000000" w:themeColor="text1"/>
          <w:sz w:val="24"/>
        </w:rPr>
        <w:t>the height of the top 5% tallest trees</w:t>
      </w:r>
      <w:r w:rsidR="00E54107" w:rsidRPr="003F5E9D">
        <w:rPr>
          <w:rFonts w:ascii="Times New Roman" w:hAnsi="Times New Roman" w:cs="Times New Roman"/>
          <w:color w:val="000000" w:themeColor="text1"/>
          <w:sz w:val="24"/>
        </w:rPr>
        <w:t>: open circles), b</w:t>
      </w:r>
      <w:r w:rsidRPr="003F5E9D">
        <w:rPr>
          <w:rFonts w:ascii="Times New Roman" w:hAnsi="Times New Roman" w:cs="Times New Roman"/>
          <w:color w:val="000000" w:themeColor="text1"/>
          <w:sz w:val="24"/>
        </w:rPr>
        <w:t xml:space="preserve">) </w:t>
      </w:r>
      <w:r w:rsidR="00E54107" w:rsidRPr="003F5E9D">
        <w:rPr>
          <w:rFonts w:ascii="Times New Roman" w:hAnsi="Times New Roman" w:cs="Times New Roman"/>
          <w:color w:val="000000" w:themeColor="text1"/>
          <w:sz w:val="24"/>
        </w:rPr>
        <w:t>numbers of tree individuals</w:t>
      </w:r>
      <w:r w:rsidR="009D2A35">
        <w:rPr>
          <w:rFonts w:ascii="Times New Roman" w:hAnsi="Times New Roman" w:cs="Times New Roman"/>
          <w:color w:val="000000" w:themeColor="text1"/>
          <w:sz w:val="24"/>
        </w:rPr>
        <w:t xml:space="preserve"> (Tree density)</w:t>
      </w:r>
      <w:r w:rsidRPr="003F5E9D">
        <w:rPr>
          <w:rFonts w:ascii="Times New Roman" w:hAnsi="Times New Roman" w:cs="Times New Roman"/>
          <w:color w:val="000000" w:themeColor="text1"/>
          <w:sz w:val="24"/>
        </w:rPr>
        <w:t>, (</w:t>
      </w:r>
      <w:r w:rsidR="00E54107" w:rsidRPr="003F5E9D">
        <w:rPr>
          <w:rFonts w:ascii="Times New Roman" w:hAnsi="Times New Roman" w:cs="Times New Roman"/>
          <w:color w:val="000000" w:themeColor="text1"/>
          <w:sz w:val="24"/>
        </w:rPr>
        <w:t>c</w:t>
      </w:r>
      <w:r w:rsidRPr="003F5E9D">
        <w:rPr>
          <w:rFonts w:ascii="Times New Roman" w:hAnsi="Times New Roman" w:cs="Times New Roman"/>
          <w:color w:val="000000" w:themeColor="text1"/>
          <w:sz w:val="24"/>
        </w:rPr>
        <w:t>)</w:t>
      </w:r>
      <w:r w:rsidR="00E54107" w:rsidRPr="003F5E9D">
        <w:rPr>
          <w:rFonts w:ascii="Times New Roman" w:hAnsi="Times New Roman" w:cs="Times New Roman"/>
          <w:color w:val="000000" w:themeColor="text1"/>
          <w:sz w:val="24"/>
        </w:rPr>
        <w:t xml:space="preserve"> total aboveground biomass</w:t>
      </w:r>
      <w:r w:rsidR="009D2A35">
        <w:rPr>
          <w:rFonts w:ascii="Times New Roman" w:hAnsi="Times New Roman" w:cs="Times New Roman"/>
          <w:color w:val="000000" w:themeColor="text1"/>
          <w:sz w:val="24"/>
        </w:rPr>
        <w:t xml:space="preserve"> (AGB)</w:t>
      </w:r>
      <w:r w:rsidR="00E54107" w:rsidRPr="003F5E9D">
        <w:rPr>
          <w:rFonts w:ascii="Times New Roman" w:hAnsi="Times New Roman" w:cs="Times New Roman"/>
          <w:color w:val="000000" w:themeColor="text1"/>
          <w:sz w:val="24"/>
        </w:rPr>
        <w:t>, d) numbers of species</w:t>
      </w:r>
      <w:r w:rsidR="009D2A35">
        <w:rPr>
          <w:rFonts w:ascii="Times New Roman" w:hAnsi="Times New Roman" w:cs="Times New Roman"/>
          <w:color w:val="000000" w:themeColor="text1"/>
          <w:sz w:val="24"/>
        </w:rPr>
        <w:t xml:space="preserve"> (species richness)</w:t>
      </w:r>
      <w:r w:rsidR="00E54107" w:rsidRPr="003F5E9D">
        <w:rPr>
          <w:rFonts w:ascii="Times New Roman" w:hAnsi="Times New Roman" w:cs="Times New Roman"/>
          <w:color w:val="000000" w:themeColor="text1"/>
          <w:sz w:val="24"/>
        </w:rPr>
        <w:t xml:space="preserve">, median values of e) </w:t>
      </w:r>
      <w:r w:rsidR="009D2A35" w:rsidRPr="009D2A35">
        <w:rPr>
          <w:rFonts w:ascii="Times New Roman" w:hAnsi="Times New Roman" w:cs="Times New Roman"/>
          <w:color w:val="000000" w:themeColor="text1"/>
          <w:sz w:val="24"/>
        </w:rPr>
        <w:t>RGR (relative growth rate)</w:t>
      </w:r>
      <w:r w:rsidR="00E54107" w:rsidRPr="009D2A35">
        <w:rPr>
          <w:rFonts w:ascii="Times New Roman" w:hAnsi="Times New Roman" w:cs="Times New Roman"/>
          <w:color w:val="000000" w:themeColor="text1"/>
          <w:sz w:val="24"/>
        </w:rPr>
        <w:t>, f) LIE</w:t>
      </w:r>
      <w:r w:rsidR="009D2A35" w:rsidRPr="009D2A35">
        <w:rPr>
          <w:rFonts w:ascii="Times New Roman" w:hAnsi="Times New Roman" w:cs="Times New Roman"/>
          <w:color w:val="000000" w:themeColor="text1"/>
          <w:sz w:val="24"/>
        </w:rPr>
        <w:t xml:space="preserve"> (light interception efficiency)</w:t>
      </w:r>
      <w:r w:rsidR="00E54107" w:rsidRPr="009D2A35">
        <w:rPr>
          <w:rFonts w:ascii="Times New Roman" w:hAnsi="Times New Roman" w:cs="Times New Roman"/>
          <w:color w:val="000000" w:themeColor="text1"/>
          <w:sz w:val="24"/>
        </w:rPr>
        <w:t>, and g) LUE</w:t>
      </w:r>
      <w:r w:rsidR="009D2A35" w:rsidRPr="009D2A35">
        <w:rPr>
          <w:rFonts w:ascii="Times New Roman" w:hAnsi="Times New Roman" w:cs="Times New Roman"/>
          <w:color w:val="000000" w:themeColor="text1"/>
          <w:sz w:val="24"/>
        </w:rPr>
        <w:t xml:space="preserve"> (light use efficiency)</w:t>
      </w:r>
      <w:r w:rsidR="00E54107" w:rsidRPr="009D2A35">
        <w:rPr>
          <w:rFonts w:ascii="Times New Roman" w:hAnsi="Times New Roman" w:cs="Times New Roman"/>
          <w:color w:val="000000" w:themeColor="text1"/>
          <w:sz w:val="24"/>
        </w:rPr>
        <w:t>, and mean an</w:t>
      </w:r>
      <w:r w:rsidR="00E54107" w:rsidRPr="003F5E9D">
        <w:rPr>
          <w:rFonts w:ascii="Times New Roman" w:hAnsi="Times New Roman" w:cs="Times New Roman"/>
          <w:color w:val="000000" w:themeColor="text1"/>
          <w:sz w:val="24"/>
        </w:rPr>
        <w:t>d standard deviation (SD) of relative light intensity (RLI</w:t>
      </w:r>
      <w:r w:rsidR="009D2A35">
        <w:rPr>
          <w:rFonts w:ascii="Times New Roman" w:hAnsi="Times New Roman" w:cs="Times New Roman"/>
          <w:color w:val="000000" w:themeColor="text1"/>
          <w:sz w:val="24"/>
        </w:rPr>
        <w:t>, %</w:t>
      </w:r>
      <w:r w:rsidR="00E54107" w:rsidRPr="003F5E9D">
        <w:rPr>
          <w:rFonts w:ascii="Times New Roman" w:hAnsi="Times New Roman" w:cs="Times New Roman"/>
          <w:color w:val="000000" w:themeColor="text1"/>
          <w:sz w:val="24"/>
        </w:rPr>
        <w:t xml:space="preserve">) at 1 m from the ground </w:t>
      </w:r>
      <w:r w:rsidRPr="003F5E9D">
        <w:rPr>
          <w:rFonts w:ascii="Times New Roman" w:hAnsi="Times New Roman" w:cs="Times New Roman"/>
          <w:color w:val="000000" w:themeColor="text1"/>
          <w:sz w:val="24"/>
        </w:rPr>
        <w:t xml:space="preserve">versus forest age. </w:t>
      </w:r>
      <w:r w:rsidR="00B266D5">
        <w:rPr>
          <w:rFonts w:ascii="Times New Roman" w:hAnsi="Times New Roman" w:cs="Times New Roman"/>
          <w:color w:val="000000" w:themeColor="text1"/>
          <w:sz w:val="24"/>
        </w:rPr>
        <w:t>Due to</w:t>
      </w:r>
      <w:r w:rsidR="00E54107" w:rsidRPr="003F5E9D">
        <w:rPr>
          <w:rFonts w:ascii="Times New Roman" w:hAnsi="Times New Roman" w:cs="Times New Roman"/>
          <w:color w:val="000000" w:themeColor="text1"/>
          <w:sz w:val="24"/>
        </w:rPr>
        <w:t xml:space="preserve"> the several gap formations </w:t>
      </w:r>
      <w:r w:rsidR="00B266D5">
        <w:rPr>
          <w:rFonts w:ascii="Times New Roman" w:hAnsi="Times New Roman" w:cs="Times New Roman"/>
          <w:color w:val="000000" w:themeColor="text1"/>
          <w:sz w:val="24"/>
        </w:rPr>
        <w:t xml:space="preserve">and associated frequent sunflecks </w:t>
      </w:r>
      <w:r w:rsidR="00E54107" w:rsidRPr="003F5E9D">
        <w:rPr>
          <w:rFonts w:ascii="Times New Roman" w:hAnsi="Times New Roman" w:cs="Times New Roman"/>
          <w:color w:val="000000" w:themeColor="text1"/>
          <w:sz w:val="24"/>
        </w:rPr>
        <w:t>in one of the 32-year-old forests, median value of LUE was relatively high.</w:t>
      </w:r>
    </w:p>
    <w:p w14:paraId="7450AED7" w14:textId="77777777" w:rsidR="00880BC0" w:rsidRPr="003F5E9D" w:rsidRDefault="00880BC0" w:rsidP="00880BC0">
      <w:pPr>
        <w:spacing w:line="480" w:lineRule="auto"/>
        <w:contextualSpacing/>
        <w:mirrorIndents/>
        <w:rPr>
          <w:rFonts w:ascii="Times New Roman" w:hAnsi="Times New Roman" w:cs="Times New Roman"/>
          <w:color w:val="000000" w:themeColor="text1"/>
        </w:rPr>
      </w:pPr>
      <w:r w:rsidRPr="003F5E9D">
        <w:rPr>
          <w:rFonts w:ascii="Times New Roman" w:eastAsiaTheme="minorHAnsi" w:hAnsi="Times New Roman" w:cs="Times New Roman"/>
          <w:noProof/>
          <w:color w:val="000000" w:themeColor="text1"/>
        </w:rPr>
        <w:lastRenderedPageBreak/>
        <w:drawing>
          <wp:inline distT="0" distB="0" distL="0" distR="0" wp14:anchorId="647CB746" wp14:editId="1F8FF0C4">
            <wp:extent cx="3606800" cy="2781300"/>
            <wp:effectExtent l="0" t="0" r="0" b="0"/>
            <wp:docPr id="1960312661" name="図 3"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12661" name="図 3" descr="グラフ, 箱ひげ図&#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3606800" cy="2781300"/>
                    </a:xfrm>
                    <a:prstGeom prst="rect">
                      <a:avLst/>
                    </a:prstGeom>
                  </pic:spPr>
                </pic:pic>
              </a:graphicData>
            </a:graphic>
          </wp:inline>
        </w:drawing>
      </w:r>
    </w:p>
    <w:p w14:paraId="5E3DFFDD" w14:textId="6A0220F0" w:rsidR="00880BC0" w:rsidRPr="003F5E9D" w:rsidRDefault="00880BC0" w:rsidP="00880BC0">
      <w:pPr>
        <w:spacing w:line="480" w:lineRule="auto"/>
        <w:contextualSpacing/>
        <w:mirrorIndents/>
        <w:rPr>
          <w:rFonts w:ascii="Times New Roman" w:hAnsi="Times New Roman" w:cs="Times New Roman"/>
          <w:color w:val="000000" w:themeColor="text1"/>
          <w:sz w:val="24"/>
          <w:lang w:val="en-GB"/>
        </w:rPr>
      </w:pPr>
      <w:r w:rsidRPr="003F5E9D">
        <w:rPr>
          <w:rFonts w:ascii="Times New Roman" w:hAnsi="Times New Roman" w:cs="Times New Roman"/>
          <w:color w:val="000000" w:themeColor="text1"/>
          <w:sz w:val="24"/>
        </w:rPr>
        <w:t>F</w:t>
      </w:r>
      <w:r w:rsidR="00123B4F">
        <w:rPr>
          <w:rFonts w:ascii="Times New Roman" w:hAnsi="Times New Roman" w:cs="Times New Roman"/>
          <w:color w:val="000000" w:themeColor="text1"/>
          <w:sz w:val="24"/>
        </w:rPr>
        <w:t>igure</w:t>
      </w:r>
      <w:r w:rsidRPr="003F5E9D">
        <w:rPr>
          <w:rFonts w:ascii="Times New Roman" w:hAnsi="Times New Roman" w:cs="Times New Roman"/>
          <w:color w:val="000000" w:themeColor="text1"/>
          <w:sz w:val="24"/>
        </w:rPr>
        <w:t xml:space="preserve"> S2. Standardized regression coefficient for the changes in species dominance. The linear mixed model was conducted with changes in species dominance as a response variable, and species average RGR (relative growth rate, g g</w:t>
      </w:r>
      <w:r w:rsidRPr="003F5E9D">
        <w:rPr>
          <w:rFonts w:ascii="Times New Roman" w:hAnsi="Times New Roman" w:cs="Times New Roman"/>
          <w:color w:val="000000" w:themeColor="text1"/>
          <w:sz w:val="24"/>
          <w:vertAlign w:val="superscript"/>
        </w:rPr>
        <w:t>-1</w:t>
      </w:r>
      <w:r w:rsidRPr="003F5E9D">
        <w:rPr>
          <w:rFonts w:ascii="Times New Roman" w:hAnsi="Times New Roman" w:cs="Times New Roman"/>
          <w:color w:val="000000" w:themeColor="text1"/>
          <w:sz w:val="24"/>
        </w:rPr>
        <w:t xml:space="preserve"> year</w:t>
      </w:r>
      <w:r w:rsidRPr="003F5E9D">
        <w:rPr>
          <w:rFonts w:ascii="Times New Roman" w:hAnsi="Times New Roman" w:cs="Times New Roman"/>
          <w:color w:val="000000" w:themeColor="text1"/>
          <w:sz w:val="24"/>
          <w:vertAlign w:val="superscript"/>
        </w:rPr>
        <w:t>-1</w:t>
      </w:r>
      <w:r w:rsidRPr="003F5E9D">
        <w:rPr>
          <w:rFonts w:ascii="Times New Roman" w:hAnsi="Times New Roman" w:cs="Times New Roman"/>
          <w:color w:val="000000" w:themeColor="text1"/>
          <w:sz w:val="24"/>
        </w:rPr>
        <w:t>) and its interaction with forest age as fixed variables.</w:t>
      </w:r>
      <w:r w:rsidRPr="003F5E9D">
        <w:rPr>
          <w:rFonts w:ascii="Times New Roman" w:hAnsi="Times New Roman" w:cs="Times New Roman"/>
          <w:color w:val="000000" w:themeColor="text1"/>
          <w:sz w:val="24"/>
          <w:lang w:val="en-GB"/>
        </w:rPr>
        <w:t xml:space="preserve"> As random variables, we included forest stands and species to account for the fact that tree species were nested within stands. Changes in species dominance and RGR were log</w:t>
      </w:r>
      <w:r w:rsidRPr="003F5E9D">
        <w:rPr>
          <w:rFonts w:ascii="Times New Roman" w:hAnsi="Times New Roman" w:cs="Times New Roman"/>
          <w:color w:val="000000" w:themeColor="text1"/>
          <w:sz w:val="24"/>
          <w:vertAlign w:val="subscript"/>
          <w:lang w:val="en-GB"/>
        </w:rPr>
        <w:t>10</w:t>
      </w:r>
      <w:r w:rsidRPr="003F5E9D">
        <w:rPr>
          <w:rFonts w:ascii="Times New Roman" w:hAnsi="Times New Roman" w:cs="Times New Roman"/>
          <w:color w:val="000000" w:themeColor="text1"/>
          <w:sz w:val="24"/>
          <w:lang w:val="en-GB"/>
        </w:rPr>
        <w:t>-transformed prior to the standardization (eq. 8) to improve the model.</w:t>
      </w:r>
      <w:r w:rsidRPr="003F5E9D">
        <w:rPr>
          <w:rFonts w:ascii="Times New Roman" w:hAnsi="Times New Roman" w:cs="Times New Roman"/>
          <w:color w:val="000000" w:themeColor="text1"/>
          <w:sz w:val="24"/>
        </w:rPr>
        <w:t xml:space="preserve"> </w:t>
      </w:r>
      <w:r w:rsidR="00303D47" w:rsidRPr="003F5E9D">
        <w:rPr>
          <w:rFonts w:ascii="Times New Roman" w:hAnsi="Times New Roman" w:cs="Times New Roman"/>
          <w:color w:val="000000" w:themeColor="text1"/>
          <w:sz w:val="24"/>
        </w:rPr>
        <w:t xml:space="preserve">The most influential variables for each model were selected based on </w:t>
      </w:r>
      <w:r w:rsidR="00303D47">
        <w:rPr>
          <w:rFonts w:ascii="Times New Roman" w:hAnsi="Times New Roman" w:cs="Times New Roman"/>
          <w:color w:val="000000" w:themeColor="text1"/>
          <w:sz w:val="24"/>
        </w:rPr>
        <w:t xml:space="preserve">the best models with AICc (Akaike information criterion) </w:t>
      </w:r>
      <w:r w:rsidR="00303D47" w:rsidRPr="00E556A6">
        <w:rPr>
          <w:rFonts w:ascii="Times New Roman" w:hAnsi="Times New Roman" w:cs="Times New Roman"/>
          <w:color w:val="000000" w:themeColor="text1"/>
          <w:sz w:val="24"/>
        </w:rPr>
        <w:t>≤ 2</w:t>
      </w:r>
      <w:r w:rsidR="00303D47" w:rsidRPr="003F5E9D">
        <w:rPr>
          <w:rFonts w:ascii="Times New Roman" w:hAnsi="Times New Roman" w:cs="Times New Roman"/>
          <w:color w:val="000000" w:themeColor="text1"/>
          <w:sz w:val="24"/>
        </w:rPr>
        <w:t xml:space="preserve"> (see method for the detail).</w:t>
      </w:r>
      <w:r w:rsidRPr="003F5E9D">
        <w:rPr>
          <w:rFonts w:ascii="Times New Roman" w:hAnsi="Times New Roman" w:cs="Times New Roman"/>
          <w:color w:val="000000" w:themeColor="text1"/>
          <w:sz w:val="24"/>
        </w:rPr>
        <w:t xml:space="preserve"> Lines represent 95% confidence intervals, while circles represent the model estimated value. A filled black circle represents a significant parameter at </w:t>
      </w:r>
      <w:r w:rsidR="00B266D5">
        <w:rPr>
          <w:rFonts w:ascii="Times New Roman" w:hAnsi="Times New Roman" w:cs="Times New Roman"/>
          <w:color w:val="000000" w:themeColor="text1"/>
          <w:sz w:val="24"/>
        </w:rPr>
        <w:t>P &lt;</w:t>
      </w:r>
      <w:r w:rsidRPr="003F5E9D">
        <w:rPr>
          <w:rFonts w:ascii="Times New Roman" w:hAnsi="Times New Roman" w:cs="Times New Roman"/>
          <w:color w:val="000000" w:themeColor="text1"/>
          <w:sz w:val="24"/>
        </w:rPr>
        <w:t xml:space="preserve"> 0.05. Refer to Table S3</w:t>
      </w:r>
      <w:r w:rsidR="00971271">
        <w:rPr>
          <w:rFonts w:ascii="Times New Roman" w:hAnsi="Times New Roman" w:cs="Times New Roman"/>
          <w:color w:val="000000" w:themeColor="text1"/>
          <w:sz w:val="24"/>
        </w:rPr>
        <w:t>, S4</w:t>
      </w:r>
      <w:r w:rsidRPr="003F5E9D">
        <w:rPr>
          <w:rFonts w:ascii="Times New Roman" w:hAnsi="Times New Roman" w:cs="Times New Roman"/>
          <w:color w:val="000000" w:themeColor="text1"/>
          <w:sz w:val="24"/>
        </w:rPr>
        <w:t xml:space="preserve"> for details.</w:t>
      </w:r>
    </w:p>
    <w:sectPr w:rsidR="00880BC0" w:rsidRPr="003F5E9D" w:rsidSect="0085582A">
      <w:pgSz w:w="11900" w:h="16840" w:code="9"/>
      <w:pgMar w:top="1985" w:right="1701" w:bottom="1701" w:left="1701"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99FD0" w14:textId="77777777" w:rsidR="00101C73" w:rsidRDefault="00101C73" w:rsidP="00E02820">
      <w:r>
        <w:separator/>
      </w:r>
    </w:p>
  </w:endnote>
  <w:endnote w:type="continuationSeparator" w:id="0">
    <w:p w14:paraId="095E203B" w14:textId="77777777" w:rsidR="00101C73" w:rsidRDefault="00101C73" w:rsidP="00E0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44A66" w14:textId="77777777" w:rsidR="00101C73" w:rsidRDefault="00101C73" w:rsidP="00E02820">
      <w:r>
        <w:separator/>
      </w:r>
    </w:p>
  </w:footnote>
  <w:footnote w:type="continuationSeparator" w:id="0">
    <w:p w14:paraId="770E132F" w14:textId="77777777" w:rsidR="00101C73" w:rsidRDefault="00101C73" w:rsidP="00E028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0C8B"/>
    <w:rsid w:val="000026E1"/>
    <w:rsid w:val="0000302A"/>
    <w:rsid w:val="000047E0"/>
    <w:rsid w:val="00004EBA"/>
    <w:rsid w:val="0001498A"/>
    <w:rsid w:val="000167E6"/>
    <w:rsid w:val="00050839"/>
    <w:rsid w:val="00056121"/>
    <w:rsid w:val="000570CD"/>
    <w:rsid w:val="000601CC"/>
    <w:rsid w:val="00071EA0"/>
    <w:rsid w:val="00081959"/>
    <w:rsid w:val="000953CD"/>
    <w:rsid w:val="0009623D"/>
    <w:rsid w:val="00097443"/>
    <w:rsid w:val="000B0FB7"/>
    <w:rsid w:val="000C0908"/>
    <w:rsid w:val="000C3B53"/>
    <w:rsid w:val="000C4ED4"/>
    <w:rsid w:val="000D7806"/>
    <w:rsid w:val="000F1FEF"/>
    <w:rsid w:val="000F6114"/>
    <w:rsid w:val="00100C8B"/>
    <w:rsid w:val="00101C73"/>
    <w:rsid w:val="00101D79"/>
    <w:rsid w:val="001022CD"/>
    <w:rsid w:val="0011253F"/>
    <w:rsid w:val="001146B8"/>
    <w:rsid w:val="00114F07"/>
    <w:rsid w:val="001239AA"/>
    <w:rsid w:val="00123B4F"/>
    <w:rsid w:val="00123E70"/>
    <w:rsid w:val="0012781F"/>
    <w:rsid w:val="00146A52"/>
    <w:rsid w:val="001566C2"/>
    <w:rsid w:val="00156D6E"/>
    <w:rsid w:val="00160522"/>
    <w:rsid w:val="001A76F1"/>
    <w:rsid w:val="001D1DD8"/>
    <w:rsid w:val="001E0DEA"/>
    <w:rsid w:val="001E7691"/>
    <w:rsid w:val="001F6216"/>
    <w:rsid w:val="00210573"/>
    <w:rsid w:val="00211DCD"/>
    <w:rsid w:val="002426B3"/>
    <w:rsid w:val="00253E33"/>
    <w:rsid w:val="00266556"/>
    <w:rsid w:val="00266FE0"/>
    <w:rsid w:val="00276B9C"/>
    <w:rsid w:val="00297BC0"/>
    <w:rsid w:val="002A14B8"/>
    <w:rsid w:val="002A616B"/>
    <w:rsid w:val="002B236E"/>
    <w:rsid w:val="002C6BFC"/>
    <w:rsid w:val="002D0C6D"/>
    <w:rsid w:val="002D496B"/>
    <w:rsid w:val="002E45D8"/>
    <w:rsid w:val="002F06FE"/>
    <w:rsid w:val="002F49F0"/>
    <w:rsid w:val="002F51ED"/>
    <w:rsid w:val="002F7E8D"/>
    <w:rsid w:val="00301B80"/>
    <w:rsid w:val="00303D47"/>
    <w:rsid w:val="00305F8A"/>
    <w:rsid w:val="00314F84"/>
    <w:rsid w:val="0031627E"/>
    <w:rsid w:val="00320AF3"/>
    <w:rsid w:val="00331294"/>
    <w:rsid w:val="003313B4"/>
    <w:rsid w:val="00336485"/>
    <w:rsid w:val="00336DD6"/>
    <w:rsid w:val="00342AE0"/>
    <w:rsid w:val="00351E9C"/>
    <w:rsid w:val="0039681E"/>
    <w:rsid w:val="003B243F"/>
    <w:rsid w:val="003B2833"/>
    <w:rsid w:val="003C2555"/>
    <w:rsid w:val="003E3F59"/>
    <w:rsid w:val="003F2D22"/>
    <w:rsid w:val="003F5E9D"/>
    <w:rsid w:val="00402FA8"/>
    <w:rsid w:val="00430D7E"/>
    <w:rsid w:val="00452EFE"/>
    <w:rsid w:val="0045668F"/>
    <w:rsid w:val="00497E56"/>
    <w:rsid w:val="004A0A47"/>
    <w:rsid w:val="004A6A15"/>
    <w:rsid w:val="004B3B30"/>
    <w:rsid w:val="004C10E5"/>
    <w:rsid w:val="004D0EB1"/>
    <w:rsid w:val="004E58B6"/>
    <w:rsid w:val="005002CC"/>
    <w:rsid w:val="00526D25"/>
    <w:rsid w:val="00527BAC"/>
    <w:rsid w:val="005841E6"/>
    <w:rsid w:val="005870ED"/>
    <w:rsid w:val="005A2B91"/>
    <w:rsid w:val="005B4F81"/>
    <w:rsid w:val="005D3AA6"/>
    <w:rsid w:val="005E2C25"/>
    <w:rsid w:val="005E7B4F"/>
    <w:rsid w:val="005F2D23"/>
    <w:rsid w:val="00610702"/>
    <w:rsid w:val="00614E56"/>
    <w:rsid w:val="00617FB0"/>
    <w:rsid w:val="0062147F"/>
    <w:rsid w:val="006229DF"/>
    <w:rsid w:val="006257A6"/>
    <w:rsid w:val="00650D73"/>
    <w:rsid w:val="00661E03"/>
    <w:rsid w:val="00677715"/>
    <w:rsid w:val="006842A1"/>
    <w:rsid w:val="006B0217"/>
    <w:rsid w:val="006B4AE4"/>
    <w:rsid w:val="006C2CDC"/>
    <w:rsid w:val="006C4973"/>
    <w:rsid w:val="006D165F"/>
    <w:rsid w:val="006D7FDE"/>
    <w:rsid w:val="006E1D88"/>
    <w:rsid w:val="006E4F62"/>
    <w:rsid w:val="006E581F"/>
    <w:rsid w:val="007169E8"/>
    <w:rsid w:val="0076784B"/>
    <w:rsid w:val="00772165"/>
    <w:rsid w:val="0079086C"/>
    <w:rsid w:val="00791583"/>
    <w:rsid w:val="007C143A"/>
    <w:rsid w:val="007D4FDE"/>
    <w:rsid w:val="007F1757"/>
    <w:rsid w:val="00835A7C"/>
    <w:rsid w:val="00842DD8"/>
    <w:rsid w:val="0085582A"/>
    <w:rsid w:val="00864549"/>
    <w:rsid w:val="00867B98"/>
    <w:rsid w:val="008701E5"/>
    <w:rsid w:val="00875BDE"/>
    <w:rsid w:val="00880BC0"/>
    <w:rsid w:val="008818E8"/>
    <w:rsid w:val="00897A4B"/>
    <w:rsid w:val="008A2F6B"/>
    <w:rsid w:val="008B5103"/>
    <w:rsid w:val="008B5E29"/>
    <w:rsid w:val="008C2CA5"/>
    <w:rsid w:val="008D6B94"/>
    <w:rsid w:val="008E28D9"/>
    <w:rsid w:val="008E63C1"/>
    <w:rsid w:val="008E6EDF"/>
    <w:rsid w:val="008E7B79"/>
    <w:rsid w:val="008F33A8"/>
    <w:rsid w:val="008F4559"/>
    <w:rsid w:val="00916672"/>
    <w:rsid w:val="00922B74"/>
    <w:rsid w:val="00922FA7"/>
    <w:rsid w:val="00924BD3"/>
    <w:rsid w:val="0094455A"/>
    <w:rsid w:val="0094754D"/>
    <w:rsid w:val="00962FF8"/>
    <w:rsid w:val="00971271"/>
    <w:rsid w:val="009A20AA"/>
    <w:rsid w:val="009C08B3"/>
    <w:rsid w:val="009C257F"/>
    <w:rsid w:val="009D2A35"/>
    <w:rsid w:val="009D2AE6"/>
    <w:rsid w:val="00A26380"/>
    <w:rsid w:val="00A44A1F"/>
    <w:rsid w:val="00A5365C"/>
    <w:rsid w:val="00A56536"/>
    <w:rsid w:val="00A9221E"/>
    <w:rsid w:val="00AA2F16"/>
    <w:rsid w:val="00AD2F44"/>
    <w:rsid w:val="00AE2BF6"/>
    <w:rsid w:val="00AE74FF"/>
    <w:rsid w:val="00AF0787"/>
    <w:rsid w:val="00B266D5"/>
    <w:rsid w:val="00B50C1D"/>
    <w:rsid w:val="00B7063F"/>
    <w:rsid w:val="00B71079"/>
    <w:rsid w:val="00B76B7F"/>
    <w:rsid w:val="00B90387"/>
    <w:rsid w:val="00BA04EA"/>
    <w:rsid w:val="00BB4524"/>
    <w:rsid w:val="00BE134D"/>
    <w:rsid w:val="00C02AB3"/>
    <w:rsid w:val="00C07820"/>
    <w:rsid w:val="00C90D11"/>
    <w:rsid w:val="00C9313D"/>
    <w:rsid w:val="00CA32C3"/>
    <w:rsid w:val="00CA604B"/>
    <w:rsid w:val="00CB535E"/>
    <w:rsid w:val="00CC4C55"/>
    <w:rsid w:val="00D01F51"/>
    <w:rsid w:val="00D07933"/>
    <w:rsid w:val="00D14943"/>
    <w:rsid w:val="00D169C4"/>
    <w:rsid w:val="00D25102"/>
    <w:rsid w:val="00D36CF7"/>
    <w:rsid w:val="00D429EC"/>
    <w:rsid w:val="00D43C7A"/>
    <w:rsid w:val="00D46597"/>
    <w:rsid w:val="00D56B6A"/>
    <w:rsid w:val="00D74503"/>
    <w:rsid w:val="00D81D99"/>
    <w:rsid w:val="00D84649"/>
    <w:rsid w:val="00DB6203"/>
    <w:rsid w:val="00DC4F9F"/>
    <w:rsid w:val="00DC7F8F"/>
    <w:rsid w:val="00DD1C2A"/>
    <w:rsid w:val="00DD4A0A"/>
    <w:rsid w:val="00DF145D"/>
    <w:rsid w:val="00DF6B0F"/>
    <w:rsid w:val="00E006EE"/>
    <w:rsid w:val="00E02820"/>
    <w:rsid w:val="00E05D87"/>
    <w:rsid w:val="00E22906"/>
    <w:rsid w:val="00E420AD"/>
    <w:rsid w:val="00E42A56"/>
    <w:rsid w:val="00E54107"/>
    <w:rsid w:val="00E640E2"/>
    <w:rsid w:val="00EA7384"/>
    <w:rsid w:val="00EB671D"/>
    <w:rsid w:val="00EF412C"/>
    <w:rsid w:val="00F16660"/>
    <w:rsid w:val="00F21DCB"/>
    <w:rsid w:val="00FA2462"/>
    <w:rsid w:val="00FB0323"/>
    <w:rsid w:val="00FB1B36"/>
    <w:rsid w:val="00FD0B47"/>
    <w:rsid w:val="00FE3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6134137"/>
  <w15:docId w15:val="{62BC7FC1-FF1E-944A-AE64-668E5B39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C8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0C8B"/>
    <w:rPr>
      <w:sz w:val="16"/>
      <w:szCs w:val="16"/>
    </w:rPr>
  </w:style>
  <w:style w:type="paragraph" w:styleId="CommentText">
    <w:name w:val="annotation text"/>
    <w:basedOn w:val="Normal"/>
    <w:link w:val="CommentTextChar"/>
    <w:uiPriority w:val="99"/>
    <w:unhideWhenUsed/>
    <w:rsid w:val="00100C8B"/>
    <w:rPr>
      <w:sz w:val="20"/>
      <w:szCs w:val="20"/>
    </w:rPr>
  </w:style>
  <w:style w:type="character" w:customStyle="1" w:styleId="CommentTextChar">
    <w:name w:val="Comment Text Char"/>
    <w:basedOn w:val="DefaultParagraphFont"/>
    <w:link w:val="CommentText"/>
    <w:uiPriority w:val="99"/>
    <w:rsid w:val="00100C8B"/>
    <w:rPr>
      <w:sz w:val="20"/>
      <w:szCs w:val="20"/>
    </w:rPr>
  </w:style>
  <w:style w:type="paragraph" w:styleId="Header">
    <w:name w:val="header"/>
    <w:basedOn w:val="Normal"/>
    <w:link w:val="HeaderChar"/>
    <w:uiPriority w:val="99"/>
    <w:unhideWhenUsed/>
    <w:rsid w:val="00E02820"/>
    <w:pPr>
      <w:tabs>
        <w:tab w:val="center" w:pos="4252"/>
        <w:tab w:val="right" w:pos="8504"/>
      </w:tabs>
      <w:snapToGrid w:val="0"/>
    </w:pPr>
  </w:style>
  <w:style w:type="character" w:customStyle="1" w:styleId="HeaderChar">
    <w:name w:val="Header Char"/>
    <w:basedOn w:val="DefaultParagraphFont"/>
    <w:link w:val="Header"/>
    <w:uiPriority w:val="99"/>
    <w:rsid w:val="00E02820"/>
  </w:style>
  <w:style w:type="paragraph" w:styleId="Footer">
    <w:name w:val="footer"/>
    <w:basedOn w:val="Normal"/>
    <w:link w:val="FooterChar"/>
    <w:uiPriority w:val="99"/>
    <w:unhideWhenUsed/>
    <w:rsid w:val="00E02820"/>
    <w:pPr>
      <w:tabs>
        <w:tab w:val="center" w:pos="4252"/>
        <w:tab w:val="right" w:pos="8504"/>
      </w:tabs>
      <w:snapToGrid w:val="0"/>
    </w:pPr>
  </w:style>
  <w:style w:type="character" w:customStyle="1" w:styleId="FooterChar">
    <w:name w:val="Footer Char"/>
    <w:basedOn w:val="DefaultParagraphFont"/>
    <w:link w:val="Footer"/>
    <w:uiPriority w:val="99"/>
    <w:rsid w:val="00E02820"/>
  </w:style>
  <w:style w:type="paragraph" w:styleId="CommentSubject">
    <w:name w:val="annotation subject"/>
    <w:basedOn w:val="CommentText"/>
    <w:next w:val="CommentText"/>
    <w:link w:val="CommentSubjectChar"/>
    <w:uiPriority w:val="99"/>
    <w:semiHidden/>
    <w:unhideWhenUsed/>
    <w:rsid w:val="00C90D11"/>
    <w:rPr>
      <w:b/>
      <w:bCs/>
    </w:rPr>
  </w:style>
  <w:style w:type="character" w:customStyle="1" w:styleId="CommentSubjectChar">
    <w:name w:val="Comment Subject Char"/>
    <w:basedOn w:val="CommentTextChar"/>
    <w:link w:val="CommentSubject"/>
    <w:uiPriority w:val="99"/>
    <w:semiHidden/>
    <w:rsid w:val="00C90D11"/>
    <w:rPr>
      <w:b/>
      <w:bCs/>
      <w:sz w:val="20"/>
      <w:szCs w:val="20"/>
    </w:rPr>
  </w:style>
  <w:style w:type="character" w:styleId="LineNumber">
    <w:name w:val="line number"/>
    <w:basedOn w:val="DefaultParagraphFont"/>
    <w:uiPriority w:val="99"/>
    <w:semiHidden/>
    <w:unhideWhenUsed/>
    <w:rsid w:val="002426B3"/>
  </w:style>
  <w:style w:type="character" w:styleId="PlaceholderText">
    <w:name w:val="Placeholder Text"/>
    <w:basedOn w:val="DefaultParagraphFont"/>
    <w:uiPriority w:val="99"/>
    <w:semiHidden/>
    <w:rsid w:val="00C02AB3"/>
    <w:rPr>
      <w:color w:val="808080"/>
    </w:rPr>
  </w:style>
  <w:style w:type="character" w:styleId="Hyperlink">
    <w:name w:val="Hyperlink"/>
    <w:basedOn w:val="DefaultParagraphFont"/>
    <w:uiPriority w:val="99"/>
    <w:semiHidden/>
    <w:unhideWhenUsed/>
    <w:rsid w:val="00211DCD"/>
    <w:rPr>
      <w:color w:val="0563C1"/>
      <w:u w:val="single"/>
    </w:rPr>
  </w:style>
  <w:style w:type="character" w:styleId="FollowedHyperlink">
    <w:name w:val="FollowedHyperlink"/>
    <w:basedOn w:val="DefaultParagraphFont"/>
    <w:uiPriority w:val="99"/>
    <w:semiHidden/>
    <w:unhideWhenUsed/>
    <w:rsid w:val="00211DCD"/>
    <w:rPr>
      <w:color w:val="954F72"/>
      <w:u w:val="single"/>
    </w:rPr>
  </w:style>
  <w:style w:type="paragraph" w:customStyle="1" w:styleId="msonormal0">
    <w:name w:val="msonormal"/>
    <w:basedOn w:val="Normal"/>
    <w:rsid w:val="00211DCD"/>
    <w:pPr>
      <w:widowControl/>
      <w:spacing w:before="100" w:beforeAutospacing="1" w:after="100" w:afterAutospacing="1"/>
      <w:jc w:val="left"/>
    </w:pPr>
    <w:rPr>
      <w:rFonts w:ascii="MS PGothic" w:eastAsia="MS PGothic" w:hAnsi="MS PGothic" w:cs="MS PGothic"/>
      <w:kern w:val="0"/>
      <w:sz w:val="24"/>
    </w:rPr>
  </w:style>
  <w:style w:type="paragraph" w:customStyle="1" w:styleId="font5">
    <w:name w:val="font5"/>
    <w:basedOn w:val="Normal"/>
    <w:rsid w:val="00211DCD"/>
    <w:pPr>
      <w:widowControl/>
      <w:spacing w:before="100" w:beforeAutospacing="1" w:after="100" w:afterAutospacing="1"/>
      <w:jc w:val="left"/>
    </w:pPr>
    <w:rPr>
      <w:rFonts w:ascii="Yu Gothic" w:eastAsia="Yu Gothic" w:hAnsi="Yu Gothic" w:cs="MS PGothic"/>
      <w:kern w:val="0"/>
      <w:sz w:val="12"/>
      <w:szCs w:val="12"/>
    </w:rPr>
  </w:style>
  <w:style w:type="paragraph" w:customStyle="1" w:styleId="xl65">
    <w:name w:val="xl65"/>
    <w:basedOn w:val="Normal"/>
    <w:rsid w:val="0021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MS PGothic" w:eastAsia="MS PGothic" w:hAnsi="MS PGothic" w:cs="MS PGothic"/>
      <w:kern w:val="0"/>
      <w:sz w:val="24"/>
    </w:rPr>
  </w:style>
  <w:style w:type="paragraph" w:customStyle="1" w:styleId="xl66">
    <w:name w:val="xl66"/>
    <w:basedOn w:val="Normal"/>
    <w:rsid w:val="0021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MS PGothic" w:eastAsia="MS PGothic" w:hAnsi="MS PGothic" w:cs="MS PGothic"/>
      <w:kern w:val="0"/>
      <w:sz w:val="24"/>
    </w:rPr>
  </w:style>
  <w:style w:type="paragraph" w:customStyle="1" w:styleId="xl67">
    <w:name w:val="xl67"/>
    <w:basedOn w:val="Normal"/>
    <w:rsid w:val="0021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MS PGothic" w:hAnsi="Times New Roman" w:cs="Times New Roman"/>
      <w:kern w:val="0"/>
      <w:sz w:val="24"/>
    </w:rPr>
  </w:style>
  <w:style w:type="paragraph" w:styleId="Revision">
    <w:name w:val="Revision"/>
    <w:hidden/>
    <w:uiPriority w:val="99"/>
    <w:semiHidden/>
    <w:rsid w:val="00C9313D"/>
  </w:style>
  <w:style w:type="paragraph" w:styleId="BalloonText">
    <w:name w:val="Balloon Text"/>
    <w:basedOn w:val="Normal"/>
    <w:link w:val="BalloonTextChar"/>
    <w:uiPriority w:val="99"/>
    <w:semiHidden/>
    <w:unhideWhenUsed/>
    <w:rsid w:val="00DF6B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6B0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8441">
      <w:bodyDiv w:val="1"/>
      <w:marLeft w:val="0"/>
      <w:marRight w:val="0"/>
      <w:marTop w:val="0"/>
      <w:marBottom w:val="0"/>
      <w:divBdr>
        <w:top w:val="none" w:sz="0" w:space="0" w:color="auto"/>
        <w:left w:val="none" w:sz="0" w:space="0" w:color="auto"/>
        <w:bottom w:val="none" w:sz="0" w:space="0" w:color="auto"/>
        <w:right w:val="none" w:sz="0" w:space="0" w:color="auto"/>
      </w:divBdr>
      <w:divsChild>
        <w:div w:id="1358697665">
          <w:marLeft w:val="0"/>
          <w:marRight w:val="0"/>
          <w:marTop w:val="0"/>
          <w:marBottom w:val="0"/>
          <w:divBdr>
            <w:top w:val="none" w:sz="0" w:space="0" w:color="auto"/>
            <w:left w:val="none" w:sz="0" w:space="0" w:color="auto"/>
            <w:bottom w:val="none" w:sz="0" w:space="0" w:color="auto"/>
            <w:right w:val="none" w:sz="0" w:space="0" w:color="auto"/>
          </w:divBdr>
        </w:div>
        <w:div w:id="857230084">
          <w:marLeft w:val="0"/>
          <w:marRight w:val="0"/>
          <w:marTop w:val="0"/>
          <w:marBottom w:val="0"/>
          <w:divBdr>
            <w:top w:val="none" w:sz="0" w:space="0" w:color="auto"/>
            <w:left w:val="none" w:sz="0" w:space="0" w:color="auto"/>
            <w:bottom w:val="none" w:sz="0" w:space="0" w:color="auto"/>
            <w:right w:val="none" w:sz="0" w:space="0" w:color="auto"/>
          </w:divBdr>
        </w:div>
      </w:divsChild>
    </w:div>
    <w:div w:id="244193592">
      <w:bodyDiv w:val="1"/>
      <w:marLeft w:val="0"/>
      <w:marRight w:val="0"/>
      <w:marTop w:val="0"/>
      <w:marBottom w:val="0"/>
      <w:divBdr>
        <w:top w:val="none" w:sz="0" w:space="0" w:color="auto"/>
        <w:left w:val="none" w:sz="0" w:space="0" w:color="auto"/>
        <w:bottom w:val="none" w:sz="0" w:space="0" w:color="auto"/>
        <w:right w:val="none" w:sz="0" w:space="0" w:color="auto"/>
      </w:divBdr>
      <w:divsChild>
        <w:div w:id="66611781">
          <w:marLeft w:val="0"/>
          <w:marRight w:val="0"/>
          <w:marTop w:val="0"/>
          <w:marBottom w:val="0"/>
          <w:divBdr>
            <w:top w:val="none" w:sz="0" w:space="0" w:color="auto"/>
            <w:left w:val="none" w:sz="0" w:space="0" w:color="auto"/>
            <w:bottom w:val="none" w:sz="0" w:space="0" w:color="auto"/>
            <w:right w:val="none" w:sz="0" w:space="0" w:color="auto"/>
          </w:divBdr>
          <w:divsChild>
            <w:div w:id="942958346">
              <w:marLeft w:val="0"/>
              <w:marRight w:val="0"/>
              <w:marTop w:val="0"/>
              <w:marBottom w:val="0"/>
              <w:divBdr>
                <w:top w:val="none" w:sz="0" w:space="0" w:color="auto"/>
                <w:left w:val="none" w:sz="0" w:space="0" w:color="auto"/>
                <w:bottom w:val="none" w:sz="0" w:space="0" w:color="auto"/>
                <w:right w:val="none" w:sz="0" w:space="0" w:color="auto"/>
              </w:divBdr>
              <w:divsChild>
                <w:div w:id="210726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2229">
      <w:bodyDiv w:val="1"/>
      <w:marLeft w:val="0"/>
      <w:marRight w:val="0"/>
      <w:marTop w:val="0"/>
      <w:marBottom w:val="0"/>
      <w:divBdr>
        <w:top w:val="none" w:sz="0" w:space="0" w:color="auto"/>
        <w:left w:val="none" w:sz="0" w:space="0" w:color="auto"/>
        <w:bottom w:val="none" w:sz="0" w:space="0" w:color="auto"/>
        <w:right w:val="none" w:sz="0" w:space="0" w:color="auto"/>
      </w:divBdr>
    </w:div>
    <w:div w:id="1462260048">
      <w:bodyDiv w:val="1"/>
      <w:marLeft w:val="0"/>
      <w:marRight w:val="0"/>
      <w:marTop w:val="0"/>
      <w:marBottom w:val="0"/>
      <w:divBdr>
        <w:top w:val="none" w:sz="0" w:space="0" w:color="auto"/>
        <w:left w:val="none" w:sz="0" w:space="0" w:color="auto"/>
        <w:bottom w:val="none" w:sz="0" w:space="0" w:color="auto"/>
        <w:right w:val="none" w:sz="0" w:space="0" w:color="auto"/>
      </w:divBdr>
      <w:divsChild>
        <w:div w:id="933392011">
          <w:marLeft w:val="0"/>
          <w:marRight w:val="0"/>
          <w:marTop w:val="0"/>
          <w:marBottom w:val="0"/>
          <w:divBdr>
            <w:top w:val="none" w:sz="0" w:space="0" w:color="auto"/>
            <w:left w:val="none" w:sz="0" w:space="0" w:color="auto"/>
            <w:bottom w:val="none" w:sz="0" w:space="0" w:color="auto"/>
            <w:right w:val="none" w:sz="0" w:space="0" w:color="auto"/>
          </w:divBdr>
        </w:div>
        <w:div w:id="33847194">
          <w:marLeft w:val="0"/>
          <w:marRight w:val="0"/>
          <w:marTop w:val="0"/>
          <w:marBottom w:val="0"/>
          <w:divBdr>
            <w:top w:val="none" w:sz="0" w:space="0" w:color="auto"/>
            <w:left w:val="none" w:sz="0" w:space="0" w:color="auto"/>
            <w:bottom w:val="none" w:sz="0" w:space="0" w:color="auto"/>
            <w:right w:val="none" w:sz="0" w:space="0" w:color="auto"/>
          </w:divBdr>
        </w:div>
      </w:divsChild>
    </w:div>
    <w:div w:id="2018379713">
      <w:bodyDiv w:val="1"/>
      <w:marLeft w:val="0"/>
      <w:marRight w:val="0"/>
      <w:marTop w:val="0"/>
      <w:marBottom w:val="0"/>
      <w:divBdr>
        <w:top w:val="none" w:sz="0" w:space="0" w:color="auto"/>
        <w:left w:val="none" w:sz="0" w:space="0" w:color="auto"/>
        <w:bottom w:val="none" w:sz="0" w:space="0" w:color="auto"/>
        <w:right w:val="none" w:sz="0" w:space="0" w:color="auto"/>
      </w:divBdr>
      <w:divsChild>
        <w:div w:id="453907105">
          <w:marLeft w:val="0"/>
          <w:marRight w:val="0"/>
          <w:marTop w:val="0"/>
          <w:marBottom w:val="0"/>
          <w:divBdr>
            <w:top w:val="none" w:sz="0" w:space="0" w:color="auto"/>
            <w:left w:val="none" w:sz="0" w:space="0" w:color="auto"/>
            <w:bottom w:val="none" w:sz="0" w:space="0" w:color="auto"/>
            <w:right w:val="none" w:sz="0" w:space="0" w:color="auto"/>
          </w:divBdr>
        </w:div>
        <w:div w:id="92283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3608A0AB02D845B263618D833256F6" ma:contentTypeVersion="18" ma:contentTypeDescription="Een nieuw document maken." ma:contentTypeScope="" ma:versionID="72885232549242e00d8218fd5cd0ae4c">
  <xsd:schema xmlns:xsd="http://www.w3.org/2001/XMLSchema" xmlns:xs="http://www.w3.org/2001/XMLSchema" xmlns:p="http://schemas.microsoft.com/office/2006/metadata/properties" xmlns:ns2="4de4a37d-bf8f-475a-9764-102d4a831fea" xmlns:ns3="c286b486-7722-4dae-a360-14377e2a0078" targetNamespace="http://schemas.microsoft.com/office/2006/metadata/properties" ma:root="true" ma:fieldsID="ab1eff02f022172a6f831fc1defe1528" ns2:_="" ns3:_="">
    <xsd:import namespace="4de4a37d-bf8f-475a-9764-102d4a831fea"/>
    <xsd:import namespace="c286b486-7722-4dae-a360-14377e2a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4a37d-bf8f-475a-9764-102d4a83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b486-7722-4dae-a360-14377e2a007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b41e2b9-5d5b-4e62-bbfa-32192f8fcfce}" ma:internalName="TaxCatchAll" ma:showField="CatchAllData" ma:web="c286b486-7722-4dae-a360-14377e2a007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e4a37d-bf8f-475a-9764-102d4a831fea">
      <Terms xmlns="http://schemas.microsoft.com/office/infopath/2007/PartnerControls"/>
    </lcf76f155ced4ddcb4097134ff3c332f>
    <TaxCatchAll xmlns="c286b486-7722-4dae-a360-14377e2a0078" xsi:nil="true"/>
  </documentManagement>
</p:properties>
</file>

<file path=customXml/itemProps1.xml><?xml version="1.0" encoding="utf-8"?>
<ds:datastoreItem xmlns:ds="http://schemas.openxmlformats.org/officeDocument/2006/customXml" ds:itemID="{9F4D9B2E-3447-4EFE-9074-F836B28A9084}">
  <ds:schemaRefs>
    <ds:schemaRef ds:uri="http://schemas.microsoft.com/sharepoint/v3/contenttype/forms"/>
  </ds:schemaRefs>
</ds:datastoreItem>
</file>

<file path=customXml/itemProps2.xml><?xml version="1.0" encoding="utf-8"?>
<ds:datastoreItem xmlns:ds="http://schemas.openxmlformats.org/officeDocument/2006/customXml" ds:itemID="{705B3DB4-A810-4D77-A042-05BB1CCD5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4a37d-bf8f-475a-9764-102d4a831fea"/>
    <ds:schemaRef ds:uri="c286b486-7722-4dae-a360-14377e2a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9CD3C-79C1-1146-B751-5DA30AD0D23F}">
  <ds:schemaRefs>
    <ds:schemaRef ds:uri="http://schemas.openxmlformats.org/officeDocument/2006/bibliography"/>
  </ds:schemaRefs>
</ds:datastoreItem>
</file>

<file path=customXml/itemProps4.xml><?xml version="1.0" encoding="utf-8"?>
<ds:datastoreItem xmlns:ds="http://schemas.openxmlformats.org/officeDocument/2006/customXml" ds:itemID="{DB3E6515-5AED-486A-A6A3-265E27AA6CEC}">
  <ds:schemaRefs>
    <ds:schemaRef ds:uri="http://schemas.microsoft.com/office/2006/metadata/properties"/>
    <ds:schemaRef ds:uri="http://schemas.microsoft.com/office/infopath/2007/PartnerControls"/>
    <ds:schemaRef ds:uri="4de4a37d-bf8f-475a-9764-102d4a831fea"/>
    <ds:schemaRef ds:uri="c286b486-7722-4dae-a360-14377e2a0078"/>
  </ds:schemaRefs>
</ds:datastoreItem>
</file>

<file path=docProps/app.xml><?xml version="1.0" encoding="utf-8"?>
<Properties xmlns="http://schemas.openxmlformats.org/officeDocument/2006/extended-properties" xmlns:vt="http://schemas.openxmlformats.org/officeDocument/2006/docPropsVTypes">
  <Template>Normal.dotm</Template>
  <TotalTime>1145</TotalTime>
  <Pages>13</Pages>
  <Words>1250</Words>
  <Characters>7128</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智成 松尾</dc:creator>
  <cp:keywords/>
  <dc:description/>
  <cp:lastModifiedBy>Matsuo, Tomonari</cp:lastModifiedBy>
  <cp:revision>92</cp:revision>
  <dcterms:created xsi:type="dcterms:W3CDTF">2023-03-11T17:02:00Z</dcterms:created>
  <dcterms:modified xsi:type="dcterms:W3CDTF">2024-03-12T09:42:00Z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http://www.zotero.org/styles/ecology</vt:lpwstr>
  </property>
  <property fmtid="{D5CDD505-2E9C-101B-9397-08002B2CF9AE}" pid="9" name="Mendeley Recent Style Name 3_1">
    <vt:lpwstr>Ecology</vt:lpwstr>
  </property>
  <property fmtid="{D5CDD505-2E9C-101B-9397-08002B2CF9AE}" pid="10" name="Mendeley Recent Style Id 4_1">
    <vt:lpwstr>http://www.zotero.org/styles/functional-ecology</vt:lpwstr>
  </property>
  <property fmtid="{D5CDD505-2E9C-101B-9397-08002B2CF9AE}" pid="11" name="Mendeley Recent Style Name 4_1">
    <vt:lpwstr>Functional Ecology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http://www.zotero.org/styles/journal-of-ecology</vt:lpwstr>
  </property>
  <property fmtid="{D5CDD505-2E9C-101B-9397-08002B2CF9AE}" pid="15" name="Mendeley Recent Style Name 6_1">
    <vt:lpwstr>Journal of Ecology</vt:lpwstr>
  </property>
  <property fmtid="{D5CDD505-2E9C-101B-9397-08002B2CF9AE}" pid="16" name="Mendeley Recent Style Id 7_1">
    <vt:lpwstr>http://www.zotero.org/styles/new-phytologist</vt:lpwstr>
  </property>
  <property fmtid="{D5CDD505-2E9C-101B-9397-08002B2CF9AE}" pid="17" name="Mendeley Recent Style Name 7_1">
    <vt:lpwstr>New Phytologist</vt:lpwstr>
  </property>
  <property fmtid="{D5CDD505-2E9C-101B-9397-08002B2CF9AE}" pid="18" name="Mendeley Recent Style Id 8_1">
    <vt:lpwstr>http://www.zotero.org/styles/oikos</vt:lpwstr>
  </property>
  <property fmtid="{D5CDD505-2E9C-101B-9397-08002B2CF9AE}" pid="19" name="Mendeley Recent Style Name 8_1">
    <vt:lpwstr>Oikos</vt:lpwstr>
  </property>
  <property fmtid="{D5CDD505-2E9C-101B-9397-08002B2CF9AE}" pid="20" name="Mendeley Recent Style Id 9_1">
    <vt:lpwstr>http://www.zotero.org/styles/plant-ecology</vt:lpwstr>
  </property>
  <property fmtid="{D5CDD505-2E9C-101B-9397-08002B2CF9AE}" pid="21" name="Mendeley Recent Style Name 9_1">
    <vt:lpwstr>Plant Ecology</vt:lpwstr>
  </property>
  <property fmtid="{D5CDD505-2E9C-101B-9397-08002B2CF9AE}" pid="22" name="Mendeley Document_1">
    <vt:lpwstr>True</vt:lpwstr>
  </property>
  <property fmtid="{D5CDD505-2E9C-101B-9397-08002B2CF9AE}" pid="23" name="Mendeley Unique User Id_1">
    <vt:lpwstr>2cc81933-ecbe-3ec4-b3ab-b44053370803</vt:lpwstr>
  </property>
  <property fmtid="{D5CDD505-2E9C-101B-9397-08002B2CF9AE}" pid="24" name="Mendeley Citation Style_1">
    <vt:lpwstr>http://www.zotero.org/styles/oikos</vt:lpwstr>
  </property>
  <property fmtid="{D5CDD505-2E9C-101B-9397-08002B2CF9AE}" pid="25" name="ContentTypeId">
    <vt:lpwstr>0x010100FB3608A0AB02D845B263618D833256F6</vt:lpwstr>
  </property>
</Properties>
</file>