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770F5" w14:textId="77777777" w:rsidR="00244B4C" w:rsidRPr="00913DA4" w:rsidRDefault="00244B4C" w:rsidP="00244B4C">
      <w:pPr>
        <w:rPr>
          <w:rFonts w:ascii="Arial" w:hAnsi="Arial" w:cs="Arial"/>
          <w:b/>
          <w:bCs/>
        </w:rPr>
      </w:pPr>
      <w:r w:rsidRPr="00913DA4">
        <w:rPr>
          <w:rFonts w:ascii="Arial" w:hAnsi="Arial" w:cs="Arial"/>
          <w:b/>
          <w:bCs/>
        </w:rPr>
        <w:t>Supplementary Material S1</w:t>
      </w:r>
    </w:p>
    <w:p w14:paraId="3ED51C81" w14:textId="77777777" w:rsidR="00244B4C" w:rsidRDefault="00244B4C" w:rsidP="00244B4C">
      <w:pPr>
        <w:rPr>
          <w:rFonts w:ascii="Arial" w:hAnsi="Arial" w:cs="Arial"/>
        </w:rPr>
      </w:pPr>
      <w:r>
        <w:rPr>
          <w:rFonts w:ascii="Arial" w:hAnsi="Arial" w:cs="Arial"/>
        </w:rPr>
        <w:t xml:space="preserve">Pearson correlation coefficient with corresponding </w:t>
      </w:r>
      <w:r>
        <w:rPr>
          <w:rFonts w:ascii="Arial" w:hAnsi="Arial" w:cs="Arial"/>
          <w:i/>
          <w:iCs/>
        </w:rPr>
        <w:t>P</w:t>
      </w:r>
      <w:r>
        <w:rPr>
          <w:rFonts w:ascii="Arial" w:hAnsi="Arial" w:cs="Arial"/>
        </w:rPr>
        <w:t xml:space="preserve"> – levels for measured soralia parameters versus transplant area (A) and Specific Thallus Mass (STM) in 296–302 </w:t>
      </w:r>
      <w:r>
        <w:rPr>
          <w:rFonts w:ascii="Arial" w:hAnsi="Arial" w:cs="Arial"/>
          <w:i/>
          <w:iCs/>
        </w:rPr>
        <w:t>Lobaria pulmonaria</w:t>
      </w:r>
      <w:r>
        <w:rPr>
          <w:rFonts w:ascii="Arial" w:hAnsi="Arial" w:cs="Arial"/>
        </w:rPr>
        <w:t xml:space="preserve"> thalli before 1) start and 2) after (end) a 14-month transplantation period in pristine mixed forests in British Columbia </w:t>
      </w:r>
    </w:p>
    <w:tbl>
      <w:tblPr>
        <w:tblW w:w="5000" w:type="pct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770"/>
        <w:gridCol w:w="1058"/>
        <w:gridCol w:w="1228"/>
        <w:gridCol w:w="1076"/>
        <w:gridCol w:w="1228"/>
      </w:tblGrid>
      <w:tr w:rsidR="00244B4C" w:rsidRPr="006A6E3F" w14:paraId="3543923F" w14:textId="77777777" w:rsidTr="00746BE5">
        <w:tc>
          <w:tcPr>
            <w:tcW w:w="2548" w:type="pct"/>
            <w:tcBorders>
              <w:top w:val="single" w:sz="4" w:space="0" w:color="auto"/>
              <w:bottom w:val="single" w:sz="6" w:space="0" w:color="383838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10B34EDE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</w:p>
        </w:tc>
        <w:tc>
          <w:tcPr>
            <w:tcW w:w="565" w:type="pct"/>
            <w:tcBorders>
              <w:top w:val="single" w:sz="4" w:space="0" w:color="auto"/>
              <w:bottom w:val="single" w:sz="6" w:space="0" w:color="383838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49E5517F" w14:textId="77777777" w:rsidR="00244B4C" w:rsidRPr="00AB6CD3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bscript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A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bscript"/>
              </w:rPr>
              <w:t>start</w:t>
            </w:r>
            <w:proofErr w:type="spellEnd"/>
          </w:p>
        </w:tc>
        <w:tc>
          <w:tcPr>
            <w:tcW w:w="656" w:type="pct"/>
            <w:tcBorders>
              <w:top w:val="single" w:sz="4" w:space="0" w:color="auto"/>
              <w:bottom w:val="single" w:sz="6" w:space="0" w:color="383838"/>
            </w:tcBorders>
            <w:shd w:val="clear" w:color="auto" w:fill="FEFEFE"/>
          </w:tcPr>
          <w:p w14:paraId="7D744D79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i/>
                <w:iCs/>
                <w:color w:val="000000" w:themeColor="text1"/>
                <w:kern w:val="0"/>
              </w:rPr>
              <w:t>P</w:t>
            </w: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-level</w:t>
            </w:r>
          </w:p>
        </w:tc>
        <w:tc>
          <w:tcPr>
            <w:tcW w:w="575" w:type="pct"/>
            <w:tcBorders>
              <w:top w:val="single" w:sz="4" w:space="0" w:color="auto"/>
              <w:bottom w:val="single" w:sz="6" w:space="0" w:color="383838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71CD2113" w14:textId="77777777" w:rsidR="00244B4C" w:rsidRPr="00AB6CD3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bscript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STM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bscript"/>
              </w:rPr>
              <w:t>start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6" w:space="0" w:color="383838"/>
            </w:tcBorders>
            <w:shd w:val="clear" w:color="auto" w:fill="FEFEFE"/>
          </w:tcPr>
          <w:p w14:paraId="657ADB7F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i/>
                <w:iCs/>
                <w:color w:val="000000" w:themeColor="text1"/>
                <w:kern w:val="0"/>
              </w:rPr>
              <w:t>P</w:t>
            </w: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-level</w:t>
            </w:r>
          </w:p>
        </w:tc>
      </w:tr>
      <w:tr w:rsidR="00244B4C" w:rsidRPr="006A6E3F" w14:paraId="105FC572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C4E3F11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At start: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0D67A9E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1F2ADA97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A108881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775198CC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</w:p>
        </w:tc>
      </w:tr>
      <w:tr w:rsidR="00244B4C" w:rsidRPr="006A6E3F" w14:paraId="33ECEFB9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526594A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Laminal soralia, number thallus</w:t>
            </w: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perscript"/>
              </w:rPr>
              <w:t>-1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B3C5288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104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043725C5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0.0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71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2B09B81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0.154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5C4A92C1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0.007</w:t>
            </w:r>
          </w:p>
        </w:tc>
      </w:tr>
      <w:tr w:rsidR="00244B4C" w:rsidRPr="006A6E3F" w14:paraId="7B0BD88F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3B55E7B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Marginal soralia, number thallus</w:t>
            </w: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perscript"/>
              </w:rPr>
              <w:t>-1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FF65917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0.295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28C4C157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F39F55C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0.266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0D867A3B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</w:tr>
      <w:tr w:rsidR="00244B4C" w:rsidRPr="006A6E3F" w14:paraId="61D2620A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07FEFD2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All soralia, number thallus</w:t>
            </w: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perscript"/>
              </w:rPr>
              <w:t>-1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7200729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0.285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42BF6864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4149C85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0.268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65C56C23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</w:tr>
      <w:tr w:rsidR="00244B4C" w:rsidRPr="006A6E3F" w14:paraId="3E6DC611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F0805FA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Soralia size, mm</w:t>
            </w: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perscript"/>
              </w:rPr>
              <w:t>-2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1DA3AAF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0.274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3C0A36DF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EE7E70B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0.249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51978FA0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</w:tr>
      <w:tr w:rsidR="00244B4C" w:rsidRPr="006A6E3F" w14:paraId="638E24A9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45444F5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perscript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Marginal soralia, number cm</w:t>
            </w: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perscript"/>
              </w:rPr>
              <w:t>-2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FE6291E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030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3BC453FE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598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5D706EB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0.202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553168CB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</w:tr>
      <w:tr w:rsidR="00244B4C" w:rsidRPr="006A6E3F" w14:paraId="7BA44B56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F215D55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Laminal soralia, number cm</w:t>
            </w: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perscript"/>
              </w:rPr>
              <w:t>-2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E065BF9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063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75032DFB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274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607DDD0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0.173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46D53021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0.003</w:t>
            </w:r>
          </w:p>
        </w:tc>
      </w:tr>
      <w:tr w:rsidR="00244B4C" w:rsidRPr="006A6E3F" w14:paraId="41083729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8EB0AEA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All soralia, number cm</w:t>
            </w: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perscript"/>
              </w:rPr>
              <w:t>-2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C0EA9C6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038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7993C095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506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450020D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0.214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7C6B722E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</w:tr>
      <w:tr w:rsidR="00244B4C" w:rsidRPr="006A6E3F" w14:paraId="5A4C7C3E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33901D3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Marginal soralia, percent cover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D07E500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107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62E919D3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063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39091FD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0.222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7C3D64AF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</w:tr>
      <w:tr w:rsidR="00244B4C" w:rsidRPr="006A6E3F" w14:paraId="34504672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3473B4D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Laminal soralia, percent cover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EBADE94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085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01F992EF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139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E869305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0.146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6BC3097F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0.011</w:t>
            </w:r>
          </w:p>
        </w:tc>
      </w:tr>
      <w:tr w:rsidR="00244B4C" w:rsidRPr="006A6E3F" w14:paraId="03EBE455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6AB6041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All soralia, percent cover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798531C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111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29B94D8A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0.0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54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4E05E0E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0.227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6E851E64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</w:tr>
      <w:tr w:rsidR="00244B4C" w:rsidRPr="006A6E3F" w14:paraId="18EAEE25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BA34A0D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Percent change in STM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25C9EE8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-0.020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0648D704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0.727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36D78CA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-0.280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09BFAA0A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</w:tr>
      <w:tr w:rsidR="00244B4C" w:rsidRPr="006A6E3F" w14:paraId="72EDE99D" w14:textId="77777777" w:rsidTr="00746BE5">
        <w:tc>
          <w:tcPr>
            <w:tcW w:w="2548" w:type="pct"/>
            <w:tcBorders>
              <w:top w:val="nil"/>
              <w:left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7BEB0E0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</w:p>
        </w:tc>
        <w:tc>
          <w:tcPr>
            <w:tcW w:w="565" w:type="pct"/>
            <w:tcBorders>
              <w:top w:val="nil"/>
              <w:left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9943407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</w:p>
        </w:tc>
        <w:tc>
          <w:tcPr>
            <w:tcW w:w="656" w:type="pct"/>
            <w:tcBorders>
              <w:top w:val="nil"/>
              <w:left w:val="nil"/>
              <w:right w:val="nil"/>
            </w:tcBorders>
            <w:shd w:val="clear" w:color="auto" w:fill="FEFEFE"/>
          </w:tcPr>
          <w:p w14:paraId="059CC24B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</w:p>
        </w:tc>
        <w:tc>
          <w:tcPr>
            <w:tcW w:w="575" w:type="pct"/>
            <w:tcBorders>
              <w:top w:val="nil"/>
              <w:left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9D6713D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</w:p>
        </w:tc>
        <w:tc>
          <w:tcPr>
            <w:tcW w:w="656" w:type="pct"/>
            <w:tcBorders>
              <w:top w:val="nil"/>
              <w:left w:val="nil"/>
              <w:right w:val="nil"/>
            </w:tcBorders>
            <w:shd w:val="clear" w:color="auto" w:fill="FEFEFE"/>
          </w:tcPr>
          <w:p w14:paraId="62C321A0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</w:p>
        </w:tc>
      </w:tr>
      <w:tr w:rsidR="00244B4C" w:rsidRPr="00B6093C" w14:paraId="3776CA6C" w14:textId="77777777" w:rsidTr="00746BE5">
        <w:tc>
          <w:tcPr>
            <w:tcW w:w="2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C281ADB" w14:textId="77777777" w:rsidR="00244B4C" w:rsidRPr="00B6093C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FF0000"/>
                <w:kern w:val="0"/>
              </w:rPr>
            </w:pPr>
            <w:r w:rsidRPr="00006AAB">
              <w:rPr>
                <w:rFonts w:ascii="Arial" w:eastAsia="Times New Roman" w:hAnsi="Arial" w:cs="Arial"/>
                <w:bCs/>
                <w:kern w:val="0"/>
              </w:rPr>
              <w:t>At end: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199B0FEA" w14:textId="77777777" w:rsidR="00244B4C" w:rsidRPr="00B6093C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FF0000"/>
                <w:kern w:val="0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A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bscript"/>
              </w:rPr>
              <w:t>end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EFEFE"/>
          </w:tcPr>
          <w:p w14:paraId="6CBE3B01" w14:textId="77777777" w:rsidR="00244B4C" w:rsidRPr="00B6093C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FF0000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i/>
                <w:iCs/>
                <w:color w:val="000000" w:themeColor="text1"/>
                <w:kern w:val="0"/>
              </w:rPr>
              <w:t>P</w:t>
            </w: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-level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58EA7BA4" w14:textId="77777777" w:rsidR="00244B4C" w:rsidRPr="00B6093C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FF0000"/>
                <w:kern w:val="0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STM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bscript"/>
              </w:rPr>
              <w:t>end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EFEFE"/>
          </w:tcPr>
          <w:p w14:paraId="36961A2C" w14:textId="77777777" w:rsidR="00244B4C" w:rsidRPr="00B6093C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FF0000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i/>
                <w:iCs/>
                <w:color w:val="000000" w:themeColor="text1"/>
                <w:kern w:val="0"/>
              </w:rPr>
              <w:t>P</w:t>
            </w: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-level</w:t>
            </w:r>
          </w:p>
        </w:tc>
      </w:tr>
      <w:tr w:rsidR="00244B4C" w:rsidRPr="006A6E3F" w14:paraId="33AF437E" w14:textId="77777777" w:rsidTr="00746BE5">
        <w:tc>
          <w:tcPr>
            <w:tcW w:w="254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340732A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Laminal soralia, number thallus</w:t>
            </w: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perscript"/>
              </w:rPr>
              <w:t>-1</w:t>
            </w:r>
          </w:p>
        </w:tc>
        <w:tc>
          <w:tcPr>
            <w:tcW w:w="5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A8EFB9C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0.069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EFEFE"/>
          </w:tcPr>
          <w:p w14:paraId="1A5751FC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239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2F100DF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0.254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EFEFE"/>
          </w:tcPr>
          <w:p w14:paraId="12BB3A10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</w:tr>
      <w:tr w:rsidR="00244B4C" w:rsidRPr="006A6E3F" w14:paraId="4BBAEB5D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5BCFDC8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Marginal soralia, number thallus</w:t>
            </w: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perscript"/>
              </w:rPr>
              <w:t>-1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E60C6A9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0.276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01B2158B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7F1284D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0.249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69A3CB4B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</w:tr>
      <w:tr w:rsidR="00244B4C" w:rsidRPr="006A6E3F" w14:paraId="2B79DC22" w14:textId="77777777" w:rsidTr="00746BE5">
        <w:tc>
          <w:tcPr>
            <w:tcW w:w="2548" w:type="pct"/>
            <w:tcBorders>
              <w:top w:val="nil"/>
              <w:left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CE436EF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All soralia, number thallus</w:t>
            </w: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perscript"/>
              </w:rPr>
              <w:t>-1</w:t>
            </w:r>
          </w:p>
        </w:tc>
        <w:tc>
          <w:tcPr>
            <w:tcW w:w="565" w:type="pct"/>
            <w:tcBorders>
              <w:top w:val="nil"/>
              <w:left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A1C5B19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0.238</w:t>
            </w:r>
          </w:p>
        </w:tc>
        <w:tc>
          <w:tcPr>
            <w:tcW w:w="656" w:type="pct"/>
            <w:tcBorders>
              <w:top w:val="nil"/>
              <w:left w:val="nil"/>
              <w:right w:val="nil"/>
            </w:tcBorders>
            <w:shd w:val="clear" w:color="auto" w:fill="FEFEFE"/>
          </w:tcPr>
          <w:p w14:paraId="6CDF939D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  <w:tc>
          <w:tcPr>
            <w:tcW w:w="575" w:type="pct"/>
            <w:tcBorders>
              <w:top w:val="nil"/>
              <w:left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82EDD74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0.286</w:t>
            </w:r>
          </w:p>
        </w:tc>
        <w:tc>
          <w:tcPr>
            <w:tcW w:w="656" w:type="pct"/>
            <w:tcBorders>
              <w:top w:val="nil"/>
              <w:left w:val="nil"/>
              <w:right w:val="nil"/>
            </w:tcBorders>
            <w:shd w:val="clear" w:color="auto" w:fill="FEFEFE"/>
          </w:tcPr>
          <w:p w14:paraId="18F288E1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</w:tr>
      <w:tr w:rsidR="00244B4C" w:rsidRPr="006A6E3F" w14:paraId="2C8DAB00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CFEC742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Soralia size, mm</w:t>
            </w: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perscript"/>
              </w:rPr>
              <w:t>-2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52F370C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0.235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0F5F9BCF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1E8FC82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0.189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422BFCCA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0.001</w:t>
            </w:r>
          </w:p>
        </w:tc>
      </w:tr>
      <w:tr w:rsidR="00244B4C" w:rsidRPr="006A6E3F" w14:paraId="7E6C3A3C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1E5DBC4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Marginal soralia, number cm</w:t>
            </w: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perscript"/>
              </w:rPr>
              <w:t>-2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A2CD3F4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-0.183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24CC2B1B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0.002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79E8133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0.170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26CF6BED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0.003</w:t>
            </w:r>
          </w:p>
        </w:tc>
      </w:tr>
      <w:tr w:rsidR="00244B4C" w:rsidRPr="006A6E3F" w14:paraId="1CEEA4DD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9031985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Laminal soralia, number cm</w:t>
            </w: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perscript"/>
              </w:rPr>
              <w:t>-2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6F6B166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-0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.047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610064BA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423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7252921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0.240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17A7D6F8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</w:tr>
      <w:tr w:rsidR="00244B4C" w:rsidRPr="006A6E3F" w14:paraId="2670CC87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A3771AE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All soralia, number cm</w:t>
            </w: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  <w:vertAlign w:val="superscript"/>
              </w:rPr>
              <w:t>-2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C10C6F4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-0.160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7AAD2E97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0.006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0E160A6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0.219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41459BA4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</w:tr>
      <w:tr w:rsidR="00244B4C" w:rsidRPr="006A6E3F" w14:paraId="0BF0BFE8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0632ABD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Marginal soralia, percent cover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76B6A62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-0.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033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3EDCDD49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569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A220F63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0.257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47B528F3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</w:tr>
      <w:tr w:rsidR="00244B4C" w:rsidRPr="006A6E3F" w14:paraId="118EFE14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DFEE1A7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Laminal soralia, percent cover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6238A41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-0.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016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3C7B9723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779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C61E40B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0.268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02765B08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</w:tr>
      <w:tr w:rsidR="00244B4C" w:rsidRPr="006A6E3F" w14:paraId="565BF703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5B5F346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All soralia, percent cover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042A324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-0.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033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37796655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573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757A4F1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0.285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085F9822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</w:tr>
      <w:tr w:rsidR="00244B4C" w:rsidRPr="006A6E3F" w14:paraId="14334D9D" w14:textId="77777777" w:rsidTr="00746BE5">
        <w:tc>
          <w:tcPr>
            <w:tcW w:w="2548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12023CE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Change in percent cover of all soralia</w:t>
            </w:r>
          </w:p>
        </w:tc>
        <w:tc>
          <w:tcPr>
            <w:tcW w:w="56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90A5705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-0.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039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4CB95C11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500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E0DDEAD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0.270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FEFEFE"/>
          </w:tcPr>
          <w:p w14:paraId="75247F44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</w:tr>
      <w:tr w:rsidR="00244B4C" w:rsidRPr="006A6E3F" w14:paraId="3621EFD6" w14:textId="77777777" w:rsidTr="00746BE5">
        <w:tc>
          <w:tcPr>
            <w:tcW w:w="25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F3547E5" w14:textId="77777777" w:rsidR="00244B4C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Percent change in STM</w:t>
            </w:r>
          </w:p>
        </w:tc>
        <w:tc>
          <w:tcPr>
            <w:tcW w:w="5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A13D717" w14:textId="77777777" w:rsidR="00244B4C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-0.098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EFEFE"/>
          </w:tcPr>
          <w:p w14:paraId="362F37FE" w14:textId="77777777" w:rsidR="00244B4C" w:rsidRPr="006A6E3F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</w:pPr>
            <w:r w:rsidRPr="006A6E3F"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0.</w:t>
            </w:r>
            <w:r>
              <w:rPr>
                <w:rFonts w:ascii="Arial" w:eastAsia="Times New Roman" w:hAnsi="Arial" w:cs="Arial"/>
                <w:bCs/>
                <w:color w:val="000000" w:themeColor="text1"/>
                <w:kern w:val="0"/>
              </w:rPr>
              <w:t>092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C83CC50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0.434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EFEFE"/>
          </w:tcPr>
          <w:p w14:paraId="7741E603" w14:textId="77777777" w:rsidR="00244B4C" w:rsidRPr="004A0C18" w:rsidRDefault="00244B4C" w:rsidP="00746BE5">
            <w:pPr>
              <w:shd w:val="clear" w:color="auto" w:fill="FEFEFE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</w:pPr>
            <w:r w:rsidRPr="004A0C18">
              <w:rPr>
                <w:rFonts w:ascii="Arial" w:eastAsia="Times New Roman" w:hAnsi="Arial" w:cs="Arial"/>
                <w:b/>
                <w:color w:val="000000" w:themeColor="text1"/>
                <w:kern w:val="0"/>
              </w:rPr>
              <w:t>&lt;0.001</w:t>
            </w:r>
          </w:p>
        </w:tc>
      </w:tr>
    </w:tbl>
    <w:p w14:paraId="4EFAAA33" w14:textId="77777777" w:rsidR="00244B4C" w:rsidRPr="003819C9" w:rsidRDefault="00244B4C" w:rsidP="00244B4C">
      <w:pPr>
        <w:rPr>
          <w:rFonts w:ascii="Arial" w:hAnsi="Arial" w:cs="Arial"/>
          <w:noProof/>
        </w:rPr>
      </w:pPr>
      <w:r w:rsidRPr="006A6E3F">
        <w:rPr>
          <w:rFonts w:ascii="Arial" w:hAnsi="Arial" w:cs="Arial"/>
          <w:bCs/>
          <w:color w:val="000000" w:themeColor="text1"/>
        </w:rPr>
        <w:t xml:space="preserve">The correlation coefficient between </w:t>
      </w:r>
      <w:proofErr w:type="spellStart"/>
      <w:r>
        <w:rPr>
          <w:rFonts w:ascii="Arial" w:hAnsi="Arial" w:cs="Arial"/>
          <w:bCs/>
          <w:color w:val="000000" w:themeColor="text1"/>
        </w:rPr>
        <w:t>STW</w:t>
      </w:r>
      <w:r w:rsidRPr="00D21306">
        <w:rPr>
          <w:rFonts w:ascii="Arial" w:hAnsi="Arial" w:cs="Arial"/>
          <w:bCs/>
          <w:color w:val="000000" w:themeColor="text1"/>
          <w:vertAlign w:val="subscript"/>
        </w:rPr>
        <w:t>start</w:t>
      </w:r>
      <w:proofErr w:type="spellEnd"/>
      <w:r w:rsidRPr="006A6E3F">
        <w:rPr>
          <w:rFonts w:ascii="Arial" w:hAnsi="Arial" w:cs="Arial"/>
          <w:bCs/>
          <w:color w:val="000000" w:themeColor="text1"/>
        </w:rPr>
        <w:t xml:space="preserve"> and </w:t>
      </w:r>
      <w:proofErr w:type="spellStart"/>
      <w:r>
        <w:rPr>
          <w:rFonts w:ascii="Arial" w:eastAsia="Times New Roman" w:hAnsi="Arial" w:cs="Arial"/>
          <w:bCs/>
          <w:color w:val="000000" w:themeColor="text1"/>
          <w:kern w:val="0"/>
        </w:rPr>
        <w:t>A</w:t>
      </w:r>
      <w:r w:rsidRPr="00D21306">
        <w:rPr>
          <w:rFonts w:ascii="Arial" w:eastAsia="Times New Roman" w:hAnsi="Arial" w:cs="Arial"/>
          <w:bCs/>
          <w:color w:val="000000" w:themeColor="text1"/>
          <w:kern w:val="0"/>
          <w:vertAlign w:val="subscript"/>
        </w:rPr>
        <w:t>start</w:t>
      </w:r>
      <w:proofErr w:type="spellEnd"/>
      <w:r w:rsidRPr="006A6E3F">
        <w:rPr>
          <w:rFonts w:ascii="Arial" w:eastAsia="Times New Roman" w:hAnsi="Arial" w:cs="Arial"/>
          <w:bCs/>
          <w:color w:val="000000" w:themeColor="text1"/>
          <w:kern w:val="0"/>
        </w:rPr>
        <w:t xml:space="preserve"> was</w:t>
      </w:r>
      <w:r>
        <w:rPr>
          <w:rFonts w:ascii="Arial" w:eastAsia="Times New Roman" w:hAnsi="Arial" w:cs="Arial"/>
          <w:bCs/>
          <w:color w:val="000000" w:themeColor="text1"/>
          <w:kern w:val="0"/>
        </w:rPr>
        <w:t xml:space="preserve"> </w:t>
      </w:r>
      <w:r w:rsidRPr="00F2701F">
        <w:rPr>
          <w:rFonts w:ascii="Arial" w:eastAsia="Times New Roman" w:hAnsi="Arial" w:cs="Arial"/>
          <w:bCs/>
          <w:i/>
          <w:iCs/>
          <w:color w:val="000000" w:themeColor="text1"/>
          <w:kern w:val="0"/>
        </w:rPr>
        <w:t>r</w:t>
      </w:r>
      <w:r>
        <w:rPr>
          <w:rFonts w:ascii="Arial" w:eastAsia="Times New Roman" w:hAnsi="Arial" w:cs="Arial"/>
          <w:bCs/>
          <w:color w:val="000000" w:themeColor="text1"/>
          <w:kern w:val="0"/>
        </w:rPr>
        <w:t xml:space="preserve"> =</w:t>
      </w:r>
      <w:r w:rsidRPr="006A6E3F">
        <w:rPr>
          <w:rFonts w:ascii="Arial" w:eastAsia="Times New Roman" w:hAnsi="Arial" w:cs="Arial"/>
          <w:bCs/>
          <w:color w:val="000000" w:themeColor="text1"/>
          <w:kern w:val="0"/>
        </w:rPr>
        <w:t xml:space="preserve"> 0.</w:t>
      </w:r>
      <w:r>
        <w:rPr>
          <w:rFonts w:ascii="Arial" w:eastAsia="Times New Roman" w:hAnsi="Arial" w:cs="Arial"/>
          <w:bCs/>
          <w:color w:val="000000" w:themeColor="text1"/>
          <w:kern w:val="0"/>
        </w:rPr>
        <w:t>285</w:t>
      </w:r>
      <w:r w:rsidRPr="006A6E3F">
        <w:rPr>
          <w:rFonts w:ascii="Arial" w:eastAsia="Times New Roman" w:hAnsi="Arial" w:cs="Arial"/>
          <w:bCs/>
          <w:color w:val="000000" w:themeColor="text1"/>
          <w:kern w:val="0"/>
        </w:rPr>
        <w:t xml:space="preserve">; </w:t>
      </w:r>
      <w:r w:rsidRPr="006A6E3F">
        <w:rPr>
          <w:rFonts w:ascii="Arial" w:eastAsia="Times New Roman" w:hAnsi="Arial" w:cs="Arial"/>
          <w:bCs/>
          <w:i/>
          <w:iCs/>
          <w:color w:val="000000" w:themeColor="text1"/>
          <w:kern w:val="0"/>
        </w:rPr>
        <w:t>P</w:t>
      </w:r>
      <w:r w:rsidRPr="006A6E3F">
        <w:rPr>
          <w:rFonts w:ascii="Arial" w:eastAsia="Times New Roman" w:hAnsi="Arial" w:cs="Arial"/>
          <w:bCs/>
          <w:color w:val="000000" w:themeColor="text1"/>
          <w:kern w:val="0"/>
        </w:rPr>
        <w:t xml:space="preserve"> &lt; 0.001</w:t>
      </w:r>
      <w:r>
        <w:rPr>
          <w:rFonts w:ascii="Arial" w:eastAsia="Times New Roman" w:hAnsi="Arial" w:cs="Arial"/>
          <w:bCs/>
          <w:color w:val="000000" w:themeColor="text1"/>
          <w:kern w:val="0"/>
        </w:rPr>
        <w:t xml:space="preserve">; for </w:t>
      </w:r>
      <w:proofErr w:type="spellStart"/>
      <w:r>
        <w:rPr>
          <w:rFonts w:ascii="Arial" w:hAnsi="Arial" w:cs="Arial"/>
          <w:bCs/>
          <w:color w:val="000000" w:themeColor="text1"/>
        </w:rPr>
        <w:t>STW</w:t>
      </w:r>
      <w:r>
        <w:rPr>
          <w:rFonts w:ascii="Arial" w:hAnsi="Arial" w:cs="Arial"/>
          <w:bCs/>
          <w:color w:val="000000" w:themeColor="text1"/>
          <w:vertAlign w:val="subscript"/>
        </w:rPr>
        <w:t>end</w:t>
      </w:r>
      <w:proofErr w:type="spellEnd"/>
      <w:r w:rsidRPr="006A6E3F">
        <w:rPr>
          <w:rFonts w:ascii="Arial" w:hAnsi="Arial" w:cs="Arial"/>
          <w:bCs/>
          <w:color w:val="000000" w:themeColor="text1"/>
        </w:rPr>
        <w:t xml:space="preserve"> and </w:t>
      </w:r>
      <w:proofErr w:type="spellStart"/>
      <w:r>
        <w:rPr>
          <w:rFonts w:ascii="Arial" w:eastAsia="Times New Roman" w:hAnsi="Arial" w:cs="Arial"/>
          <w:bCs/>
          <w:color w:val="000000" w:themeColor="text1"/>
          <w:kern w:val="0"/>
        </w:rPr>
        <w:t>A</w:t>
      </w:r>
      <w:r>
        <w:rPr>
          <w:rFonts w:ascii="Arial" w:eastAsia="Times New Roman" w:hAnsi="Arial" w:cs="Arial"/>
          <w:bCs/>
          <w:color w:val="000000" w:themeColor="text1"/>
          <w:kern w:val="0"/>
          <w:vertAlign w:val="subscript"/>
        </w:rPr>
        <w:t>end</w:t>
      </w:r>
      <w:proofErr w:type="spellEnd"/>
      <w:r>
        <w:rPr>
          <w:rFonts w:ascii="Arial" w:eastAsia="Times New Roman" w:hAnsi="Arial" w:cs="Arial"/>
          <w:bCs/>
          <w:color w:val="000000" w:themeColor="text1"/>
          <w:kern w:val="0"/>
        </w:rPr>
        <w:t xml:space="preserve">: </w:t>
      </w:r>
      <w:r w:rsidRPr="00F2701F">
        <w:rPr>
          <w:rFonts w:ascii="Arial" w:eastAsia="Times New Roman" w:hAnsi="Arial" w:cs="Arial"/>
          <w:bCs/>
          <w:i/>
          <w:iCs/>
          <w:color w:val="000000" w:themeColor="text1"/>
          <w:kern w:val="0"/>
        </w:rPr>
        <w:t>r</w:t>
      </w:r>
      <w:r>
        <w:rPr>
          <w:rFonts w:ascii="Arial" w:eastAsia="Times New Roman" w:hAnsi="Arial" w:cs="Arial"/>
          <w:bCs/>
          <w:color w:val="000000" w:themeColor="text1"/>
          <w:kern w:val="0"/>
        </w:rPr>
        <w:t xml:space="preserve"> = 0.164; </w:t>
      </w:r>
      <w:r w:rsidRPr="006A6E3F">
        <w:rPr>
          <w:rFonts w:ascii="Arial" w:eastAsia="Times New Roman" w:hAnsi="Arial" w:cs="Arial"/>
          <w:bCs/>
          <w:i/>
          <w:iCs/>
          <w:color w:val="000000" w:themeColor="text1"/>
          <w:kern w:val="0"/>
        </w:rPr>
        <w:t>P</w:t>
      </w:r>
      <w:r w:rsidRPr="006A6E3F">
        <w:rPr>
          <w:rFonts w:ascii="Arial" w:eastAsia="Times New Roman" w:hAnsi="Arial" w:cs="Arial"/>
          <w:bCs/>
          <w:color w:val="000000" w:themeColor="text1"/>
          <w:kern w:val="0"/>
        </w:rPr>
        <w:t xml:space="preserve"> </w:t>
      </w:r>
      <w:r>
        <w:rPr>
          <w:rFonts w:ascii="Arial" w:eastAsia="Times New Roman" w:hAnsi="Arial" w:cs="Arial"/>
          <w:bCs/>
          <w:color w:val="000000" w:themeColor="text1"/>
          <w:kern w:val="0"/>
        </w:rPr>
        <w:t>=</w:t>
      </w:r>
      <w:r w:rsidRPr="006A6E3F">
        <w:rPr>
          <w:rFonts w:ascii="Arial" w:eastAsia="Times New Roman" w:hAnsi="Arial" w:cs="Arial"/>
          <w:bCs/>
          <w:color w:val="000000" w:themeColor="text1"/>
          <w:kern w:val="0"/>
        </w:rPr>
        <w:t xml:space="preserve"> 0.00</w:t>
      </w:r>
      <w:r>
        <w:rPr>
          <w:rFonts w:ascii="Arial" w:eastAsia="Times New Roman" w:hAnsi="Arial" w:cs="Arial"/>
          <w:bCs/>
          <w:color w:val="000000" w:themeColor="text1"/>
          <w:kern w:val="0"/>
        </w:rPr>
        <w:t>5.</w:t>
      </w:r>
      <w:r w:rsidRPr="006A6E3F">
        <w:rPr>
          <w:rFonts w:ascii="Arial" w:eastAsia="Times New Roman" w:hAnsi="Arial" w:cs="Arial"/>
          <w:bCs/>
          <w:color w:val="000000" w:themeColor="text1"/>
          <w:kern w:val="0"/>
        </w:rPr>
        <w:t xml:space="preserve"> The </w:t>
      </w:r>
      <w:r>
        <w:rPr>
          <w:rFonts w:ascii="Arial" w:eastAsia="Times New Roman" w:hAnsi="Arial" w:cs="Arial"/>
          <w:bCs/>
          <w:color w:val="000000" w:themeColor="text1"/>
          <w:kern w:val="0"/>
        </w:rPr>
        <w:t>area and STM</w:t>
      </w:r>
      <w:r w:rsidRPr="006A6E3F">
        <w:rPr>
          <w:rFonts w:ascii="Arial" w:eastAsia="Times New Roman" w:hAnsi="Arial" w:cs="Arial"/>
          <w:bCs/>
          <w:color w:val="000000" w:themeColor="text1"/>
          <w:kern w:val="0"/>
        </w:rPr>
        <w:t xml:space="preserve"> data</w:t>
      </w:r>
      <w:r>
        <w:rPr>
          <w:rFonts w:ascii="Arial" w:eastAsia="Times New Roman" w:hAnsi="Arial" w:cs="Arial"/>
          <w:bCs/>
          <w:color w:val="000000" w:themeColor="text1"/>
          <w:kern w:val="0"/>
        </w:rPr>
        <w:t xml:space="preserve"> </w:t>
      </w:r>
      <w:r w:rsidRPr="006A6E3F">
        <w:rPr>
          <w:rFonts w:ascii="Arial" w:eastAsia="Times New Roman" w:hAnsi="Arial" w:cs="Arial"/>
          <w:bCs/>
          <w:color w:val="000000" w:themeColor="text1"/>
          <w:kern w:val="0"/>
        </w:rPr>
        <w:t>were retrieved from</w:t>
      </w:r>
      <w:r>
        <w:rPr>
          <w:rFonts w:ascii="Arial" w:eastAsia="Times New Roman" w:hAnsi="Arial" w:cs="Arial"/>
          <w:bCs/>
          <w:color w:val="000000" w:themeColor="text1"/>
          <w:kern w:val="0"/>
        </w:rPr>
        <w:t xml:space="preserve"> </w:t>
      </w:r>
      <w:r w:rsidRPr="00B0113D">
        <w:rPr>
          <w:rFonts w:ascii="Arial" w:hAnsi="Arial" w:cs="Arial"/>
          <w:noProof/>
        </w:rPr>
        <w:t>Gauslaa and Goward</w:t>
      </w:r>
      <w:r w:rsidRPr="006A6E3F">
        <w:rPr>
          <w:rFonts w:ascii="Arial" w:eastAsia="Times New Roman" w:hAnsi="Arial" w:cs="Arial"/>
          <w:bCs/>
          <w:color w:val="000000" w:themeColor="text1"/>
          <w:kern w:val="0"/>
        </w:rPr>
        <w:t xml:space="preserve"> </w:t>
      </w:r>
      <w:r>
        <w:rPr>
          <w:rFonts w:ascii="Arial" w:eastAsia="Times New Roman" w:hAnsi="Arial" w:cs="Arial"/>
          <w:bCs/>
          <w:color w:val="000000" w:themeColor="text1"/>
          <w:kern w:val="0"/>
        </w:rPr>
        <w:fldChar w:fldCharType="begin"/>
      </w:r>
      <w:r>
        <w:rPr>
          <w:rFonts w:ascii="Arial" w:eastAsia="Times New Roman" w:hAnsi="Arial" w:cs="Arial"/>
          <w:bCs/>
          <w:color w:val="000000" w:themeColor="text1"/>
          <w:kern w:val="0"/>
        </w:rPr>
        <w:instrText xml:space="preserve"> ADDIN EN.CITE &lt;EndNote&gt;&lt;Cite ExcludeAuth="1"&gt;&lt;Author&gt;Gauslaa&lt;/Author&gt;&lt;Year&gt;2012&lt;/Year&gt;&lt;RecNum&gt;3885&lt;/RecNum&gt;&lt;DisplayText&gt;(2012)&lt;/DisplayText&gt;&lt;record&gt;&lt;rec-number&gt;3885&lt;/rec-number&gt;&lt;foreign-keys&gt;&lt;key app="EN" db-id="059vsa2t8axzaretr22xdwf45dpaappaxzxd" timestamp="1392970658"&gt;3885&lt;/key&gt;&lt;/foreign-keys&gt;&lt;ref-type name="Journal Article"&gt;17&lt;/ref-type&gt;&lt;contributors&gt;&lt;authors&gt;&lt;author&gt;Gauslaa,Y.&lt;/author&gt;&lt;author&gt;Goward,T.&lt;/author</w:instrText>
      </w:r>
      <w:r>
        <w:rPr>
          <w:rFonts w:ascii="Arial" w:eastAsia="Times New Roman" w:hAnsi="Arial" w:cs="Arial"/>
          <w:bCs/>
          <w:color w:val="000000" w:themeColor="text1"/>
          <w:kern w:val="0"/>
        </w:rPr>
        <w:lastRenderedPageBreak/>
        <w:instrText>&gt;&lt;/authors&gt;&lt;/contributors&gt;&lt;titles&gt;&lt;title&gt;&lt;style face="normal" font="default" size="100%"&gt;Relative growth rates of two epiphytic lichens, &lt;/style&gt;&lt;style face="italic" font="default" size="100%"&gt;Lobaria pulmonaria&lt;/style&gt;&lt;style face="normal" font="default" size="100%"&gt; and &lt;/style&gt;&lt;style face="italic" font="default" size="100%"&gt;Hypogymnia occidentalis&lt;/style&gt;&lt;style face="normal" font="default" size="100%"&gt;, transplanted within and outside of &lt;/style&gt;&lt;style face="italic" font="default" size="100%"&gt;Populus &lt;/style&gt;&lt;style face="normal" font="default" size="100%"&gt;dripzones&lt;/style&gt;&lt;/title&gt;&lt;secondary-title&gt;Botany&lt;/secondary-title&gt;&lt;/titles&gt;&lt;periodical&gt;&lt;full-title&gt;Botany&lt;/full-title&gt;&lt;/periodical&gt;&lt;pages&gt;954-965&lt;/pages&gt;&lt;volume&gt;90&lt;/volume&gt;&lt;reprint-edition&gt;In File&lt;/reprint-edition&gt;&lt;keywords&gt;&lt;keyword&gt;GROWTH&lt;/keyword&gt;&lt;keyword&gt;GROWTH RATE&lt;/keyword&gt;&lt;keyword&gt;EPIPHYTIC LICHENS&lt;/keyword&gt;&lt;keyword&gt;LICHENS&lt;/keyword&gt;&lt;keyword&gt;Lichen&lt;/keyword&gt;&lt;keyword&gt;LOBARIA&lt;/keyword&gt;&lt;keyword&gt;LOBARIA PULMONARIA&lt;/keyword&gt;&lt;keyword&gt;HYPOGYMNIA&lt;/keyword&gt;&lt;keyword&gt;POPULUS&lt;/keyword&gt;&lt;/keywords&gt;&lt;dates&gt;&lt;year&gt;2012&lt;/year&gt;&lt;pub-dates&gt;&lt;date&gt;2012&lt;/date&gt;&lt;/pub-dates&gt;&lt;/dates&gt;&lt;label&gt;3995&lt;/label&gt;&lt;urls&gt;&lt;/urls&gt;&lt;electronic-resource-num&gt;doi:10.1139/B2012-062&lt;/electronic-resource-num&gt;&lt;/record&gt;&lt;/Cite&gt;&lt;/EndNote&gt;</w:instrText>
      </w:r>
      <w:r>
        <w:rPr>
          <w:rFonts w:ascii="Arial" w:eastAsia="Times New Roman" w:hAnsi="Arial" w:cs="Arial"/>
          <w:bCs/>
          <w:color w:val="000000" w:themeColor="text1"/>
          <w:kern w:val="0"/>
        </w:rPr>
        <w:fldChar w:fldCharType="separate"/>
      </w:r>
      <w:r>
        <w:rPr>
          <w:rFonts w:ascii="Arial" w:eastAsia="Times New Roman" w:hAnsi="Arial" w:cs="Arial"/>
          <w:bCs/>
          <w:noProof/>
          <w:color w:val="000000" w:themeColor="text1"/>
          <w:kern w:val="0"/>
        </w:rPr>
        <w:t>(2012)</w:t>
      </w:r>
      <w:r>
        <w:rPr>
          <w:rFonts w:ascii="Arial" w:eastAsia="Times New Roman" w:hAnsi="Arial" w:cs="Arial"/>
          <w:bCs/>
          <w:color w:val="000000" w:themeColor="text1"/>
          <w:kern w:val="0"/>
        </w:rPr>
        <w:fldChar w:fldCharType="end"/>
      </w:r>
      <w:r>
        <w:rPr>
          <w:rFonts w:ascii="Arial" w:eastAsia="Times New Roman" w:hAnsi="Arial" w:cs="Arial"/>
          <w:bCs/>
          <w:color w:val="000000" w:themeColor="text1"/>
          <w:kern w:val="0"/>
        </w:rPr>
        <w:t xml:space="preserve"> and</w:t>
      </w:r>
      <w:r w:rsidRPr="00B0113D">
        <w:rPr>
          <w:rFonts w:ascii="Arial" w:hAnsi="Arial" w:cs="Arial"/>
          <w:noProof/>
        </w:rPr>
        <w:t xml:space="preserve"> Bidussi et al.</w:t>
      </w:r>
      <w:r>
        <w:rPr>
          <w:rFonts w:ascii="Arial" w:hAnsi="Arial" w:cs="Arial"/>
          <w:noProof/>
        </w:rPr>
        <w:t xml:space="preserve"> </w:t>
      </w:r>
      <w:r>
        <w:rPr>
          <w:rFonts w:ascii="Arial" w:hAnsi="Arial" w:cs="Arial"/>
          <w:noProof/>
        </w:rPr>
        <w:fldChar w:fldCharType="begin"/>
      </w:r>
      <w:r>
        <w:rPr>
          <w:rFonts w:ascii="Arial" w:hAnsi="Arial" w:cs="Arial"/>
          <w:noProof/>
        </w:rPr>
        <w:instrText xml:space="preserve"> ADDIN EN.CITE &lt;EndNote&gt;&lt;Cite ExcludeAuth="1"&gt;&lt;Author&gt;Bidussi&lt;/Author&gt;&lt;Year&gt;2013&lt;/Year&gt;&lt;RecNum&gt;4088&lt;/RecNum&gt;&lt;DisplayText&gt;(2013)&lt;/DisplayText&gt;&lt;record&gt;&lt;rec-number&gt;4088&lt;/rec-number&gt;&lt;foreign-keys&gt;&lt;key app="EN" db-id="059vsa2t8axzaretr22xdwf45dpaappaxzxd" timestamp="1392970659"&gt;4088&lt;/key&gt;&lt;/foreign-keys&gt;&lt;ref-type name="Journal Article"&gt;17&lt;/ref-type&gt;&lt;contributors&gt;&lt;authors&gt;&lt;author&gt;Bidussi,M.&lt;/author&gt;&lt;author&gt;Goward,T.&lt;/author&gt;&lt;author&gt;Gauslaa,Y.&lt;/author&gt;&lt;/authors&gt;&lt;/contributors&gt;&lt;titles&gt;&lt;title&gt;&lt;style face="normal" font="default" size="100%"&gt;Growth and secondary compounds investments in the epiphytic lichens &lt;/style&gt;&lt;style face="italic" font="default" size="100%"&gt;Lobaria pulmonaria&lt;/style&gt;&lt;style face="normal" font="default" size="100%"&gt; and &lt;/style&gt;&lt;style face="italic" font="default" size="100%"&gt;Hypogymnia occidentalis&lt;/style&gt;&lt;style face="normal" font="default" size="100%"&gt; transplanted along an altitudinal gradient in British Columbia&lt;/style&gt;&lt;/title&gt;&lt;secondary-title&gt;Botany&lt;/secondary-title&gt;&lt;/titles&gt;&lt;periodical&gt;&lt;full-title&gt;Botany&lt;/full-title&gt;&lt;/periodical&gt;&lt;pages&gt;621-630&lt;/pages&gt;&lt;volume&gt;91&lt;/volume&gt;&lt;reprint-edition&gt;In File&lt;/reprint-edition&gt;&lt;keywords&gt;&lt;keyword&gt;EPIPHYTIC LICHENS&lt;/keyword&gt;&lt;keyword&gt;GROWTH&lt;/keyword&gt;&lt;keyword&gt;HYPOGYMNIA&lt;/keyword&gt;&lt;keyword&gt;Lichen&lt;/keyword&gt;&lt;keyword&gt;LICHENS&lt;/keyword&gt;&lt;keyword&gt;LOBARIA&lt;/keyword&gt;&lt;keyword&gt;LOBARIA PULMONARIA&lt;/keyword&gt;&lt;keyword&gt;SECONDARY </w:instrText>
      </w:r>
      <w:r>
        <w:rPr>
          <w:rFonts w:ascii="Arial" w:hAnsi="Arial" w:cs="Arial"/>
          <w:noProof/>
        </w:rPr>
        <w:lastRenderedPageBreak/>
        <w:instrText>COMPOUNDS&lt;/keyword&gt;&lt;/keywords&gt;&lt;dates&gt;&lt;year&gt;2013&lt;/year&gt;&lt;pub-dates&gt;&lt;date&gt;2013&lt;/date&gt;&lt;/pub-dates&gt;&lt;/dates&gt;&lt;label&gt;4212&lt;/label&gt;&lt;urls&gt;&lt;/urls&gt;&lt;electronic-resource-num&gt;https://doi.org/10.1139/cjb-2013-0088&lt;/electronic-resource-num&gt;&lt;/record&gt;&lt;/Cite&gt;&lt;/EndNote&gt;</w:instrText>
      </w:r>
      <w:r>
        <w:rPr>
          <w:rFonts w:ascii="Arial" w:hAnsi="Arial" w:cs="Arial"/>
          <w:noProof/>
        </w:rPr>
        <w:fldChar w:fldCharType="separate"/>
      </w:r>
      <w:r>
        <w:rPr>
          <w:rFonts w:ascii="Arial" w:hAnsi="Arial" w:cs="Arial"/>
          <w:noProof/>
        </w:rPr>
        <w:t>(2013)</w:t>
      </w:r>
      <w:r>
        <w:rPr>
          <w:rFonts w:ascii="Arial" w:hAnsi="Arial" w:cs="Arial"/>
          <w:noProof/>
        </w:rPr>
        <w:fldChar w:fldCharType="end"/>
      </w:r>
      <w:r>
        <w:rPr>
          <w:rFonts w:ascii="Arial" w:hAnsi="Arial" w:cs="Arial"/>
          <w:noProof/>
        </w:rPr>
        <w:t xml:space="preserve">. Significant correlations at </w:t>
      </w:r>
      <w:r>
        <w:rPr>
          <w:rFonts w:ascii="Arial" w:hAnsi="Arial" w:cs="Arial"/>
          <w:i/>
          <w:iCs/>
          <w:noProof/>
        </w:rPr>
        <w:t xml:space="preserve">P </w:t>
      </w:r>
      <w:r w:rsidRPr="001D47DB">
        <w:rPr>
          <w:rFonts w:ascii="Arial" w:hAnsi="Arial" w:cs="Arial"/>
          <w:noProof/>
        </w:rPr>
        <w:t>&lt; 0.0</w:t>
      </w:r>
      <w:r>
        <w:rPr>
          <w:rFonts w:ascii="Arial" w:hAnsi="Arial" w:cs="Arial"/>
          <w:noProof/>
        </w:rPr>
        <w:t xml:space="preserve">5 are marked in </w:t>
      </w:r>
      <w:r>
        <w:rPr>
          <w:rFonts w:ascii="Arial" w:hAnsi="Arial" w:cs="Arial"/>
          <w:b/>
          <w:bCs/>
          <w:noProof/>
        </w:rPr>
        <w:t>bold</w:t>
      </w:r>
      <w:r>
        <w:rPr>
          <w:rFonts w:ascii="Arial" w:hAnsi="Arial" w:cs="Arial"/>
          <w:noProof/>
        </w:rPr>
        <w:t>.</w:t>
      </w:r>
    </w:p>
    <w:p w14:paraId="01604EFB" w14:textId="77777777" w:rsidR="00244B4C" w:rsidRPr="0043650C" w:rsidRDefault="00244B4C" w:rsidP="00244B4C">
      <w:pPr>
        <w:rPr>
          <w:rFonts w:ascii="Arial" w:hAnsi="Arial" w:cs="Arial"/>
          <w:b/>
          <w:bCs/>
        </w:rPr>
      </w:pPr>
      <w:r>
        <w:rPr>
          <w:rFonts w:ascii="Arial" w:hAnsi="Arial" w:cs="Arial"/>
          <w:noProof/>
        </w:rPr>
        <w:t>References:</w:t>
      </w:r>
    </w:p>
    <w:p w14:paraId="572E2DFF" w14:textId="5FAE0D7F" w:rsidR="00E40A38" w:rsidRPr="00E40A38" w:rsidRDefault="00244B4C" w:rsidP="00E40A38">
      <w:pPr>
        <w:pStyle w:val="EndNoteBibliography"/>
        <w:spacing w:after="0"/>
        <w:ind w:left="720" w:hanging="720"/>
      </w:pPr>
      <w:r>
        <w:rPr>
          <w:rFonts w:ascii="Arial" w:hAnsi="Arial" w:cs="Arial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ldChar w:fldCharType="begin"/>
      </w:r>
      <w:r>
        <w:rPr>
          <w:rFonts w:ascii="Arial" w:hAnsi="Arial" w:cs="Arial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nstrText xml:space="preserve"> ADDIN EN.REFLIST </w:instrText>
      </w:r>
      <w:r>
        <w:rPr>
          <w:rFonts w:ascii="Arial" w:hAnsi="Arial" w:cs="Arial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ldChar w:fldCharType="separate"/>
      </w:r>
      <w:r w:rsidR="00E40A38" w:rsidRPr="00E40A38">
        <w:t xml:space="preserve">Bidussi M, Goward T, Gauslaa Y (2013) Growth and secondary compounds investments in the epiphytic lichens </w:t>
      </w:r>
      <w:r w:rsidR="00E40A38" w:rsidRPr="00E40A38">
        <w:rPr>
          <w:i/>
        </w:rPr>
        <w:t>Lobaria pulmonaria</w:t>
      </w:r>
      <w:r w:rsidR="00E40A38" w:rsidRPr="00E40A38">
        <w:t xml:space="preserve"> and </w:t>
      </w:r>
      <w:r w:rsidR="00E40A38" w:rsidRPr="00E40A38">
        <w:rPr>
          <w:i/>
        </w:rPr>
        <w:t>Hypogymnia occidentalis</w:t>
      </w:r>
      <w:r w:rsidR="00E40A38" w:rsidRPr="00E40A38">
        <w:t xml:space="preserve"> transplanted along an altitudinal gradient in British Columbia. Botany 91:621–630. doi:</w:t>
      </w:r>
      <w:hyperlink r:id="rId4" w:history="1">
        <w:r w:rsidR="00E40A38" w:rsidRPr="00E40A38">
          <w:rPr>
            <w:rStyle w:val="Hyperlink"/>
          </w:rPr>
          <w:t>https://doi.org/10.1139/cjb-2013-0088</w:t>
        </w:r>
      </w:hyperlink>
    </w:p>
    <w:p w14:paraId="2F5535AF" w14:textId="77777777" w:rsidR="00E40A38" w:rsidRPr="00E40A38" w:rsidRDefault="00E40A38" w:rsidP="00E40A38">
      <w:pPr>
        <w:pStyle w:val="EndNoteBibliography"/>
        <w:ind w:left="720" w:hanging="720"/>
      </w:pPr>
      <w:r w:rsidRPr="00E40A38">
        <w:t xml:space="preserve">Gauslaa Y, Goward T (2012) Relative growth rates of two epiphytic lichens, </w:t>
      </w:r>
      <w:r w:rsidRPr="00E40A38">
        <w:rPr>
          <w:i/>
        </w:rPr>
        <w:t>Lobaria pulmonaria</w:t>
      </w:r>
      <w:r w:rsidRPr="00E40A38">
        <w:t xml:space="preserve"> and </w:t>
      </w:r>
      <w:r w:rsidRPr="00E40A38">
        <w:rPr>
          <w:i/>
        </w:rPr>
        <w:t>Hypogymnia occidentalis</w:t>
      </w:r>
      <w:r w:rsidRPr="00E40A38">
        <w:t xml:space="preserve">, transplanted within and outside of </w:t>
      </w:r>
      <w:r w:rsidRPr="00E40A38">
        <w:rPr>
          <w:i/>
        </w:rPr>
        <w:t xml:space="preserve">Populus </w:t>
      </w:r>
      <w:r w:rsidRPr="00E40A38">
        <w:t>dripzones. Botany 90:954–965. doi:doi:10.1139/B2012-062</w:t>
      </w:r>
    </w:p>
    <w:p w14:paraId="497C4FBA" w14:textId="21A76EDF" w:rsidR="00474C90" w:rsidRDefault="00244B4C" w:rsidP="00244B4C">
      <w:r>
        <w:rPr>
          <w:rFonts w:ascii="Arial" w:hAnsi="Arial" w:cs="Arial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ldChar w:fldCharType="end"/>
      </w:r>
    </w:p>
    <w:sectPr w:rsidR="00474C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Planta&lt;/Style&gt;&lt;LeftDelim&gt;{&lt;/LeftDelim&gt;&lt;RightDelim&gt;}&lt;/RightDelim&gt;&lt;FontName&gt;Apto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59vsa2t8axzaretr22xdwf45dpaappaxzxd&quot;&gt;YGAbib12-Converted&lt;record-ids&gt;&lt;item&gt;3885&lt;/item&gt;&lt;item&gt;4088&lt;/item&gt;&lt;/record-ids&gt;&lt;/item&gt;&lt;/Libraries&gt;"/>
  </w:docVars>
  <w:rsids>
    <w:rsidRoot w:val="00244B4C"/>
    <w:rsid w:val="00244B4C"/>
    <w:rsid w:val="00474C90"/>
    <w:rsid w:val="007D3B55"/>
    <w:rsid w:val="008273C9"/>
    <w:rsid w:val="00C64782"/>
    <w:rsid w:val="00E4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55CE6"/>
  <w15:chartTrackingRefBased/>
  <w15:docId w15:val="{C94590C9-4FF7-4617-A7A0-39B52D0B3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B4C"/>
  </w:style>
  <w:style w:type="paragraph" w:styleId="Heading1">
    <w:name w:val="heading 1"/>
    <w:basedOn w:val="Normal"/>
    <w:next w:val="Normal"/>
    <w:link w:val="Heading1Char"/>
    <w:uiPriority w:val="9"/>
    <w:qFormat/>
    <w:rsid w:val="00244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4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4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4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4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4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4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4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4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4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4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4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4B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4B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4B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4B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4B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4B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4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4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4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4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4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4B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4B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4B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B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4B4C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Normal"/>
    <w:link w:val="EndNoteBibliographyChar"/>
    <w:rsid w:val="00244B4C"/>
    <w:pPr>
      <w:spacing w:line="240" w:lineRule="auto"/>
    </w:pPr>
    <w:rPr>
      <w:rFonts w:ascii="Aptos" w:hAnsi="Aptos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44B4C"/>
    <w:rPr>
      <w:rFonts w:ascii="Aptos" w:hAnsi="Aptos"/>
      <w:noProof/>
    </w:rPr>
  </w:style>
  <w:style w:type="character" w:styleId="Hyperlink">
    <w:name w:val="Hyperlink"/>
    <w:basedOn w:val="DefaultParagraphFont"/>
    <w:uiPriority w:val="99"/>
    <w:unhideWhenUsed/>
    <w:rsid w:val="00244B4C"/>
    <w:rPr>
      <w:color w:val="467886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E40A38"/>
    <w:pPr>
      <w:spacing w:after="0"/>
      <w:jc w:val="center"/>
    </w:pPr>
    <w:rPr>
      <w:rFonts w:ascii="Aptos" w:hAnsi="Apto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40A38"/>
    <w:rPr>
      <w:rFonts w:ascii="Aptos" w:hAnsi="Aptos"/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E40A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i.org/10.1139/cjb-2013-008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876</Words>
  <Characters>4998</Characters>
  <Application>Microsoft Office Word</Application>
  <DocSecurity>0</DocSecurity>
  <Lines>41</Lines>
  <Paragraphs>11</Paragraphs>
  <ScaleCrop>false</ScaleCrop>
  <Company>NMBU</Company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Yngvar Gauslaa</dc:creator>
  <cp:keywords/>
  <dc:description/>
  <cp:lastModifiedBy>Yngvar Gauslaa</cp:lastModifiedBy>
  <cp:revision>2</cp:revision>
  <dcterms:created xsi:type="dcterms:W3CDTF">2025-12-18T08:15:00Z</dcterms:created>
  <dcterms:modified xsi:type="dcterms:W3CDTF">2026-03-04T11:55:00Z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0484126-3486-41a9-802e-7f1e2277276c_Enabled">
    <vt:lpwstr>true</vt:lpwstr>
  </property>
  <property fmtid="{D5CDD505-2E9C-101B-9397-08002B2CF9AE}" pid="3" name="MSIP_Label_d0484126-3486-41a9-802e-7f1e2277276c_SetDate">
    <vt:lpwstr>2025-12-18T08:20:23Z</vt:lpwstr>
  </property>
  <property fmtid="{D5CDD505-2E9C-101B-9397-08002B2CF9AE}" pid="4" name="MSIP_Label_d0484126-3486-41a9-802e-7f1e2277276c_Method">
    <vt:lpwstr>Standard</vt:lpwstr>
  </property>
  <property fmtid="{D5CDD505-2E9C-101B-9397-08002B2CF9AE}" pid="5" name="MSIP_Label_d0484126-3486-41a9-802e-7f1e2277276c_Name">
    <vt:lpwstr>d0484126-3486-41a9-802e-7f1e2277276c</vt:lpwstr>
  </property>
  <property fmtid="{D5CDD505-2E9C-101B-9397-08002B2CF9AE}" pid="6" name="MSIP_Label_d0484126-3486-41a9-802e-7f1e2277276c_SiteId">
    <vt:lpwstr>eec01f8e-737f-43e3-9ed5-f8a59913bd82</vt:lpwstr>
  </property>
  <property fmtid="{D5CDD505-2E9C-101B-9397-08002B2CF9AE}" pid="7" name="MSIP_Label_d0484126-3486-41a9-802e-7f1e2277276c_ActionId">
    <vt:lpwstr>87eb5dce-d6d2-4959-bb50-8303fe7f2fe8</vt:lpwstr>
  </property>
  <property fmtid="{D5CDD505-2E9C-101B-9397-08002B2CF9AE}" pid="8" name="MSIP_Label_d0484126-3486-41a9-802e-7f1e2277276c_ContentBits">
    <vt:lpwstr>0</vt:lpwstr>
  </property>
  <property fmtid="{D5CDD505-2E9C-101B-9397-08002B2CF9AE}" pid="9" name="MSIP_Label_d0484126-3486-41a9-802e-7f1e2277276c_Tag">
    <vt:lpwstr>10, 3, 0, 1</vt:lpwstr>
  </property>
</Properties>
</file>