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77BA74" w14:textId="77777777" w:rsidR="00BA4739" w:rsidRDefault="00BA4739" w:rsidP="00BD1600">
      <w:pPr>
        <w:spacing w:before="100" w:beforeAutospacing="1" w:after="100" w:afterAutospacing="1" w:line="480" w:lineRule="auto"/>
        <w:rPr>
          <w:rFonts w:ascii="Times New Roman" w:hAnsi="Times New Roman" w:cs="Times New Roman"/>
          <w:b/>
          <w:bCs/>
          <w:sz w:val="24"/>
          <w:szCs w:val="24"/>
        </w:rPr>
      </w:pPr>
    </w:p>
    <w:p w14:paraId="5225370F" w14:textId="0A57C6F1" w:rsidR="00BD1600" w:rsidRPr="0026148F" w:rsidRDefault="00BD1600" w:rsidP="00BD1600">
      <w:pPr>
        <w:spacing w:before="100" w:beforeAutospacing="1" w:after="100" w:afterAutospacing="1" w:line="480" w:lineRule="auto"/>
        <w:rPr>
          <w:rFonts w:ascii="Times New Roman" w:hAnsi="Times New Roman" w:cs="Times New Roman"/>
          <w:b/>
          <w:bCs/>
          <w:sz w:val="24"/>
          <w:szCs w:val="24"/>
        </w:rPr>
      </w:pPr>
      <w:r w:rsidRPr="0026148F">
        <w:rPr>
          <w:rFonts w:ascii="Times New Roman" w:hAnsi="Times New Roman" w:cs="Times New Roman"/>
          <w:b/>
          <w:bCs/>
          <w:sz w:val="24"/>
          <w:szCs w:val="24"/>
        </w:rPr>
        <w:t xml:space="preserve">Electronic Supplemental Material </w:t>
      </w:r>
    </w:p>
    <w:p w14:paraId="13E73092" w14:textId="77777777" w:rsidR="008D75AC" w:rsidRDefault="008D75AC">
      <w:pPr>
        <w:spacing w:before="240" w:after="240" w:line="240" w:lineRule="auto"/>
        <w:rPr>
          <w:rFonts w:ascii="Times New Roman" w:hAnsi="Times New Roman" w:cs="Times New Roman"/>
          <w:b/>
          <w:bCs/>
          <w:sz w:val="24"/>
          <w:szCs w:val="24"/>
        </w:rPr>
      </w:pPr>
    </w:p>
    <w:p w14:paraId="273F1467" w14:textId="77777777" w:rsidR="008D75AC" w:rsidRDefault="008D75AC" w:rsidP="008D75AC">
      <w:pPr>
        <w:spacing w:line="480" w:lineRule="auto"/>
        <w:rPr>
          <w:rFonts w:ascii="Times New Roman" w:hAnsi="Times New Roman" w:cs="Times New Roman"/>
          <w:b/>
          <w:bCs/>
          <w:sz w:val="24"/>
          <w:szCs w:val="24"/>
        </w:rPr>
      </w:pPr>
      <w:r>
        <w:rPr>
          <w:rFonts w:ascii="Times New Roman" w:hAnsi="Times New Roman" w:cs="Times New Roman"/>
          <w:b/>
          <w:bCs/>
          <w:sz w:val="24"/>
          <w:szCs w:val="24"/>
        </w:rPr>
        <w:t>Aphid honeydew reduces soil nitrogen and increases host plant growth</w:t>
      </w:r>
    </w:p>
    <w:p w14:paraId="460A0073" w14:textId="77777777" w:rsidR="008D75AC" w:rsidRDefault="008D75AC" w:rsidP="008D75AC">
      <w:pPr>
        <w:spacing w:line="480" w:lineRule="auto"/>
        <w:rPr>
          <w:rFonts w:ascii="Times New Roman" w:hAnsi="Times New Roman" w:cs="Times New Roman"/>
          <w:sz w:val="24"/>
          <w:szCs w:val="24"/>
        </w:rPr>
      </w:pPr>
    </w:p>
    <w:p w14:paraId="2ED64272" w14:textId="6866AD0F" w:rsidR="008D75AC" w:rsidRDefault="008D75AC" w:rsidP="008D75AC">
      <w:pPr>
        <w:spacing w:line="480" w:lineRule="auto"/>
        <w:rPr>
          <w:rFonts w:ascii="Times New Roman" w:hAnsi="Times New Roman" w:cs="Times New Roman"/>
          <w:sz w:val="24"/>
          <w:szCs w:val="24"/>
        </w:rPr>
      </w:pPr>
      <w:r w:rsidRPr="00A35CAD">
        <w:rPr>
          <w:rFonts w:ascii="Times New Roman" w:hAnsi="Times New Roman" w:cs="Times New Roman"/>
          <w:sz w:val="24"/>
          <w:szCs w:val="24"/>
        </w:rPr>
        <w:t>Louie H. Yang</w:t>
      </w:r>
      <w:r w:rsidRPr="005B3ADF">
        <w:rPr>
          <w:rFonts w:ascii="Times New Roman" w:hAnsi="Times New Roman" w:cs="Times New Roman"/>
          <w:sz w:val="24"/>
          <w:szCs w:val="24"/>
          <w:vertAlign w:val="superscript"/>
        </w:rPr>
        <w:t>1</w:t>
      </w:r>
      <w:r>
        <w:rPr>
          <w:rFonts w:ascii="Times New Roman" w:hAnsi="Times New Roman" w:cs="Times New Roman"/>
          <w:sz w:val="24"/>
          <w:szCs w:val="24"/>
          <w:vertAlign w:val="superscript"/>
        </w:rPr>
        <w:t>,</w:t>
      </w:r>
      <w:r w:rsidRPr="00C91E2A">
        <w:rPr>
          <w:rFonts w:ascii="Times New Roman" w:hAnsi="Times New Roman" w:cs="Times New Roman"/>
          <w:sz w:val="24"/>
          <w:szCs w:val="24"/>
          <w:vertAlign w:val="superscript"/>
        </w:rPr>
        <w:t xml:space="preserve"> </w:t>
      </w:r>
      <w:r w:rsidRPr="005B3ADF">
        <w:rPr>
          <w:rFonts w:ascii="Times New Roman" w:hAnsi="Times New Roman" w:cs="Times New Roman"/>
          <w:sz w:val="24"/>
          <w:szCs w:val="24"/>
          <w:vertAlign w:val="superscript"/>
        </w:rPr>
        <w:t>2</w:t>
      </w:r>
      <w:r w:rsidRPr="00A35CAD">
        <w:rPr>
          <w:rFonts w:ascii="Times New Roman" w:hAnsi="Times New Roman" w:cs="Times New Roman"/>
          <w:sz w:val="24"/>
          <w:szCs w:val="24"/>
        </w:rPr>
        <w:t xml:space="preserve">, </w:t>
      </w:r>
      <w:r>
        <w:rPr>
          <w:rFonts w:ascii="Times New Roman" w:hAnsi="Times New Roman" w:cs="Times New Roman"/>
          <w:sz w:val="24"/>
          <w:szCs w:val="24"/>
        </w:rPr>
        <w:t>Lizbeth Gonzalez</w:t>
      </w:r>
      <w:r w:rsidRPr="005B3ADF">
        <w:rPr>
          <w:rFonts w:ascii="Times New Roman" w:hAnsi="Times New Roman" w:cs="Times New Roman"/>
          <w:sz w:val="24"/>
          <w:szCs w:val="24"/>
          <w:vertAlign w:val="superscript"/>
        </w:rPr>
        <w:t>1</w:t>
      </w:r>
      <w:r>
        <w:rPr>
          <w:rFonts w:ascii="Times New Roman" w:hAnsi="Times New Roman" w:cs="Times New Roman"/>
          <w:sz w:val="24"/>
          <w:szCs w:val="24"/>
        </w:rPr>
        <w:t xml:space="preserve">, Sarah </w:t>
      </w:r>
      <w:r w:rsidRPr="00A35CAD">
        <w:rPr>
          <w:rFonts w:ascii="Times New Roman" w:hAnsi="Times New Roman" w:cs="Times New Roman"/>
          <w:sz w:val="24"/>
          <w:szCs w:val="24"/>
        </w:rPr>
        <w:t>Solís</w:t>
      </w:r>
      <w:r w:rsidRPr="005B3ADF">
        <w:rPr>
          <w:rFonts w:ascii="Times New Roman" w:hAnsi="Times New Roman" w:cs="Times New Roman"/>
          <w:sz w:val="24"/>
          <w:szCs w:val="24"/>
          <w:vertAlign w:val="superscript"/>
        </w:rPr>
        <w:t>1</w:t>
      </w:r>
      <w:r>
        <w:rPr>
          <w:rFonts w:ascii="Times New Roman" w:hAnsi="Times New Roman" w:cs="Times New Roman"/>
          <w:sz w:val="24"/>
          <w:szCs w:val="24"/>
        </w:rPr>
        <w:t xml:space="preserve"> and </w:t>
      </w:r>
      <w:r w:rsidRPr="005B3ADF">
        <w:rPr>
          <w:rFonts w:ascii="Times New Roman" w:hAnsi="Times New Roman" w:cs="Times New Roman"/>
          <w:sz w:val="24"/>
          <w:szCs w:val="24"/>
        </w:rPr>
        <w:t>Prabhjot Singh</w:t>
      </w:r>
      <w:r w:rsidRPr="005B3ADF">
        <w:rPr>
          <w:rFonts w:ascii="Times New Roman" w:hAnsi="Times New Roman" w:cs="Times New Roman"/>
          <w:sz w:val="24"/>
          <w:szCs w:val="24"/>
          <w:vertAlign w:val="superscript"/>
        </w:rPr>
        <w:t>1</w:t>
      </w:r>
    </w:p>
    <w:p w14:paraId="6CBFDA31" w14:textId="77777777" w:rsidR="008D75AC" w:rsidRPr="005B3ADF" w:rsidRDefault="008D75AC" w:rsidP="008D75AC">
      <w:pPr>
        <w:spacing w:before="100" w:beforeAutospacing="1" w:after="100" w:afterAutospacing="1" w:line="480" w:lineRule="auto"/>
        <w:rPr>
          <w:rFonts w:ascii="Times New Roman" w:hAnsi="Times New Roman" w:cs="Times New Roman"/>
          <w:sz w:val="24"/>
          <w:szCs w:val="24"/>
        </w:rPr>
      </w:pPr>
      <w:r w:rsidRPr="005B3ADF">
        <w:rPr>
          <w:rFonts w:ascii="Times New Roman" w:hAnsi="Times New Roman" w:cs="Times New Roman"/>
          <w:sz w:val="24"/>
          <w:szCs w:val="24"/>
          <w:vertAlign w:val="superscript"/>
        </w:rPr>
        <w:t>1</w:t>
      </w:r>
      <w:r w:rsidRPr="005B3ADF">
        <w:rPr>
          <w:rFonts w:ascii="Times New Roman" w:hAnsi="Times New Roman" w:cs="Times New Roman"/>
          <w:sz w:val="24"/>
          <w:szCs w:val="24"/>
        </w:rPr>
        <w:t>Department of Entomology and Nematology, University of California, Davis, CA 95616 USA</w:t>
      </w:r>
    </w:p>
    <w:p w14:paraId="17226E48" w14:textId="3B60FA26" w:rsidR="008D75AC" w:rsidRDefault="008D75AC" w:rsidP="008D75AC">
      <w:pPr>
        <w:spacing w:line="480" w:lineRule="auto"/>
        <w:rPr>
          <w:rFonts w:ascii="Times New Roman" w:hAnsi="Times New Roman" w:cs="Times New Roman"/>
          <w:bCs/>
          <w:sz w:val="24"/>
          <w:szCs w:val="24"/>
        </w:rPr>
      </w:pPr>
      <w:r w:rsidRPr="005B3ADF">
        <w:rPr>
          <w:rFonts w:ascii="Times New Roman" w:hAnsi="Times New Roman" w:cs="Times New Roman"/>
          <w:sz w:val="24"/>
          <w:szCs w:val="24"/>
          <w:vertAlign w:val="superscript"/>
        </w:rPr>
        <w:t>2</w:t>
      </w:r>
      <w:r w:rsidRPr="009D0BF8">
        <w:rPr>
          <w:rFonts w:ascii="Times New Roman" w:hAnsi="Times New Roman" w:cs="Times New Roman"/>
          <w:bCs/>
          <w:i/>
          <w:iCs/>
          <w:sz w:val="24"/>
          <w:szCs w:val="24"/>
        </w:rPr>
        <w:t>corresponding author</w:t>
      </w:r>
      <w:r w:rsidRPr="009D0BF8">
        <w:rPr>
          <w:rFonts w:ascii="Times New Roman" w:hAnsi="Times New Roman" w:cs="Times New Roman"/>
          <w:bCs/>
          <w:sz w:val="24"/>
          <w:szCs w:val="24"/>
        </w:rPr>
        <w:t xml:space="preserve">: </w:t>
      </w:r>
      <w:r w:rsidRPr="008D75AC">
        <w:rPr>
          <w:rFonts w:ascii="Times New Roman" w:hAnsi="Times New Roman" w:cs="Times New Roman"/>
          <w:bCs/>
          <w:sz w:val="24"/>
          <w:szCs w:val="24"/>
        </w:rPr>
        <w:t>lhyang@ucdavis.edu</w:t>
      </w:r>
    </w:p>
    <w:p w14:paraId="4CB6984F" w14:textId="77777777" w:rsidR="008D75AC" w:rsidRDefault="008D75AC" w:rsidP="008D75AC">
      <w:pPr>
        <w:spacing w:line="480" w:lineRule="auto"/>
        <w:rPr>
          <w:rFonts w:ascii="Times New Roman" w:hAnsi="Times New Roman" w:cs="Times New Roman"/>
          <w:bCs/>
          <w:sz w:val="24"/>
          <w:szCs w:val="24"/>
        </w:rPr>
      </w:pPr>
    </w:p>
    <w:p w14:paraId="109D9E9A" w14:textId="13002678" w:rsidR="008D75AC" w:rsidRPr="008D75AC" w:rsidRDefault="00BD1600" w:rsidP="008D75AC">
      <w:pPr>
        <w:spacing w:line="480" w:lineRule="auto"/>
        <w:rPr>
          <w:rFonts w:ascii="Times New Roman" w:hAnsi="Times New Roman" w:cs="Times New Roman"/>
          <w:bCs/>
          <w:i/>
          <w:iCs/>
          <w:sz w:val="24"/>
          <w:szCs w:val="24"/>
        </w:rPr>
      </w:pPr>
      <w:proofErr w:type="spellStart"/>
      <w:r>
        <w:rPr>
          <w:rFonts w:ascii="Times New Roman" w:hAnsi="Times New Roman" w:cs="Times New Roman"/>
          <w:bCs/>
          <w:i/>
          <w:iCs/>
          <w:sz w:val="24"/>
          <w:szCs w:val="24"/>
        </w:rPr>
        <w:t>Oecologia</w:t>
      </w:r>
      <w:proofErr w:type="spellEnd"/>
    </w:p>
    <w:p w14:paraId="1144F5FB" w14:textId="44E4ADAA" w:rsidR="00393E07" w:rsidRDefault="00393E07">
      <w:pPr>
        <w:spacing w:before="240" w:after="240" w:line="240"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7B58F5B3" w14:textId="77777777" w:rsidR="000B3C60" w:rsidRDefault="000B3C60" w:rsidP="000B3C60">
      <w:pPr>
        <w:rPr>
          <w:rFonts w:ascii="Times New Roman" w:hAnsi="Times New Roman" w:cs="Times New Roman"/>
          <w:b/>
          <w:bCs/>
          <w:sz w:val="24"/>
          <w:szCs w:val="24"/>
        </w:rPr>
      </w:pPr>
      <w:r w:rsidRPr="00393E07">
        <w:rPr>
          <w:rFonts w:ascii="Times New Roman" w:hAnsi="Times New Roman" w:cs="Times New Roman"/>
          <w:b/>
          <w:bCs/>
          <w:sz w:val="24"/>
          <w:szCs w:val="24"/>
        </w:rPr>
        <w:lastRenderedPageBreak/>
        <w:t>Table S1</w:t>
      </w:r>
      <w:r>
        <w:rPr>
          <w:rFonts w:ascii="Times New Roman" w:hAnsi="Times New Roman" w:cs="Times New Roman"/>
          <w:b/>
          <w:bCs/>
          <w:sz w:val="24"/>
          <w:szCs w:val="24"/>
        </w:rPr>
        <w:t>. Estimated standard fertigation nutrient concentrations</w:t>
      </w:r>
    </w:p>
    <w:p w14:paraId="1ED6DAD3" w14:textId="77777777" w:rsidR="000B3C60" w:rsidRDefault="000B3C60" w:rsidP="000B3C60">
      <w:pPr>
        <w:rPr>
          <w:rFonts w:ascii="Times New Roman" w:hAnsi="Times New Roman" w:cs="Times New Roman"/>
          <w:b/>
          <w:bCs/>
          <w:sz w:val="24"/>
          <w:szCs w:val="24"/>
        </w:rPr>
      </w:pPr>
    </w:p>
    <w:tbl>
      <w:tblPr>
        <w:tblStyle w:val="TableGrid"/>
        <w:tblW w:w="0" w:type="auto"/>
        <w:jc w:val="center"/>
        <w:tblLook w:val="04A0" w:firstRow="1" w:lastRow="0" w:firstColumn="1" w:lastColumn="0" w:noHBand="0" w:noVBand="1"/>
      </w:tblPr>
      <w:tblGrid>
        <w:gridCol w:w="1782"/>
        <w:gridCol w:w="1783"/>
      </w:tblGrid>
      <w:tr w:rsidR="000B3C60" w:rsidRPr="00393E07" w14:paraId="0750747E" w14:textId="77777777" w:rsidTr="00983E4F">
        <w:trPr>
          <w:trHeight w:val="837"/>
          <w:jc w:val="center"/>
        </w:trPr>
        <w:tc>
          <w:tcPr>
            <w:tcW w:w="1782" w:type="dxa"/>
            <w:vAlign w:val="center"/>
          </w:tcPr>
          <w:p w14:paraId="3395A1CD" w14:textId="77777777" w:rsidR="000B3C60" w:rsidRPr="00393E07" w:rsidRDefault="000B3C60" w:rsidP="00983E4F">
            <w:pPr>
              <w:spacing w:before="100" w:beforeAutospacing="1" w:after="100" w:afterAutospacing="1" w:line="240" w:lineRule="auto"/>
              <w:jc w:val="center"/>
              <w:rPr>
                <w:rFonts w:cstheme="minorHAnsi"/>
                <w:sz w:val="22"/>
                <w:szCs w:val="22"/>
              </w:rPr>
            </w:pPr>
          </w:p>
        </w:tc>
        <w:tc>
          <w:tcPr>
            <w:tcW w:w="1783" w:type="dxa"/>
            <w:vAlign w:val="center"/>
          </w:tcPr>
          <w:p w14:paraId="0E6D0473" w14:textId="77777777" w:rsidR="000B3C60" w:rsidRPr="00393E07" w:rsidRDefault="000B3C60" w:rsidP="00983E4F">
            <w:pPr>
              <w:spacing w:before="100" w:beforeAutospacing="1" w:after="100" w:afterAutospacing="1" w:line="240" w:lineRule="auto"/>
              <w:jc w:val="center"/>
              <w:rPr>
                <w:rFonts w:cstheme="minorHAnsi"/>
                <w:sz w:val="22"/>
                <w:szCs w:val="22"/>
              </w:rPr>
            </w:pPr>
            <w:r w:rsidRPr="00393E07">
              <w:rPr>
                <w:rFonts w:cstheme="minorHAnsi"/>
                <w:sz w:val="22"/>
                <w:szCs w:val="22"/>
              </w:rPr>
              <w:t>Standard (ppm)</w:t>
            </w:r>
          </w:p>
        </w:tc>
      </w:tr>
      <w:tr w:rsidR="000B3C60" w:rsidRPr="00393E07" w14:paraId="196D0282" w14:textId="77777777" w:rsidTr="00983E4F">
        <w:trPr>
          <w:trHeight w:val="370"/>
          <w:jc w:val="center"/>
        </w:trPr>
        <w:tc>
          <w:tcPr>
            <w:tcW w:w="1782" w:type="dxa"/>
            <w:vAlign w:val="center"/>
          </w:tcPr>
          <w:p w14:paraId="3491A88B" w14:textId="77777777" w:rsidR="000B3C60" w:rsidRPr="00393E07" w:rsidRDefault="000B3C60" w:rsidP="00983E4F">
            <w:pPr>
              <w:spacing w:before="100" w:beforeAutospacing="1" w:after="100" w:afterAutospacing="1" w:line="240" w:lineRule="auto"/>
              <w:jc w:val="center"/>
              <w:rPr>
                <w:rFonts w:cstheme="minorHAnsi"/>
                <w:sz w:val="22"/>
                <w:szCs w:val="22"/>
              </w:rPr>
            </w:pPr>
            <w:r>
              <w:rPr>
                <w:rFonts w:cstheme="minorHAnsi"/>
                <w:sz w:val="22"/>
                <w:szCs w:val="22"/>
              </w:rPr>
              <w:t>NH</w:t>
            </w:r>
            <w:r w:rsidRPr="00393E07">
              <w:rPr>
                <w:rFonts w:cstheme="minorHAnsi"/>
                <w:sz w:val="22"/>
                <w:szCs w:val="22"/>
                <w:vertAlign w:val="subscript"/>
              </w:rPr>
              <w:t>4</w:t>
            </w:r>
            <w:r>
              <w:rPr>
                <w:rFonts w:cstheme="minorHAnsi"/>
                <w:sz w:val="22"/>
                <w:szCs w:val="22"/>
              </w:rPr>
              <w:t>-</w:t>
            </w:r>
            <w:r w:rsidRPr="00393E07">
              <w:rPr>
                <w:rFonts w:cstheme="minorHAnsi"/>
                <w:sz w:val="22"/>
                <w:szCs w:val="22"/>
              </w:rPr>
              <w:t>N</w:t>
            </w:r>
          </w:p>
        </w:tc>
        <w:tc>
          <w:tcPr>
            <w:tcW w:w="1783" w:type="dxa"/>
            <w:vAlign w:val="center"/>
          </w:tcPr>
          <w:p w14:paraId="52FB9AC3" w14:textId="77777777" w:rsidR="000B3C60" w:rsidRPr="00393E07" w:rsidRDefault="000B3C60" w:rsidP="00983E4F">
            <w:pPr>
              <w:spacing w:before="100" w:beforeAutospacing="1" w:after="100" w:afterAutospacing="1" w:line="240" w:lineRule="auto"/>
              <w:jc w:val="center"/>
              <w:rPr>
                <w:rFonts w:cstheme="minorHAnsi"/>
                <w:sz w:val="22"/>
                <w:szCs w:val="22"/>
              </w:rPr>
            </w:pPr>
            <w:r w:rsidRPr="00393E07">
              <w:rPr>
                <w:rFonts w:cstheme="minorHAnsi"/>
                <w:sz w:val="22"/>
                <w:szCs w:val="22"/>
              </w:rPr>
              <w:t>10</w:t>
            </w:r>
          </w:p>
        </w:tc>
      </w:tr>
      <w:tr w:rsidR="000B3C60" w:rsidRPr="00393E07" w14:paraId="24BB2D1F" w14:textId="77777777" w:rsidTr="00983E4F">
        <w:trPr>
          <w:trHeight w:val="386"/>
          <w:jc w:val="center"/>
        </w:trPr>
        <w:tc>
          <w:tcPr>
            <w:tcW w:w="1782" w:type="dxa"/>
            <w:vAlign w:val="center"/>
          </w:tcPr>
          <w:p w14:paraId="0605FCA3" w14:textId="77777777" w:rsidR="000B3C60" w:rsidRPr="00393E07" w:rsidRDefault="000B3C60" w:rsidP="00983E4F">
            <w:pPr>
              <w:spacing w:before="100" w:beforeAutospacing="1" w:after="100" w:afterAutospacing="1" w:line="240" w:lineRule="auto"/>
              <w:jc w:val="center"/>
              <w:rPr>
                <w:rFonts w:cstheme="minorHAnsi"/>
                <w:sz w:val="22"/>
                <w:szCs w:val="22"/>
              </w:rPr>
            </w:pPr>
            <w:r>
              <w:rPr>
                <w:rFonts w:cstheme="minorHAnsi"/>
                <w:sz w:val="22"/>
                <w:szCs w:val="22"/>
              </w:rPr>
              <w:t>NO</w:t>
            </w:r>
            <w:r w:rsidRPr="00393E07">
              <w:rPr>
                <w:rFonts w:cstheme="minorHAnsi"/>
                <w:sz w:val="22"/>
                <w:szCs w:val="22"/>
                <w:vertAlign w:val="subscript"/>
              </w:rPr>
              <w:t>3</w:t>
            </w:r>
            <w:r>
              <w:rPr>
                <w:rFonts w:cstheme="minorHAnsi"/>
                <w:sz w:val="22"/>
                <w:szCs w:val="22"/>
              </w:rPr>
              <w:t>-</w:t>
            </w:r>
            <w:r w:rsidRPr="00393E07">
              <w:rPr>
                <w:rFonts w:cstheme="minorHAnsi"/>
                <w:sz w:val="22"/>
                <w:szCs w:val="22"/>
              </w:rPr>
              <w:t>N</w:t>
            </w:r>
          </w:p>
        </w:tc>
        <w:tc>
          <w:tcPr>
            <w:tcW w:w="1783" w:type="dxa"/>
            <w:vAlign w:val="center"/>
          </w:tcPr>
          <w:p w14:paraId="2EB9B0AA" w14:textId="77777777" w:rsidR="000B3C60" w:rsidRPr="00393E07" w:rsidRDefault="000B3C60" w:rsidP="00983E4F">
            <w:pPr>
              <w:spacing w:before="100" w:beforeAutospacing="1" w:after="100" w:afterAutospacing="1" w:line="240" w:lineRule="auto"/>
              <w:jc w:val="center"/>
              <w:rPr>
                <w:rFonts w:cstheme="minorHAnsi"/>
                <w:sz w:val="22"/>
                <w:szCs w:val="22"/>
              </w:rPr>
            </w:pPr>
            <w:r w:rsidRPr="00393E07">
              <w:rPr>
                <w:rFonts w:cstheme="minorHAnsi"/>
                <w:sz w:val="22"/>
                <w:szCs w:val="22"/>
              </w:rPr>
              <w:t>138</w:t>
            </w:r>
          </w:p>
        </w:tc>
      </w:tr>
      <w:tr w:rsidR="000B3C60" w:rsidRPr="00393E07" w14:paraId="605218C2" w14:textId="77777777" w:rsidTr="00983E4F">
        <w:trPr>
          <w:trHeight w:val="370"/>
          <w:jc w:val="center"/>
        </w:trPr>
        <w:tc>
          <w:tcPr>
            <w:tcW w:w="1782" w:type="dxa"/>
            <w:vAlign w:val="center"/>
          </w:tcPr>
          <w:p w14:paraId="3BBEBD0D" w14:textId="77777777" w:rsidR="000B3C60" w:rsidRPr="00393E07" w:rsidRDefault="000B3C60" w:rsidP="00983E4F">
            <w:pPr>
              <w:spacing w:before="100" w:beforeAutospacing="1" w:after="100" w:afterAutospacing="1" w:line="240" w:lineRule="auto"/>
              <w:jc w:val="center"/>
              <w:rPr>
                <w:rFonts w:cstheme="minorHAnsi"/>
                <w:sz w:val="22"/>
                <w:szCs w:val="22"/>
              </w:rPr>
            </w:pPr>
            <w:r>
              <w:rPr>
                <w:rFonts w:cstheme="minorHAnsi"/>
                <w:sz w:val="22"/>
                <w:szCs w:val="22"/>
              </w:rPr>
              <w:t>Total-</w:t>
            </w:r>
            <w:r w:rsidRPr="00393E07">
              <w:rPr>
                <w:rFonts w:cstheme="minorHAnsi"/>
                <w:sz w:val="22"/>
                <w:szCs w:val="22"/>
              </w:rPr>
              <w:t>N</w:t>
            </w:r>
          </w:p>
        </w:tc>
        <w:tc>
          <w:tcPr>
            <w:tcW w:w="1783" w:type="dxa"/>
            <w:vAlign w:val="center"/>
          </w:tcPr>
          <w:p w14:paraId="1F677DCE" w14:textId="77777777" w:rsidR="000B3C60" w:rsidRPr="00393E07" w:rsidRDefault="000B3C60" w:rsidP="00983E4F">
            <w:pPr>
              <w:spacing w:before="100" w:beforeAutospacing="1" w:after="100" w:afterAutospacing="1" w:line="240" w:lineRule="auto"/>
              <w:jc w:val="center"/>
              <w:rPr>
                <w:rFonts w:cstheme="minorHAnsi"/>
                <w:sz w:val="22"/>
                <w:szCs w:val="22"/>
              </w:rPr>
            </w:pPr>
            <w:r w:rsidRPr="00393E07">
              <w:rPr>
                <w:rFonts w:cstheme="minorHAnsi"/>
                <w:sz w:val="22"/>
                <w:szCs w:val="22"/>
              </w:rPr>
              <w:t>150</w:t>
            </w:r>
          </w:p>
        </w:tc>
      </w:tr>
      <w:tr w:rsidR="000B3C60" w:rsidRPr="00393E07" w14:paraId="3734C3DA" w14:textId="77777777" w:rsidTr="00983E4F">
        <w:trPr>
          <w:trHeight w:val="386"/>
          <w:jc w:val="center"/>
        </w:trPr>
        <w:tc>
          <w:tcPr>
            <w:tcW w:w="1782" w:type="dxa"/>
            <w:vAlign w:val="center"/>
          </w:tcPr>
          <w:p w14:paraId="488CAAE9" w14:textId="77777777" w:rsidR="000B3C60" w:rsidRPr="00393E07" w:rsidRDefault="000B3C60" w:rsidP="00983E4F">
            <w:pPr>
              <w:spacing w:before="100" w:beforeAutospacing="1" w:after="100" w:afterAutospacing="1" w:line="240" w:lineRule="auto"/>
              <w:jc w:val="center"/>
              <w:rPr>
                <w:rFonts w:cstheme="minorHAnsi"/>
                <w:sz w:val="22"/>
                <w:szCs w:val="22"/>
              </w:rPr>
            </w:pPr>
            <w:r w:rsidRPr="00393E07">
              <w:rPr>
                <w:rFonts w:cstheme="minorHAnsi"/>
                <w:sz w:val="22"/>
                <w:szCs w:val="22"/>
              </w:rPr>
              <w:t>P</w:t>
            </w:r>
          </w:p>
        </w:tc>
        <w:tc>
          <w:tcPr>
            <w:tcW w:w="1783" w:type="dxa"/>
            <w:vAlign w:val="center"/>
          </w:tcPr>
          <w:p w14:paraId="57857DB7" w14:textId="77777777" w:rsidR="000B3C60" w:rsidRPr="00393E07" w:rsidRDefault="000B3C60" w:rsidP="00983E4F">
            <w:pPr>
              <w:spacing w:before="100" w:beforeAutospacing="1" w:after="100" w:afterAutospacing="1" w:line="240" w:lineRule="auto"/>
              <w:jc w:val="center"/>
              <w:rPr>
                <w:rFonts w:cstheme="minorHAnsi"/>
                <w:sz w:val="22"/>
                <w:szCs w:val="22"/>
              </w:rPr>
            </w:pPr>
            <w:r w:rsidRPr="00393E07">
              <w:rPr>
                <w:rFonts w:cstheme="minorHAnsi"/>
                <w:sz w:val="22"/>
                <w:szCs w:val="22"/>
              </w:rPr>
              <w:t>50</w:t>
            </w:r>
          </w:p>
        </w:tc>
      </w:tr>
      <w:tr w:rsidR="000B3C60" w:rsidRPr="00393E07" w14:paraId="73708FD5" w14:textId="77777777" w:rsidTr="00983E4F">
        <w:trPr>
          <w:trHeight w:val="370"/>
          <w:jc w:val="center"/>
        </w:trPr>
        <w:tc>
          <w:tcPr>
            <w:tcW w:w="1782" w:type="dxa"/>
            <w:vAlign w:val="center"/>
          </w:tcPr>
          <w:p w14:paraId="7E4A4B06" w14:textId="77777777" w:rsidR="000B3C60" w:rsidRPr="00393E07" w:rsidRDefault="000B3C60" w:rsidP="00983E4F">
            <w:pPr>
              <w:spacing w:before="100" w:beforeAutospacing="1" w:after="100" w:afterAutospacing="1" w:line="240" w:lineRule="auto"/>
              <w:jc w:val="center"/>
              <w:rPr>
                <w:rFonts w:cstheme="minorHAnsi"/>
                <w:sz w:val="22"/>
                <w:szCs w:val="22"/>
              </w:rPr>
            </w:pPr>
            <w:r w:rsidRPr="00393E07">
              <w:rPr>
                <w:rFonts w:cstheme="minorHAnsi"/>
                <w:sz w:val="22"/>
                <w:szCs w:val="22"/>
              </w:rPr>
              <w:t>K</w:t>
            </w:r>
          </w:p>
        </w:tc>
        <w:tc>
          <w:tcPr>
            <w:tcW w:w="1783" w:type="dxa"/>
            <w:vAlign w:val="center"/>
          </w:tcPr>
          <w:p w14:paraId="032D144D" w14:textId="77777777" w:rsidR="000B3C60" w:rsidRPr="00393E07" w:rsidRDefault="000B3C60" w:rsidP="00983E4F">
            <w:pPr>
              <w:spacing w:before="100" w:beforeAutospacing="1" w:after="100" w:afterAutospacing="1" w:line="240" w:lineRule="auto"/>
              <w:jc w:val="center"/>
              <w:rPr>
                <w:rFonts w:cstheme="minorHAnsi"/>
                <w:sz w:val="22"/>
                <w:szCs w:val="22"/>
              </w:rPr>
            </w:pPr>
            <w:r w:rsidRPr="00393E07">
              <w:rPr>
                <w:rFonts w:cstheme="minorHAnsi"/>
                <w:sz w:val="22"/>
                <w:szCs w:val="22"/>
              </w:rPr>
              <w:t>200</w:t>
            </w:r>
          </w:p>
        </w:tc>
      </w:tr>
      <w:tr w:rsidR="000B3C60" w:rsidRPr="00393E07" w14:paraId="0EFC19F3" w14:textId="77777777" w:rsidTr="00983E4F">
        <w:trPr>
          <w:trHeight w:val="386"/>
          <w:jc w:val="center"/>
        </w:trPr>
        <w:tc>
          <w:tcPr>
            <w:tcW w:w="1782" w:type="dxa"/>
            <w:vAlign w:val="center"/>
          </w:tcPr>
          <w:p w14:paraId="404AD19F" w14:textId="77777777" w:rsidR="000B3C60" w:rsidRPr="00393E07" w:rsidRDefault="000B3C60" w:rsidP="00983E4F">
            <w:pPr>
              <w:spacing w:before="100" w:beforeAutospacing="1" w:after="100" w:afterAutospacing="1" w:line="240" w:lineRule="auto"/>
              <w:jc w:val="center"/>
              <w:rPr>
                <w:rFonts w:cstheme="minorHAnsi"/>
                <w:sz w:val="22"/>
                <w:szCs w:val="22"/>
              </w:rPr>
            </w:pPr>
            <w:r w:rsidRPr="00393E07">
              <w:rPr>
                <w:rFonts w:cstheme="minorHAnsi"/>
                <w:sz w:val="22"/>
                <w:szCs w:val="22"/>
              </w:rPr>
              <w:t>Ca</w:t>
            </w:r>
          </w:p>
        </w:tc>
        <w:tc>
          <w:tcPr>
            <w:tcW w:w="1783" w:type="dxa"/>
            <w:vAlign w:val="center"/>
          </w:tcPr>
          <w:p w14:paraId="11589941" w14:textId="77777777" w:rsidR="000B3C60" w:rsidRPr="00393E07" w:rsidRDefault="000B3C60" w:rsidP="00983E4F">
            <w:pPr>
              <w:spacing w:before="100" w:beforeAutospacing="1" w:after="100" w:afterAutospacing="1" w:line="240" w:lineRule="auto"/>
              <w:jc w:val="center"/>
              <w:rPr>
                <w:rFonts w:cstheme="minorHAnsi"/>
                <w:sz w:val="22"/>
                <w:szCs w:val="22"/>
              </w:rPr>
            </w:pPr>
            <w:r w:rsidRPr="00393E07">
              <w:rPr>
                <w:rFonts w:cstheme="minorHAnsi"/>
                <w:sz w:val="22"/>
                <w:szCs w:val="22"/>
              </w:rPr>
              <w:t>175</w:t>
            </w:r>
          </w:p>
        </w:tc>
      </w:tr>
      <w:tr w:rsidR="000B3C60" w:rsidRPr="00393E07" w14:paraId="08CF57F0" w14:textId="77777777" w:rsidTr="00983E4F">
        <w:trPr>
          <w:trHeight w:val="370"/>
          <w:jc w:val="center"/>
        </w:trPr>
        <w:tc>
          <w:tcPr>
            <w:tcW w:w="1782" w:type="dxa"/>
            <w:vAlign w:val="center"/>
          </w:tcPr>
          <w:p w14:paraId="787C2FC1" w14:textId="77777777" w:rsidR="000B3C60" w:rsidRPr="00393E07" w:rsidRDefault="000B3C60" w:rsidP="00983E4F">
            <w:pPr>
              <w:spacing w:before="100" w:beforeAutospacing="1" w:after="100" w:afterAutospacing="1" w:line="240" w:lineRule="auto"/>
              <w:jc w:val="center"/>
              <w:rPr>
                <w:rFonts w:cstheme="minorHAnsi"/>
                <w:sz w:val="22"/>
                <w:szCs w:val="22"/>
              </w:rPr>
            </w:pPr>
            <w:r w:rsidRPr="00393E07">
              <w:rPr>
                <w:rFonts w:cstheme="minorHAnsi"/>
                <w:sz w:val="22"/>
                <w:szCs w:val="22"/>
              </w:rPr>
              <w:t>Mg</w:t>
            </w:r>
          </w:p>
        </w:tc>
        <w:tc>
          <w:tcPr>
            <w:tcW w:w="1783" w:type="dxa"/>
            <w:vAlign w:val="center"/>
          </w:tcPr>
          <w:p w14:paraId="4F40ECF5" w14:textId="77777777" w:rsidR="000B3C60" w:rsidRPr="00393E07" w:rsidRDefault="000B3C60" w:rsidP="00983E4F">
            <w:pPr>
              <w:spacing w:before="100" w:beforeAutospacing="1" w:after="100" w:afterAutospacing="1" w:line="240" w:lineRule="auto"/>
              <w:jc w:val="center"/>
              <w:rPr>
                <w:rFonts w:cstheme="minorHAnsi"/>
                <w:sz w:val="22"/>
                <w:szCs w:val="22"/>
              </w:rPr>
            </w:pPr>
            <w:r w:rsidRPr="00393E07">
              <w:rPr>
                <w:rFonts w:cstheme="minorHAnsi"/>
                <w:sz w:val="22"/>
                <w:szCs w:val="22"/>
              </w:rPr>
              <w:t>55</w:t>
            </w:r>
          </w:p>
        </w:tc>
      </w:tr>
      <w:tr w:rsidR="000B3C60" w:rsidRPr="00393E07" w14:paraId="5468D9D4" w14:textId="77777777" w:rsidTr="00983E4F">
        <w:trPr>
          <w:trHeight w:val="386"/>
          <w:jc w:val="center"/>
        </w:trPr>
        <w:tc>
          <w:tcPr>
            <w:tcW w:w="1782" w:type="dxa"/>
            <w:vAlign w:val="center"/>
          </w:tcPr>
          <w:p w14:paraId="156D3901" w14:textId="77777777" w:rsidR="000B3C60" w:rsidRPr="00393E07" w:rsidRDefault="000B3C60" w:rsidP="00983E4F">
            <w:pPr>
              <w:spacing w:before="100" w:beforeAutospacing="1" w:after="100" w:afterAutospacing="1" w:line="240" w:lineRule="auto"/>
              <w:jc w:val="center"/>
              <w:rPr>
                <w:rFonts w:cstheme="minorHAnsi"/>
                <w:sz w:val="22"/>
                <w:szCs w:val="22"/>
              </w:rPr>
            </w:pPr>
            <w:r w:rsidRPr="00393E07">
              <w:rPr>
                <w:rFonts w:cstheme="minorHAnsi"/>
                <w:sz w:val="22"/>
                <w:szCs w:val="22"/>
              </w:rPr>
              <w:t>S</w:t>
            </w:r>
          </w:p>
        </w:tc>
        <w:tc>
          <w:tcPr>
            <w:tcW w:w="1783" w:type="dxa"/>
            <w:vAlign w:val="center"/>
          </w:tcPr>
          <w:p w14:paraId="1A30924A" w14:textId="77777777" w:rsidR="000B3C60" w:rsidRPr="00393E07" w:rsidRDefault="000B3C60" w:rsidP="00983E4F">
            <w:pPr>
              <w:spacing w:before="100" w:beforeAutospacing="1" w:after="100" w:afterAutospacing="1" w:line="240" w:lineRule="auto"/>
              <w:jc w:val="center"/>
              <w:rPr>
                <w:rFonts w:cstheme="minorHAnsi"/>
                <w:sz w:val="22"/>
                <w:szCs w:val="22"/>
              </w:rPr>
            </w:pPr>
            <w:r w:rsidRPr="00393E07">
              <w:rPr>
                <w:rFonts w:cstheme="minorHAnsi"/>
                <w:sz w:val="22"/>
                <w:szCs w:val="22"/>
              </w:rPr>
              <w:t>120</w:t>
            </w:r>
          </w:p>
        </w:tc>
      </w:tr>
      <w:tr w:rsidR="000B3C60" w:rsidRPr="00393E07" w14:paraId="2AB82033" w14:textId="77777777" w:rsidTr="00983E4F">
        <w:trPr>
          <w:trHeight w:val="370"/>
          <w:jc w:val="center"/>
        </w:trPr>
        <w:tc>
          <w:tcPr>
            <w:tcW w:w="1782" w:type="dxa"/>
            <w:vAlign w:val="center"/>
          </w:tcPr>
          <w:p w14:paraId="557975A7" w14:textId="77777777" w:rsidR="000B3C60" w:rsidRPr="00393E07" w:rsidRDefault="000B3C60" w:rsidP="00983E4F">
            <w:pPr>
              <w:spacing w:before="100" w:beforeAutospacing="1" w:after="100" w:afterAutospacing="1" w:line="240" w:lineRule="auto"/>
              <w:jc w:val="center"/>
              <w:rPr>
                <w:rFonts w:cstheme="minorHAnsi"/>
                <w:sz w:val="22"/>
                <w:szCs w:val="22"/>
              </w:rPr>
            </w:pPr>
            <w:r w:rsidRPr="00393E07">
              <w:rPr>
                <w:rFonts w:cstheme="minorHAnsi"/>
                <w:sz w:val="22"/>
                <w:szCs w:val="22"/>
              </w:rPr>
              <w:t>Fe</w:t>
            </w:r>
          </w:p>
        </w:tc>
        <w:tc>
          <w:tcPr>
            <w:tcW w:w="1783" w:type="dxa"/>
            <w:vAlign w:val="center"/>
          </w:tcPr>
          <w:p w14:paraId="2FA36721" w14:textId="77777777" w:rsidR="000B3C60" w:rsidRPr="00393E07" w:rsidRDefault="000B3C60" w:rsidP="00983E4F">
            <w:pPr>
              <w:spacing w:before="100" w:beforeAutospacing="1" w:after="100" w:afterAutospacing="1" w:line="240" w:lineRule="auto"/>
              <w:jc w:val="center"/>
              <w:rPr>
                <w:rFonts w:cstheme="minorHAnsi"/>
                <w:sz w:val="22"/>
                <w:szCs w:val="22"/>
              </w:rPr>
            </w:pPr>
            <w:r w:rsidRPr="00393E07">
              <w:rPr>
                <w:rFonts w:cstheme="minorHAnsi"/>
                <w:sz w:val="22"/>
                <w:szCs w:val="22"/>
              </w:rPr>
              <w:t>2.5</w:t>
            </w:r>
          </w:p>
        </w:tc>
      </w:tr>
      <w:tr w:rsidR="000B3C60" w:rsidRPr="00393E07" w14:paraId="53515094" w14:textId="77777777" w:rsidTr="00983E4F">
        <w:trPr>
          <w:trHeight w:val="386"/>
          <w:jc w:val="center"/>
        </w:trPr>
        <w:tc>
          <w:tcPr>
            <w:tcW w:w="1782" w:type="dxa"/>
            <w:vAlign w:val="center"/>
          </w:tcPr>
          <w:p w14:paraId="74B81BBE" w14:textId="77777777" w:rsidR="000B3C60" w:rsidRPr="00393E07" w:rsidRDefault="000B3C60" w:rsidP="00983E4F">
            <w:pPr>
              <w:spacing w:before="100" w:beforeAutospacing="1" w:after="100" w:afterAutospacing="1" w:line="240" w:lineRule="auto"/>
              <w:jc w:val="center"/>
              <w:rPr>
                <w:rFonts w:cstheme="minorHAnsi"/>
                <w:sz w:val="22"/>
                <w:szCs w:val="22"/>
              </w:rPr>
            </w:pPr>
            <w:r w:rsidRPr="00393E07">
              <w:rPr>
                <w:rFonts w:cstheme="minorHAnsi"/>
                <w:sz w:val="22"/>
                <w:szCs w:val="22"/>
              </w:rPr>
              <w:t>Cu</w:t>
            </w:r>
          </w:p>
        </w:tc>
        <w:tc>
          <w:tcPr>
            <w:tcW w:w="1783" w:type="dxa"/>
            <w:vAlign w:val="center"/>
          </w:tcPr>
          <w:p w14:paraId="560D3258" w14:textId="77777777" w:rsidR="000B3C60" w:rsidRPr="00393E07" w:rsidRDefault="000B3C60" w:rsidP="00983E4F">
            <w:pPr>
              <w:spacing w:before="100" w:beforeAutospacing="1" w:after="100" w:afterAutospacing="1" w:line="240" w:lineRule="auto"/>
              <w:jc w:val="center"/>
              <w:rPr>
                <w:rFonts w:cstheme="minorHAnsi"/>
                <w:sz w:val="22"/>
                <w:szCs w:val="22"/>
              </w:rPr>
            </w:pPr>
            <w:r w:rsidRPr="00393E07">
              <w:rPr>
                <w:rFonts w:cstheme="minorHAnsi"/>
                <w:sz w:val="22"/>
                <w:szCs w:val="22"/>
              </w:rPr>
              <w:t>0.02</w:t>
            </w:r>
          </w:p>
        </w:tc>
      </w:tr>
      <w:tr w:rsidR="000B3C60" w:rsidRPr="00393E07" w14:paraId="41524495" w14:textId="77777777" w:rsidTr="00983E4F">
        <w:trPr>
          <w:trHeight w:val="386"/>
          <w:jc w:val="center"/>
        </w:trPr>
        <w:tc>
          <w:tcPr>
            <w:tcW w:w="1782" w:type="dxa"/>
            <w:vAlign w:val="center"/>
          </w:tcPr>
          <w:p w14:paraId="718D2C35" w14:textId="77777777" w:rsidR="000B3C60" w:rsidRPr="00393E07" w:rsidRDefault="000B3C60" w:rsidP="00983E4F">
            <w:pPr>
              <w:spacing w:before="100" w:beforeAutospacing="1" w:after="100" w:afterAutospacing="1" w:line="240" w:lineRule="auto"/>
              <w:jc w:val="center"/>
              <w:rPr>
                <w:rFonts w:cstheme="minorHAnsi"/>
                <w:sz w:val="22"/>
                <w:szCs w:val="22"/>
              </w:rPr>
            </w:pPr>
            <w:r w:rsidRPr="00393E07">
              <w:rPr>
                <w:rFonts w:cstheme="minorHAnsi"/>
                <w:sz w:val="22"/>
                <w:szCs w:val="22"/>
              </w:rPr>
              <w:t>B</w:t>
            </w:r>
          </w:p>
        </w:tc>
        <w:tc>
          <w:tcPr>
            <w:tcW w:w="1783" w:type="dxa"/>
            <w:vAlign w:val="center"/>
          </w:tcPr>
          <w:p w14:paraId="4FE5E36A" w14:textId="77777777" w:rsidR="000B3C60" w:rsidRPr="00393E07" w:rsidRDefault="000B3C60" w:rsidP="00983E4F">
            <w:pPr>
              <w:spacing w:before="100" w:beforeAutospacing="1" w:after="100" w:afterAutospacing="1" w:line="240" w:lineRule="auto"/>
              <w:jc w:val="center"/>
              <w:rPr>
                <w:rFonts w:cstheme="minorHAnsi"/>
                <w:sz w:val="22"/>
                <w:szCs w:val="22"/>
              </w:rPr>
            </w:pPr>
            <w:r w:rsidRPr="00393E07">
              <w:rPr>
                <w:rFonts w:cstheme="minorHAnsi"/>
                <w:sz w:val="22"/>
                <w:szCs w:val="22"/>
              </w:rPr>
              <w:t>0.50</w:t>
            </w:r>
          </w:p>
        </w:tc>
      </w:tr>
      <w:tr w:rsidR="000B3C60" w:rsidRPr="00393E07" w14:paraId="49D0D2F9" w14:textId="77777777" w:rsidTr="00983E4F">
        <w:trPr>
          <w:trHeight w:val="370"/>
          <w:jc w:val="center"/>
        </w:trPr>
        <w:tc>
          <w:tcPr>
            <w:tcW w:w="1782" w:type="dxa"/>
            <w:vAlign w:val="center"/>
          </w:tcPr>
          <w:p w14:paraId="0C1DD143" w14:textId="77777777" w:rsidR="000B3C60" w:rsidRPr="00393E07" w:rsidRDefault="000B3C60" w:rsidP="00983E4F">
            <w:pPr>
              <w:spacing w:before="100" w:beforeAutospacing="1" w:after="100" w:afterAutospacing="1" w:line="240" w:lineRule="auto"/>
              <w:jc w:val="center"/>
              <w:rPr>
                <w:rFonts w:cstheme="minorHAnsi"/>
                <w:sz w:val="22"/>
                <w:szCs w:val="22"/>
              </w:rPr>
            </w:pPr>
            <w:r w:rsidRPr="00393E07">
              <w:rPr>
                <w:rFonts w:cstheme="minorHAnsi"/>
                <w:sz w:val="22"/>
                <w:szCs w:val="22"/>
              </w:rPr>
              <w:t>Mn</w:t>
            </w:r>
          </w:p>
        </w:tc>
        <w:tc>
          <w:tcPr>
            <w:tcW w:w="1783" w:type="dxa"/>
            <w:vAlign w:val="center"/>
          </w:tcPr>
          <w:p w14:paraId="6EF1B59A" w14:textId="77777777" w:rsidR="000B3C60" w:rsidRPr="00393E07" w:rsidRDefault="000B3C60" w:rsidP="00983E4F">
            <w:pPr>
              <w:spacing w:before="100" w:beforeAutospacing="1" w:after="100" w:afterAutospacing="1" w:line="240" w:lineRule="auto"/>
              <w:jc w:val="center"/>
              <w:rPr>
                <w:rFonts w:cstheme="minorHAnsi"/>
                <w:sz w:val="22"/>
                <w:szCs w:val="22"/>
              </w:rPr>
            </w:pPr>
            <w:r w:rsidRPr="00393E07">
              <w:rPr>
                <w:rFonts w:cstheme="minorHAnsi"/>
                <w:sz w:val="22"/>
                <w:szCs w:val="22"/>
              </w:rPr>
              <w:t>0.50</w:t>
            </w:r>
          </w:p>
        </w:tc>
      </w:tr>
      <w:tr w:rsidR="000B3C60" w:rsidRPr="00393E07" w14:paraId="6100D364" w14:textId="77777777" w:rsidTr="00983E4F">
        <w:trPr>
          <w:trHeight w:val="386"/>
          <w:jc w:val="center"/>
        </w:trPr>
        <w:tc>
          <w:tcPr>
            <w:tcW w:w="1782" w:type="dxa"/>
            <w:vAlign w:val="center"/>
          </w:tcPr>
          <w:p w14:paraId="6B3A8860" w14:textId="77777777" w:rsidR="000B3C60" w:rsidRPr="00393E07" w:rsidRDefault="000B3C60" w:rsidP="00983E4F">
            <w:pPr>
              <w:spacing w:before="100" w:beforeAutospacing="1" w:after="100" w:afterAutospacing="1" w:line="240" w:lineRule="auto"/>
              <w:jc w:val="center"/>
              <w:rPr>
                <w:rFonts w:cstheme="minorHAnsi"/>
                <w:sz w:val="22"/>
                <w:szCs w:val="22"/>
              </w:rPr>
            </w:pPr>
            <w:r w:rsidRPr="00393E07">
              <w:rPr>
                <w:rFonts w:cstheme="minorHAnsi"/>
                <w:sz w:val="22"/>
                <w:szCs w:val="22"/>
              </w:rPr>
              <w:t>Mo</w:t>
            </w:r>
          </w:p>
        </w:tc>
        <w:tc>
          <w:tcPr>
            <w:tcW w:w="1783" w:type="dxa"/>
            <w:vAlign w:val="center"/>
          </w:tcPr>
          <w:p w14:paraId="3F8EB69F" w14:textId="77777777" w:rsidR="000B3C60" w:rsidRPr="00393E07" w:rsidRDefault="000B3C60" w:rsidP="00983E4F">
            <w:pPr>
              <w:spacing w:before="100" w:beforeAutospacing="1" w:after="100" w:afterAutospacing="1" w:line="240" w:lineRule="auto"/>
              <w:jc w:val="center"/>
              <w:rPr>
                <w:rFonts w:cstheme="minorHAnsi"/>
                <w:sz w:val="22"/>
                <w:szCs w:val="22"/>
              </w:rPr>
            </w:pPr>
            <w:r w:rsidRPr="00393E07">
              <w:rPr>
                <w:rFonts w:cstheme="minorHAnsi"/>
                <w:sz w:val="22"/>
                <w:szCs w:val="22"/>
              </w:rPr>
              <w:t>0.01</w:t>
            </w:r>
          </w:p>
        </w:tc>
      </w:tr>
      <w:tr w:rsidR="000B3C60" w:rsidRPr="00393E07" w14:paraId="39301AC5" w14:textId="77777777" w:rsidTr="00983E4F">
        <w:trPr>
          <w:trHeight w:val="370"/>
          <w:jc w:val="center"/>
        </w:trPr>
        <w:tc>
          <w:tcPr>
            <w:tcW w:w="1782" w:type="dxa"/>
            <w:vAlign w:val="center"/>
          </w:tcPr>
          <w:p w14:paraId="77BA972A" w14:textId="77777777" w:rsidR="000B3C60" w:rsidRPr="00393E07" w:rsidRDefault="000B3C60" w:rsidP="00983E4F">
            <w:pPr>
              <w:spacing w:before="100" w:beforeAutospacing="1" w:after="100" w:afterAutospacing="1" w:line="240" w:lineRule="auto"/>
              <w:jc w:val="center"/>
              <w:rPr>
                <w:rFonts w:cstheme="minorHAnsi"/>
                <w:sz w:val="22"/>
                <w:szCs w:val="22"/>
              </w:rPr>
            </w:pPr>
            <w:r w:rsidRPr="00393E07">
              <w:rPr>
                <w:rFonts w:cstheme="minorHAnsi"/>
                <w:sz w:val="22"/>
                <w:szCs w:val="22"/>
              </w:rPr>
              <w:t>Zn</w:t>
            </w:r>
          </w:p>
        </w:tc>
        <w:tc>
          <w:tcPr>
            <w:tcW w:w="1783" w:type="dxa"/>
            <w:vAlign w:val="center"/>
          </w:tcPr>
          <w:p w14:paraId="4C461F6B" w14:textId="77777777" w:rsidR="000B3C60" w:rsidRPr="00393E07" w:rsidRDefault="000B3C60" w:rsidP="00983E4F">
            <w:pPr>
              <w:spacing w:before="100" w:beforeAutospacing="1" w:after="100" w:afterAutospacing="1" w:line="240" w:lineRule="auto"/>
              <w:jc w:val="center"/>
              <w:rPr>
                <w:rFonts w:cstheme="minorHAnsi"/>
                <w:sz w:val="22"/>
                <w:szCs w:val="22"/>
              </w:rPr>
            </w:pPr>
            <w:r w:rsidRPr="00393E07">
              <w:rPr>
                <w:rFonts w:cstheme="minorHAnsi"/>
                <w:sz w:val="22"/>
                <w:szCs w:val="22"/>
              </w:rPr>
              <w:t>0.05</w:t>
            </w:r>
          </w:p>
        </w:tc>
      </w:tr>
    </w:tbl>
    <w:p w14:paraId="057FDBAD" w14:textId="77777777" w:rsidR="000B3C60" w:rsidRDefault="000B3C60" w:rsidP="000B3C60">
      <w:pPr>
        <w:rPr>
          <w:rFonts w:ascii="Times New Roman" w:hAnsi="Times New Roman" w:cs="Times New Roman"/>
          <w:b/>
          <w:bCs/>
          <w:sz w:val="24"/>
          <w:szCs w:val="24"/>
        </w:rPr>
      </w:pPr>
    </w:p>
    <w:p w14:paraId="151B22BD" w14:textId="77777777" w:rsidR="000B3C60" w:rsidRDefault="000B3C60" w:rsidP="000B3C60">
      <w:pPr>
        <w:spacing w:before="240" w:after="240" w:line="240"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08303F2D" w14:textId="3157B96B" w:rsidR="00923C7C" w:rsidRDefault="00174AEB" w:rsidP="000B3C60">
      <w:pPr>
        <w:spacing w:before="240" w:after="240" w:line="240" w:lineRule="auto"/>
        <w:rPr>
          <w:rFonts w:ascii="Times New Roman" w:hAnsi="Times New Roman" w:cs="Times New Roman"/>
          <w:b/>
          <w:bCs/>
          <w:noProof/>
          <w:sz w:val="24"/>
          <w:szCs w:val="24"/>
        </w:rPr>
      </w:pPr>
      <w:r>
        <w:rPr>
          <w:rFonts w:ascii="Times New Roman" w:hAnsi="Times New Roman" w:cs="Times New Roman"/>
          <w:b/>
          <w:bCs/>
          <w:noProof/>
          <w:sz w:val="24"/>
          <w:szCs w:val="24"/>
        </w:rPr>
        <w:lastRenderedPageBreak/>
        <w:t xml:space="preserve">Supplemental </w:t>
      </w:r>
      <w:r w:rsidR="007805FF">
        <w:rPr>
          <w:rFonts w:ascii="Times New Roman" w:hAnsi="Times New Roman" w:cs="Times New Roman"/>
          <w:b/>
          <w:bCs/>
          <w:noProof/>
          <w:sz w:val="24"/>
          <w:szCs w:val="24"/>
        </w:rPr>
        <w:t>m</w:t>
      </w:r>
      <w:r>
        <w:rPr>
          <w:rFonts w:ascii="Times New Roman" w:hAnsi="Times New Roman" w:cs="Times New Roman"/>
          <w:b/>
          <w:bCs/>
          <w:noProof/>
          <w:sz w:val="24"/>
          <w:szCs w:val="24"/>
        </w:rPr>
        <w:t>ethods</w:t>
      </w:r>
      <w:r w:rsidR="007805FF">
        <w:rPr>
          <w:rFonts w:ascii="Times New Roman" w:hAnsi="Times New Roman" w:cs="Times New Roman"/>
          <w:b/>
          <w:bCs/>
          <w:noProof/>
          <w:sz w:val="24"/>
          <w:szCs w:val="24"/>
        </w:rPr>
        <w:t xml:space="preserve"> and analyses</w:t>
      </w:r>
    </w:p>
    <w:p w14:paraId="51A86942" w14:textId="77777777" w:rsidR="007805FF" w:rsidRDefault="007805FF" w:rsidP="007805FF">
      <w:pPr>
        <w:spacing w:after="240" w:line="480" w:lineRule="auto"/>
        <w:rPr>
          <w:rFonts w:ascii="Times New Roman" w:hAnsi="Times New Roman" w:cs="Times New Roman"/>
          <w:i/>
          <w:iCs/>
          <w:sz w:val="24"/>
          <w:szCs w:val="24"/>
        </w:rPr>
      </w:pPr>
      <w:r>
        <w:rPr>
          <w:rFonts w:ascii="Times New Roman" w:hAnsi="Times New Roman" w:cs="Times New Roman"/>
          <w:i/>
          <w:iCs/>
          <w:sz w:val="24"/>
          <w:szCs w:val="24"/>
        </w:rPr>
        <w:t>Milkweed establishment</w:t>
      </w:r>
    </w:p>
    <w:p w14:paraId="612DFD2B" w14:textId="388453F4" w:rsidR="00607AF9" w:rsidRDefault="00A81A9D" w:rsidP="007805FF">
      <w:pPr>
        <w:spacing w:after="240" w:line="480" w:lineRule="auto"/>
        <w:rPr>
          <w:rFonts w:ascii="Times New Roman" w:hAnsi="Times New Roman" w:cs="Times New Roman"/>
          <w:sz w:val="24"/>
          <w:szCs w:val="24"/>
        </w:rPr>
      </w:pPr>
      <w:r w:rsidRPr="007805FF">
        <w:rPr>
          <w:rFonts w:ascii="Times New Roman" w:hAnsi="Times New Roman" w:cs="Times New Roman"/>
          <w:sz w:val="24"/>
          <w:szCs w:val="24"/>
        </w:rPr>
        <w:t xml:space="preserve">The </w:t>
      </w:r>
      <w:r>
        <w:rPr>
          <w:rFonts w:ascii="Times New Roman" w:hAnsi="Times New Roman" w:cs="Times New Roman"/>
          <w:sz w:val="24"/>
          <w:szCs w:val="24"/>
        </w:rPr>
        <w:t xml:space="preserve">research </w:t>
      </w:r>
      <w:r w:rsidRPr="007805FF">
        <w:rPr>
          <w:rFonts w:ascii="Times New Roman" w:hAnsi="Times New Roman" w:cs="Times New Roman"/>
          <w:sz w:val="24"/>
          <w:szCs w:val="24"/>
        </w:rPr>
        <w:t>greenhouse</w:t>
      </w:r>
      <w:r>
        <w:rPr>
          <w:rFonts w:ascii="Times New Roman" w:hAnsi="Times New Roman" w:cs="Times New Roman"/>
          <w:sz w:val="24"/>
          <w:szCs w:val="24"/>
        </w:rPr>
        <w:t xml:space="preserve"> used a climate control system that was designed to maintain internal greenhouse temperatures below 30</w:t>
      </w:r>
      <w:r w:rsidR="00607AF9" w:rsidRPr="00E14266">
        <w:rPr>
          <w:rFonts w:ascii="Times New Roman" w:hAnsi="Times New Roman" w:cs="Times New Roman"/>
          <w:sz w:val="24"/>
          <w:szCs w:val="24"/>
        </w:rPr>
        <w:t>°</w:t>
      </w:r>
      <w:r w:rsidR="00607AF9">
        <w:rPr>
          <w:rFonts w:ascii="Times New Roman" w:hAnsi="Times New Roman" w:cs="Times New Roman"/>
          <w:sz w:val="24"/>
          <w:szCs w:val="24"/>
        </w:rPr>
        <w:t xml:space="preserve"> </w:t>
      </w:r>
      <w:r>
        <w:rPr>
          <w:rFonts w:ascii="Times New Roman" w:hAnsi="Times New Roman" w:cs="Times New Roman"/>
          <w:sz w:val="24"/>
          <w:szCs w:val="24"/>
        </w:rPr>
        <w:t>C</w:t>
      </w:r>
      <w:r w:rsidR="00607AF9">
        <w:rPr>
          <w:rFonts w:ascii="Times New Roman" w:hAnsi="Times New Roman" w:cs="Times New Roman"/>
          <w:sz w:val="24"/>
          <w:szCs w:val="24"/>
        </w:rPr>
        <w:t xml:space="preserve"> using an evaporative cooling system. </w:t>
      </w:r>
      <w:r w:rsidR="00FE78D4">
        <w:rPr>
          <w:rFonts w:ascii="Times New Roman" w:hAnsi="Times New Roman" w:cs="Times New Roman"/>
          <w:sz w:val="24"/>
          <w:szCs w:val="24"/>
        </w:rPr>
        <w:t>A</w:t>
      </w:r>
      <w:r w:rsidR="00607AF9">
        <w:rPr>
          <w:rFonts w:ascii="Times New Roman" w:hAnsi="Times New Roman" w:cs="Times New Roman"/>
          <w:sz w:val="24"/>
          <w:szCs w:val="24"/>
        </w:rPr>
        <w:t>m</w:t>
      </w:r>
      <w:r>
        <w:rPr>
          <w:rFonts w:ascii="Times New Roman" w:hAnsi="Times New Roman" w:cs="Times New Roman"/>
          <w:sz w:val="24"/>
          <w:szCs w:val="24"/>
        </w:rPr>
        <w:t xml:space="preserve">bient outdoor air </w:t>
      </w:r>
      <w:r w:rsidR="00607AF9">
        <w:rPr>
          <w:rFonts w:ascii="Times New Roman" w:hAnsi="Times New Roman" w:cs="Times New Roman"/>
          <w:sz w:val="24"/>
          <w:szCs w:val="24"/>
        </w:rPr>
        <w:t>was drawn</w:t>
      </w:r>
      <w:r>
        <w:rPr>
          <w:rFonts w:ascii="Times New Roman" w:hAnsi="Times New Roman" w:cs="Times New Roman"/>
          <w:sz w:val="24"/>
          <w:szCs w:val="24"/>
        </w:rPr>
        <w:t xml:space="preserve"> through </w:t>
      </w:r>
      <w:r w:rsidR="007805FF">
        <w:rPr>
          <w:rFonts w:ascii="Times New Roman" w:hAnsi="Times New Roman" w:cs="Times New Roman"/>
          <w:sz w:val="24"/>
          <w:szCs w:val="24"/>
        </w:rPr>
        <w:t xml:space="preserve">an evaporative cooling system </w:t>
      </w:r>
      <w:r>
        <w:rPr>
          <w:rFonts w:ascii="Times New Roman" w:hAnsi="Times New Roman" w:cs="Times New Roman"/>
          <w:sz w:val="24"/>
          <w:szCs w:val="24"/>
        </w:rPr>
        <w:t xml:space="preserve">on one side of the greenhouse </w:t>
      </w:r>
      <w:r w:rsidR="00607AF9">
        <w:rPr>
          <w:rFonts w:ascii="Times New Roman" w:hAnsi="Times New Roman" w:cs="Times New Roman"/>
          <w:sz w:val="24"/>
          <w:szCs w:val="24"/>
        </w:rPr>
        <w:t>as</w:t>
      </w:r>
      <w:r>
        <w:rPr>
          <w:rFonts w:ascii="Times New Roman" w:hAnsi="Times New Roman" w:cs="Times New Roman"/>
          <w:sz w:val="24"/>
          <w:szCs w:val="24"/>
        </w:rPr>
        <w:t xml:space="preserve"> warm</w:t>
      </w:r>
      <w:r w:rsidR="00607AF9">
        <w:rPr>
          <w:rFonts w:ascii="Times New Roman" w:hAnsi="Times New Roman" w:cs="Times New Roman"/>
          <w:sz w:val="24"/>
          <w:szCs w:val="24"/>
        </w:rPr>
        <w:t>er</w:t>
      </w:r>
      <w:r>
        <w:rPr>
          <w:rFonts w:ascii="Times New Roman" w:hAnsi="Times New Roman" w:cs="Times New Roman"/>
          <w:sz w:val="24"/>
          <w:szCs w:val="24"/>
        </w:rPr>
        <w:t xml:space="preserve"> internal air </w:t>
      </w:r>
      <w:r w:rsidR="00607AF9">
        <w:rPr>
          <w:rFonts w:ascii="Times New Roman" w:hAnsi="Times New Roman" w:cs="Times New Roman"/>
          <w:sz w:val="24"/>
          <w:szCs w:val="24"/>
        </w:rPr>
        <w:t>w</w:t>
      </w:r>
      <w:r>
        <w:rPr>
          <w:rFonts w:ascii="Times New Roman" w:hAnsi="Times New Roman" w:cs="Times New Roman"/>
          <w:sz w:val="24"/>
          <w:szCs w:val="24"/>
        </w:rPr>
        <w:t xml:space="preserve">as </w:t>
      </w:r>
      <w:r w:rsidR="00607AF9">
        <w:rPr>
          <w:rFonts w:ascii="Times New Roman" w:hAnsi="Times New Roman" w:cs="Times New Roman"/>
          <w:sz w:val="24"/>
          <w:szCs w:val="24"/>
        </w:rPr>
        <w:t>exhausted from the other side. This system result</w:t>
      </w:r>
      <w:r w:rsidR="00FE78D4">
        <w:rPr>
          <w:rFonts w:ascii="Times New Roman" w:hAnsi="Times New Roman" w:cs="Times New Roman"/>
          <w:sz w:val="24"/>
          <w:szCs w:val="24"/>
        </w:rPr>
        <w:t>s</w:t>
      </w:r>
      <w:r w:rsidR="00607AF9">
        <w:rPr>
          <w:rFonts w:ascii="Times New Roman" w:hAnsi="Times New Roman" w:cs="Times New Roman"/>
          <w:sz w:val="24"/>
          <w:szCs w:val="24"/>
        </w:rPr>
        <w:t xml:space="preserve"> in a temperature gradient within the greenhouse, with estimated </w:t>
      </w:r>
      <w:r w:rsidR="00FE78D4">
        <w:rPr>
          <w:rFonts w:ascii="Times New Roman" w:hAnsi="Times New Roman" w:cs="Times New Roman"/>
          <w:sz w:val="24"/>
          <w:szCs w:val="24"/>
        </w:rPr>
        <w:t xml:space="preserve">daytime </w:t>
      </w:r>
      <w:r w:rsidR="00607AF9">
        <w:rPr>
          <w:rFonts w:ascii="Times New Roman" w:hAnsi="Times New Roman" w:cs="Times New Roman"/>
          <w:sz w:val="24"/>
          <w:szCs w:val="24"/>
        </w:rPr>
        <w:t>air temperatures near the evaporative cooling system around 23</w:t>
      </w:r>
      <w:r w:rsidR="00607AF9" w:rsidRPr="00E14266">
        <w:rPr>
          <w:rFonts w:ascii="Times New Roman" w:hAnsi="Times New Roman" w:cs="Times New Roman"/>
          <w:sz w:val="24"/>
          <w:szCs w:val="24"/>
        </w:rPr>
        <w:t>°</w:t>
      </w:r>
      <w:r w:rsidR="00607AF9">
        <w:rPr>
          <w:rFonts w:ascii="Times New Roman" w:hAnsi="Times New Roman" w:cs="Times New Roman"/>
          <w:sz w:val="24"/>
          <w:szCs w:val="24"/>
        </w:rPr>
        <w:t xml:space="preserve"> C and air temperatures </w:t>
      </w:r>
      <w:r w:rsidR="00105032">
        <w:rPr>
          <w:rFonts w:ascii="Times New Roman" w:hAnsi="Times New Roman" w:cs="Times New Roman"/>
          <w:sz w:val="24"/>
          <w:szCs w:val="24"/>
        </w:rPr>
        <w:t>n</w:t>
      </w:r>
      <w:r w:rsidR="00607AF9">
        <w:rPr>
          <w:rFonts w:ascii="Times New Roman" w:hAnsi="Times New Roman" w:cs="Times New Roman"/>
          <w:sz w:val="24"/>
          <w:szCs w:val="24"/>
        </w:rPr>
        <w:t>ear the exhaust fans around 30</w:t>
      </w:r>
      <w:r w:rsidR="00607AF9" w:rsidRPr="00E14266">
        <w:rPr>
          <w:rFonts w:ascii="Times New Roman" w:hAnsi="Times New Roman" w:cs="Times New Roman"/>
          <w:sz w:val="24"/>
          <w:szCs w:val="24"/>
        </w:rPr>
        <w:t>°</w:t>
      </w:r>
      <w:r w:rsidR="00607AF9">
        <w:rPr>
          <w:rFonts w:ascii="Times New Roman" w:hAnsi="Times New Roman" w:cs="Times New Roman"/>
          <w:sz w:val="24"/>
          <w:szCs w:val="24"/>
        </w:rPr>
        <w:t xml:space="preserve"> C during the experimental growing season (July 10 to September 19, 2022). </w:t>
      </w:r>
      <w:r w:rsidR="00A24BF7">
        <w:rPr>
          <w:rFonts w:ascii="Times New Roman" w:hAnsi="Times New Roman" w:cs="Times New Roman"/>
          <w:sz w:val="24"/>
          <w:szCs w:val="24"/>
        </w:rPr>
        <w:t xml:space="preserve">The greenhouse benches were arranged linearly along this known temperature gradient, and the experimental design included benches as experimental blocks to account for this temperature variation.  </w:t>
      </w:r>
    </w:p>
    <w:p w14:paraId="5E1DDD15" w14:textId="77777777" w:rsidR="00A24BF7" w:rsidRPr="00FA3FAB" w:rsidRDefault="00A24BF7" w:rsidP="00A24BF7">
      <w:pPr>
        <w:spacing w:line="480" w:lineRule="auto"/>
        <w:rPr>
          <w:rFonts w:ascii="Times New Roman" w:hAnsi="Times New Roman" w:cs="Times New Roman"/>
          <w:i/>
          <w:iCs/>
          <w:sz w:val="24"/>
          <w:szCs w:val="24"/>
        </w:rPr>
      </w:pPr>
      <w:r w:rsidRPr="00FA3FAB">
        <w:rPr>
          <w:rFonts w:ascii="Times New Roman" w:hAnsi="Times New Roman" w:cs="Times New Roman"/>
          <w:i/>
          <w:iCs/>
          <w:sz w:val="24"/>
          <w:szCs w:val="24"/>
        </w:rPr>
        <w:t>Soil analysis</w:t>
      </w:r>
    </w:p>
    <w:p w14:paraId="7120521E" w14:textId="4B4913E4" w:rsidR="00A81A9D" w:rsidRDefault="00A24BF7" w:rsidP="007805FF">
      <w:pPr>
        <w:spacing w:after="240" w:line="480" w:lineRule="auto"/>
        <w:rPr>
          <w:rFonts w:ascii="Times New Roman" w:hAnsi="Times New Roman" w:cs="Times New Roman"/>
          <w:sz w:val="24"/>
          <w:szCs w:val="24"/>
        </w:rPr>
      </w:pPr>
      <w:r>
        <w:rPr>
          <w:rFonts w:ascii="Times New Roman" w:hAnsi="Times New Roman" w:cs="Times New Roman"/>
          <w:sz w:val="24"/>
          <w:szCs w:val="24"/>
        </w:rPr>
        <w:t xml:space="preserve">Our soil nitrogen </w:t>
      </w:r>
      <w:r w:rsidR="008D6509">
        <w:rPr>
          <w:rFonts w:ascii="Times New Roman" w:hAnsi="Times New Roman" w:cs="Times New Roman"/>
          <w:sz w:val="24"/>
          <w:szCs w:val="24"/>
        </w:rPr>
        <w:t>analyses measured ammonium (NH</w:t>
      </w:r>
      <w:r w:rsidR="008D6509" w:rsidRPr="008D6509">
        <w:rPr>
          <w:rFonts w:ascii="Times New Roman" w:hAnsi="Times New Roman" w:cs="Times New Roman"/>
          <w:sz w:val="24"/>
          <w:szCs w:val="24"/>
          <w:vertAlign w:val="subscript"/>
        </w:rPr>
        <w:t>4</w:t>
      </w:r>
      <w:r w:rsidR="008D6509" w:rsidRPr="008D6509">
        <w:rPr>
          <w:rFonts w:ascii="Times New Roman" w:hAnsi="Times New Roman" w:cs="Times New Roman"/>
          <w:sz w:val="24"/>
          <w:szCs w:val="24"/>
          <w:vertAlign w:val="superscript"/>
        </w:rPr>
        <w:t>+</w:t>
      </w:r>
      <w:r w:rsidR="008D6509">
        <w:rPr>
          <w:rFonts w:ascii="Times New Roman" w:hAnsi="Times New Roman" w:cs="Times New Roman"/>
          <w:sz w:val="24"/>
          <w:szCs w:val="24"/>
        </w:rPr>
        <w:t>) and nitrate (NO</w:t>
      </w:r>
      <w:r w:rsidR="008D6509" w:rsidRPr="008D6509">
        <w:rPr>
          <w:rFonts w:ascii="Times New Roman" w:hAnsi="Times New Roman" w:cs="Times New Roman"/>
          <w:sz w:val="24"/>
          <w:szCs w:val="24"/>
          <w:vertAlign w:val="subscript"/>
        </w:rPr>
        <w:t>3</w:t>
      </w:r>
      <w:r w:rsidR="008D6509">
        <w:rPr>
          <w:rFonts w:ascii="Times New Roman" w:hAnsi="Times New Roman" w:cs="Times New Roman"/>
          <w:sz w:val="24"/>
          <w:szCs w:val="24"/>
          <w:vertAlign w:val="superscript"/>
        </w:rPr>
        <w:t>-</w:t>
      </w:r>
      <w:r w:rsidR="008D6509">
        <w:t>)</w:t>
      </w:r>
      <w:r w:rsidR="008D6509">
        <w:rPr>
          <w:rFonts w:ascii="Times New Roman" w:hAnsi="Times New Roman" w:cs="Times New Roman"/>
          <w:sz w:val="24"/>
          <w:szCs w:val="24"/>
        </w:rPr>
        <w:t xml:space="preserve"> concentrations, two measures that we summed into a single measure of total, plant-available, mineralized nitrogen</w:t>
      </w:r>
      <w:r w:rsidR="00BF70D0">
        <w:rPr>
          <w:rFonts w:ascii="Times New Roman" w:hAnsi="Times New Roman" w:cs="Times New Roman"/>
          <w:sz w:val="24"/>
          <w:szCs w:val="24"/>
        </w:rPr>
        <w:t>.</w:t>
      </w:r>
      <w:r w:rsidR="00AC0205">
        <w:rPr>
          <w:rFonts w:ascii="Times New Roman" w:hAnsi="Times New Roman" w:cs="Times New Roman"/>
          <w:sz w:val="24"/>
          <w:szCs w:val="24"/>
        </w:rPr>
        <w:t xml:space="preserve"> </w:t>
      </w:r>
      <w:r w:rsidR="00BF70D0">
        <w:rPr>
          <w:rFonts w:ascii="Times New Roman" w:hAnsi="Times New Roman" w:cs="Times New Roman"/>
          <w:sz w:val="24"/>
          <w:szCs w:val="24"/>
        </w:rPr>
        <w:t xml:space="preserve"> </w:t>
      </w:r>
      <w:r w:rsidR="00926800">
        <w:rPr>
          <w:rFonts w:ascii="Times New Roman" w:hAnsi="Times New Roman" w:cs="Times New Roman"/>
          <w:sz w:val="24"/>
          <w:szCs w:val="24"/>
        </w:rPr>
        <w:t>Both forms of nitrogen are typically present in soils, with the transformation of ammonium into nitrate mediated by nitrifying bacteria</w:t>
      </w:r>
      <w:r w:rsidR="00BF70D0">
        <w:rPr>
          <w:rFonts w:ascii="Times New Roman" w:hAnsi="Times New Roman" w:cs="Times New Roman"/>
          <w:sz w:val="24"/>
          <w:szCs w:val="24"/>
        </w:rPr>
        <w:t xml:space="preserve"> </w:t>
      </w:r>
      <w:r w:rsidR="004D013D">
        <w:rPr>
          <w:rFonts w:ascii="Times New Roman" w:hAnsi="Times New Roman" w:cs="Times New Roman"/>
          <w:sz w:val="24"/>
          <w:szCs w:val="24"/>
        </w:rPr>
        <w:fldChar w:fldCharType="begin"/>
      </w:r>
      <w:r w:rsidR="004D013D">
        <w:rPr>
          <w:rFonts w:ascii="Times New Roman" w:hAnsi="Times New Roman" w:cs="Times New Roman"/>
          <w:sz w:val="24"/>
          <w:szCs w:val="24"/>
        </w:rPr>
        <w:instrText xml:space="preserve"> ADDIN ZOTERO_ITEM CSL_CITATION {"citationID":"L3LwXHty","properties":{"formattedCitation":"(Schimel and Bennett 2004)","plainCitation":"(Schimel and Bennett 2004)","noteIndex":0},"citationItems":[{"id":21163,"uris":["http://zotero.org/groups/2452215/items/9X6PZBB3"],"itemData":{"id":21163,"type":"article-journal","abstract":"Until recently, the common view of the terrestrial nitrogen cycle had been driven by two core assumptions—plants use only inorganic N and they compete poorly against soil microbes for N. Thus, plants were thought to use N that microbes “left over,” allowing the N cycle to be divided cleanly into two pieces—the microbial decomposition side and the plant uptake and use side. These were linked by the process of net mineralization. Over the last decade, research has changed these views. N cycling is now seen as being driven by the depolymerization of N-containing polymers by microbial (including mycorrhizal) extracellular enzymes. This releases organic N-containing monomers that may be used by either plants or microbes. However, a complete new conceptual model of the soil N cycle needs to incorporate recent research on plant–microbe competition and microsite processes to explain the dynamics of N across the wide range of N availability found in terrestrial ecosystems. We discuss the evolution of thinking about the soil N cycle, propose a new integrated conceptual model that explains how N cycling changes as ecosystem N availability changes, and discuss methodological issues raised by the changing paradigm of terrestrial N cycling.","container-title":"Ecology","DOI":"10.1890/03-8002","ISSN":"1939-9170","issue":"3","language":"en","license":"© 2004 by the Ecological Society of America","note":"_eprint: https://esajournals.onlinelibrary.wiley.com/doi/pdf/10.1890/03-8002","page":"591-602","source":"Wiley Online Library","title":"Nitrogen Mineralization: Challenges of a Changing Paradigm","title-short":"Nitrogen Mineralization","volume":"85","author":[{"family":"Schimel","given":"Joshua P."},{"family":"Bennett","given":"Jennifer"}],"issued":{"date-parts":[["2004"]]}}}],"schema":"https://github.com/citation-style-language/schema/raw/master/csl-citation.json"} </w:instrText>
      </w:r>
      <w:r w:rsidR="004D013D">
        <w:rPr>
          <w:rFonts w:ascii="Times New Roman" w:hAnsi="Times New Roman" w:cs="Times New Roman"/>
          <w:sz w:val="24"/>
          <w:szCs w:val="24"/>
        </w:rPr>
        <w:fldChar w:fldCharType="separate"/>
      </w:r>
      <w:r w:rsidR="004D013D" w:rsidRPr="004D013D">
        <w:rPr>
          <w:rFonts w:ascii="Times New Roman" w:hAnsi="Times New Roman" w:cs="Times New Roman"/>
          <w:sz w:val="24"/>
        </w:rPr>
        <w:t>(Schimel and Bennett 2004)</w:t>
      </w:r>
      <w:r w:rsidR="004D013D">
        <w:rPr>
          <w:rFonts w:ascii="Times New Roman" w:hAnsi="Times New Roman" w:cs="Times New Roman"/>
          <w:sz w:val="24"/>
          <w:szCs w:val="24"/>
        </w:rPr>
        <w:fldChar w:fldCharType="end"/>
      </w:r>
      <w:r w:rsidR="00926800">
        <w:rPr>
          <w:rFonts w:ascii="Times New Roman" w:hAnsi="Times New Roman" w:cs="Times New Roman"/>
          <w:sz w:val="24"/>
          <w:szCs w:val="24"/>
        </w:rPr>
        <w:t xml:space="preserve">. </w:t>
      </w:r>
      <w:r w:rsidR="006E23EE">
        <w:rPr>
          <w:rFonts w:ascii="Times New Roman" w:hAnsi="Times New Roman" w:cs="Times New Roman"/>
          <w:sz w:val="24"/>
          <w:szCs w:val="24"/>
        </w:rPr>
        <w:t xml:space="preserve">Plants use both and </w:t>
      </w:r>
      <w:r w:rsidR="00D45E81">
        <w:rPr>
          <w:rFonts w:ascii="Times New Roman" w:hAnsi="Times New Roman" w:cs="Times New Roman"/>
          <w:sz w:val="24"/>
          <w:szCs w:val="24"/>
        </w:rPr>
        <w:t xml:space="preserve">generally </w:t>
      </w:r>
      <w:r w:rsidR="006E23EE">
        <w:rPr>
          <w:rFonts w:ascii="Times New Roman" w:hAnsi="Times New Roman" w:cs="Times New Roman"/>
          <w:sz w:val="24"/>
          <w:szCs w:val="24"/>
        </w:rPr>
        <w:t xml:space="preserve">benefit from a combination of these two nitrogen ions </w:t>
      </w:r>
      <w:r w:rsidR="00926800">
        <w:rPr>
          <w:rFonts w:ascii="Times New Roman" w:hAnsi="Times New Roman" w:cs="Times New Roman"/>
          <w:sz w:val="24"/>
          <w:szCs w:val="24"/>
        </w:rPr>
        <w:fldChar w:fldCharType="begin"/>
      </w:r>
      <w:r w:rsidR="00926800">
        <w:rPr>
          <w:rFonts w:ascii="Times New Roman" w:hAnsi="Times New Roman" w:cs="Times New Roman"/>
          <w:sz w:val="24"/>
          <w:szCs w:val="24"/>
        </w:rPr>
        <w:instrText xml:space="preserve"> ADDIN ZOTERO_ITEM CSL_CITATION {"citationID":"XX1MHuhK","properties":{"formattedCitation":"(Raven and Smith 1976, Miller and Cramer 2005)","plainCitation":"(Raven and Smith 1976, Miller and Cramer 2005)","noteIndex":0},"citationItems":[{"id":23059,"uris":["http://zotero.org/groups/2452215/items/NWCFKJMM"],"itemData":{"id":23059,"type":"article-journal","abstract":"The assimilationof ammonium ion in plant cell cytoplasm produces at least one H+ per NH+4; N2 fixation generates 0.1-0.2 H+ per N assimilated; NO-3 assimilation produces almost one OH- per NO-3. H+ or OH- produced in excess of that required to maintain cytoplasmic pH for H+ or OH-, the major process involved is H+ efflux (frequently by active transport) from the cell. IN higher land plants, much of assimilated N occurs as hoot protein; the shoot cells have no direct acess to the H+ and OH- sink of the soil solution. When ammonium ion is the N source it is assimilated into organic-N in the roots. The shoot is supplied with a mixture of amino-acids, amides and organic acids which an be incorporated (with neutral photosynthate) into cell material without damaging pH changes. Similar considerations apply to symbiotic N2 assimilation in root nodules. IN both cases the excess H+ generated in the root cell cytoplasm is exerted is excreted to the soil solution; there is no mechanism whereby photolithotrophic plant can, in the long term, counter intracellular acidity without resort to active H+ efflux to an extracellular sink. When nitrate is reduced in roots, the organic compounds involved in N transportged to the shoot are similar to those used when ammonium or N2 is the N source with similar implications for the regulation of shoot pH. The excess OH- generated in the roots is partly excreted to the soil solution, and partly neutralized by the ‘biochemical pH stat’ which produces strong organic acids from essentially neutral precursors. When nitrate is assimilated solely in shoots, the excess OH- is initially neutralized by the operation of the biochemical pH state. Storage of the inorganic cation-organate in shoot cell vacuoles could lead to turgor and volume regulation problems in these cells. These are avoided when an insoluble salt (calcium oxalate) is the product of the pH stat, or when the cation organate is translocated to the roots where organate breakdown regenerates OH-, whcih is lost to the soil solution. This mixture of biochemical, and long and short distance transport processes, enables cells remote from a large sink for H+ or OH- to produce protein without unfavourable pH changes. These processes related to pH regulation during N assimilation have important consequences for the carbon and energy economy of the plant.","container-title":"New Phytologist","DOI":"10.1111/j.1469-8137.1976.tb01477.x","ISSN":"1469-8137","issue":"3","language":"en","note":"_eprint: https://nph.onlinelibrary.wiley.com/doi/pdf/10.1111/j.1469-8137.1976.tb01477.x","page":"415-431","source":"Wiley Online Library","title":"Nitrogen assimilation and transport in vascular land plants in relation to intracellular pH regulation","volume":"76","author":[{"family":"Raven","given":"J. A."},{"family":"Smith","given":"F. A."}],"issued":{"date-parts":[["1976"]]}}},{"id":23057,"uris":["http://zotero.org/groups/2452215/items/G4ACSVQE"],"itemData":{"id":23057,"type":"article-journal","abstract":"Nitrogen (N) is the main mineral element in plant tissues and almost all of this nutrient is acquired from the soil by the roots. Nitrogen is available in many different forms in the soil, but the three most abundant forms are nitrate, ammonium and amino acids. The relative importance of these different soil N pools to a plant is difficult to measure and depends on many different environmental factors. Changes in the available amounts and imbalance in the supply of some N forms can even be toxic to plants and in extreme cases can lead to changes in the vegetation. However, the importance of this element for agriculture is reflected in the amounts of N-fertiliser applied to crops and this is a major cost (economic and environmental) for world agriculture. This review covers the molecular mechanisms that the plant uses for accessing these soil N pools and briefly includes consideration of the root N assimilatory pathways that exist in the plant. The soil forms of N that are used by plants depend on many factors, but a series of different transporter and assimilatory genes that can provide access to these pools have been identified. This information can now provide the molecular tools to identify the N sources accessed by a plant and the relative importance of these different pools.","container-title":"Plant and Soil","DOI":"10.1007/s11104-004-0965-1","ISSN":"1573-5036","issue":"1","journalAbbreviation":"Plant Soil","language":"en","page":"1-36","source":"Springer Link","title":"Root Nitrogen Acquisition and Assimilation","volume":"274","author":[{"family":"Miller","given":"A. J."},{"family":"Cramer","given":"M. D."}],"issued":{"date-parts":[["2005",7,1]]}}}],"schema":"https://github.com/citation-style-language/schema/raw/master/csl-citation.json"} </w:instrText>
      </w:r>
      <w:r w:rsidR="00926800">
        <w:rPr>
          <w:rFonts w:ascii="Times New Roman" w:hAnsi="Times New Roman" w:cs="Times New Roman"/>
          <w:sz w:val="24"/>
          <w:szCs w:val="24"/>
        </w:rPr>
        <w:fldChar w:fldCharType="separate"/>
      </w:r>
      <w:r w:rsidR="00926800" w:rsidRPr="00926800">
        <w:rPr>
          <w:rFonts w:ascii="Times New Roman" w:hAnsi="Times New Roman" w:cs="Times New Roman"/>
          <w:sz w:val="24"/>
        </w:rPr>
        <w:t>(Raven and Smith 1976, Miller and Cramer 2005)</w:t>
      </w:r>
      <w:r w:rsidR="00926800">
        <w:rPr>
          <w:rFonts w:ascii="Times New Roman" w:hAnsi="Times New Roman" w:cs="Times New Roman"/>
          <w:sz w:val="24"/>
          <w:szCs w:val="24"/>
        </w:rPr>
        <w:fldChar w:fldCharType="end"/>
      </w:r>
      <w:r w:rsidR="00BF70D0">
        <w:rPr>
          <w:rFonts w:ascii="Times New Roman" w:hAnsi="Times New Roman" w:cs="Times New Roman"/>
          <w:sz w:val="24"/>
          <w:szCs w:val="24"/>
        </w:rPr>
        <w:t xml:space="preserve">, as nitrate is reduced back to ammonium within the plant during the </w:t>
      </w:r>
      <w:r w:rsidR="00AC0205">
        <w:rPr>
          <w:rFonts w:ascii="Times New Roman" w:hAnsi="Times New Roman" w:cs="Times New Roman"/>
          <w:sz w:val="24"/>
          <w:szCs w:val="24"/>
        </w:rPr>
        <w:t xml:space="preserve">production of amino acids </w:t>
      </w:r>
      <w:r w:rsidR="00AC0205">
        <w:rPr>
          <w:rFonts w:ascii="Times New Roman" w:hAnsi="Times New Roman" w:cs="Times New Roman"/>
          <w:sz w:val="24"/>
          <w:szCs w:val="24"/>
        </w:rPr>
        <w:fldChar w:fldCharType="begin"/>
      </w:r>
      <w:r w:rsidR="00AC0205">
        <w:rPr>
          <w:rFonts w:ascii="Times New Roman" w:hAnsi="Times New Roman" w:cs="Times New Roman"/>
          <w:sz w:val="24"/>
          <w:szCs w:val="24"/>
        </w:rPr>
        <w:instrText xml:space="preserve"> ADDIN ZOTERO_ITEM CSL_CITATION {"citationID":"nMorCG76","properties":{"formattedCitation":"(Miller and Cramer 2005)","plainCitation":"(Miller and Cramer 2005)","noteIndex":0},"citationItems":[{"id":23057,"uris":["http://zotero.org/groups/2452215/items/G4ACSVQE"],"itemData":{"id":23057,"type":"article-journal","abstract":"Nitrogen (N) is the main mineral element in plant tissues and almost all of this nutrient is acquired from the soil by the roots. Nitrogen is available in many different forms in the soil, but the three most abundant forms are nitrate, ammonium and amino acids. The relative importance of these different soil N pools to a plant is difficult to measure and depends on many different environmental factors. Changes in the available amounts and imbalance in the supply of some N forms can even be toxic to plants and in extreme cases can lead to changes in the vegetation. However, the importance of this element for agriculture is reflected in the amounts of N-fertiliser applied to crops and this is a major cost (economic and environmental) for world agriculture. This review covers the molecular mechanisms that the plant uses for accessing these soil N pools and briefly includes consideration of the root N assimilatory pathways that exist in the plant. The soil forms of N that are used by plants depend on many factors, but a series of different transporter and assimilatory genes that can provide access to these pools have been identified. This information can now provide the molecular tools to identify the N sources accessed by a plant and the relative importance of these different pools.","container-title":"Plant and Soil","DOI":"10.1007/s11104-004-0965-1","ISSN":"1573-5036","issue":"1","journalAbbreviation":"Plant Soil","language":"en","page":"1-36","source":"Springer Link","title":"Root Nitrogen Acquisition and Assimilation","volume":"274","author":[{"family":"Miller","given":"A. J."},{"family":"Cramer","given":"M. D."}],"issued":{"date-parts":[["2005",7,1]]}}}],"schema":"https://github.com/citation-style-language/schema/raw/master/csl-citation.json"} </w:instrText>
      </w:r>
      <w:r w:rsidR="00AC0205">
        <w:rPr>
          <w:rFonts w:ascii="Times New Roman" w:hAnsi="Times New Roman" w:cs="Times New Roman"/>
          <w:sz w:val="24"/>
          <w:szCs w:val="24"/>
        </w:rPr>
        <w:fldChar w:fldCharType="separate"/>
      </w:r>
      <w:r w:rsidR="00AC0205" w:rsidRPr="00AC0205">
        <w:rPr>
          <w:rFonts w:ascii="Times New Roman" w:hAnsi="Times New Roman" w:cs="Times New Roman"/>
          <w:sz w:val="24"/>
        </w:rPr>
        <w:t>(Miller and Cramer 2005)</w:t>
      </w:r>
      <w:r w:rsidR="00AC0205">
        <w:rPr>
          <w:rFonts w:ascii="Times New Roman" w:hAnsi="Times New Roman" w:cs="Times New Roman"/>
          <w:sz w:val="24"/>
          <w:szCs w:val="24"/>
        </w:rPr>
        <w:fldChar w:fldCharType="end"/>
      </w:r>
      <w:r w:rsidR="004D013D">
        <w:rPr>
          <w:rFonts w:ascii="Times New Roman" w:hAnsi="Times New Roman" w:cs="Times New Roman"/>
          <w:sz w:val="24"/>
          <w:szCs w:val="24"/>
        </w:rPr>
        <w:t xml:space="preserve">. </w:t>
      </w:r>
    </w:p>
    <w:p w14:paraId="731E3873" w14:textId="52884590" w:rsidR="00105032" w:rsidRDefault="00105032" w:rsidP="007805FF">
      <w:pPr>
        <w:spacing w:after="240" w:line="480" w:lineRule="auto"/>
        <w:rPr>
          <w:rFonts w:ascii="Times New Roman" w:hAnsi="Times New Roman" w:cs="Times New Roman"/>
          <w:sz w:val="24"/>
          <w:szCs w:val="24"/>
        </w:rPr>
      </w:pPr>
      <w:r w:rsidRPr="00105032">
        <w:rPr>
          <w:rFonts w:ascii="Times New Roman" w:hAnsi="Times New Roman" w:cs="Times New Roman"/>
          <w:sz w:val="24"/>
          <w:szCs w:val="24"/>
        </w:rPr>
        <w:t xml:space="preserve">It is well-established that nitrifying bacteria are temperature-sensitive and that cooler soils generally show reduced nitrification rates </w:t>
      </w:r>
      <w:r w:rsidRPr="00105032">
        <w:rPr>
          <w:rFonts w:ascii="Times New Roman" w:hAnsi="Times New Roman" w:cs="Times New Roman"/>
          <w:sz w:val="24"/>
          <w:szCs w:val="24"/>
        </w:rPr>
        <w:fldChar w:fldCharType="begin"/>
      </w:r>
      <w:r w:rsidRPr="00105032">
        <w:rPr>
          <w:rFonts w:ascii="Times New Roman" w:hAnsi="Times New Roman" w:cs="Times New Roman"/>
          <w:sz w:val="24"/>
          <w:szCs w:val="24"/>
        </w:rPr>
        <w:instrText xml:space="preserve"> ADDIN ZOTERO_ITEM CSL_CITATION {"citationID":"CGYQL1ku","properties":{"formattedCitation":"(Frederick 1956; Sabey et al. 1956; Dai et al. 2020)","plainCitation":"(Frederick 1956; Sabey et al. 1956; Dai et al. 2020)","noteIndex":0},"citationItems":[{"id":23021,"uris":["http://zotero.org/groups/2452215/items/UBITJJ6P"],"itemData":{"id":23021,"type":"article-journal","abstract":"The quantitative relationship between temperature and nitrification rates was determined in four different soils under laboratory conditions. The formation of nitrates took place at all temperatures studied between 2 and 35° C. when other factors were favorable. The rate of nitrification increased with temperature with the greatest increase between 7 and 15° C. In Genesee silt loam (pH 7.7) nitrate nitrogen was formed at rates of 2, 10, 45, 60, 90, and 120 ppm. per week at 2, 7, 15.5, 21, 27, and 35° C., respectively, until the 200 ppm. ammonium nitrogen (NH4 -N) added was oxidized. The maximum rate in the Mellott C horizon (pH 7.8) was nearly equal to that achieved in the Genesee; the rate in the Chalmers silty clay loam (pH 6.2) was intermediate; the slowest rates found occurred in the Clermont silt loam (pH 5.0) which had maximum rates of 0, 0, 25, 30, 30, and 15 ppm. per week at the temperatures from 2 to 35° C. given above. The initial rate in the Mellott C and Clermont was much slower than the maximum rate. After 4 weeks the rate decreased in the Chalmers and Clermont, probably due to increased acidity. A marked decrease in the rate of nitrification occurred as the pH dropped below neutrality. Change of pH by adding calcium carbonate did not change the temperature range of nitrification in Clermont silt loam. Differences in temperature range existed between the soils as well as differences in the rate of nitrification. Temperatures fluctuating in a 24-hour cycle generally resulted in an increased rate of nitrification at temperatures below 15.5° C. and a decreased rate above 15.5° C. in Genesee silt loam.","container-title":"Soil Science Society of America Journal","DOI":"10.2136/sssaj1956.03615995002000040012x","ISSN":"1435-0661","issue":"4","language":"en","license":"© 1956 Soil Science Society of America","note":"_eprint: https://acsess.onlinelibrary.wiley.com/doi/pdf/10.2136/sssaj1956.03615995002000040012x","page":"496-500","source":"Wiley Online Library","title":"The Formation of Nitrate from Ammonium Nitrogen in Soils: I. Effect of Temperature","title-short":"The Formation of Nitrate from Ammonium Nitrogen in Soils","volume":"20","author":[{"family":"Frederick","given":"Lloyd R."}],"issued":{"date-parts":[["1956"]]}}},{"id":23026,"uris":["http://zotero.org/groups/2452215/items/35N4JZU8"],"itemData":{"id":23026,"type":"article-journal","abstract":"Nitrification of ammonium sulfate as influenced by temperature was studied in 3 Iowa soils in the laboratory and in 1 soil under field conditions over a fall and winter season. Laboratory temperatures ranged from 8° to 30° C. and soil temperature in the field varied from freezing to about 20° C. General relationships were established between temperatures and nitrification rates in given soils. Nitrification rate decreased with diminution in soil temperature; however, the relationship was not linear over the entire temperature range. At given temperatures, ammonia oxidation rates differed between soils studied, but the temperature-nitrification rate curves for the 3 soils were similar and differed only by a constant factor. Of particular importance to this study was the influence exerted on nitrification by temperature as it decreased from optimum to critically low temperatures. Complete inhibition was not attained until soil temperatures approached the freezing point. Only slight oxidation of ammonium occurred, however, under field conditions in soils that were fertilized after soil temperatures had decreased below 50° F.","container-title":"Soil Science Society of America Journal","DOI":"10.2136/sssaj1956.03615995002000030016x","ISSN":"1435-0661","issue":"3","language":"en","license":"© 1956 Soil Science Society of America","note":"_eprint: https://acsess.onlinelibrary.wiley.com/doi/pdf/10.2136/sssaj1956.03615995002000030016x","page":"357-360","source":"Wiley Online Library","title":"Influence of Temperature on Nitrification in Soils","volume":"20","author":[{"family":"Sabey","given":"Burns R."},{"family":"Bartholomew","given":"W. V."},{"family":"Shaw","given":"Robert"},{"family":"Pesek","given":"John"}],"issued":{"date-parts":[["1956"]]}}},{"id":23053,"uris":["http://zotero.org/groups/2452215/items/AMQ4PUXY"],"itemData":{"id":23053,"type":"article-journal","abstract":"Abstract\n            \n              We assessed the response of soil microbial nitrogen (N) cycling and associated functional genes to elevated temperature at the global scale. A meta‐analysis of 1,270 observations from 134 publications indicated that elevated temperature decreased soil microbial biomass N and increased N mineralization rates, both in the presence and absence of plants. These findings infer that elevated temperature drives microbially mediated N cycling processes from dominance by anabolic to catabolic reaction processes. Elevated temperature increased soil nitrification and denitrification rates, leading to an increase in N\n              2\n              O emissions of up to 227%, whether plants were present or not. Rates of N mineralization, denitrification and N\n              2\n              O emission demonstrated significant positive relationships with rates of CO\n              2\n              emissions under elevated temperatures, suggesting that microbial N cycling processes were associated with enhanced microbial carbon (C) metabolism due to soil warming. The response in the abundance of relevant genes to elevated temperature was not always consistent with changes in N cycling processes. While elevated temperature increased the abundances of the\n              nirS\n              gene with plants and\n              nosZ\n              genes without plants, there was no effect on the abundances of the ammonia‐oxidizing archaea\n              amoA\n              gene, ammonia‐oxidizing bacteria\n              amoA\n              and\n              nirK\n              genes. This study provides the first global‐scale assessment demonstrating that elevated temperature shifts N cycling from microbial immobilization to enhanced mineralization, nitrification and denitrification in terrestrial ecosystems. These findings infer that elevated temperatures have a profound impact on global N cycling processes with implications of a positive feedback to global climate and emphasize the close linkage between soil microbial C and N cycling.","container-title":"Global Change Biology","DOI":"10.1111/gcb.15211","ISSN":"1354-1013, 1365-2486","issue":"9","journalAbbreviation":"Global Change Biology","language":"en","page":"5267-5276","source":"DOI.org (Crossref)","title":"Elevated temperature shifts soil N cycling from microbial immobilization to enhanced mineralization, nitrification and denitrification across global terrestrial ecosystems","volume":"26","author":[{"family":"Dai","given":"Zhongmin"},{"family":"Yu","given":"Mengjie"},{"family":"Chen","given":"Huaihai"},{"family":"Zhao","given":"Haochun"},{"family":"Huang","given":"Yanlan"},{"family":"Su","given":"Weiqin"},{"family":"Xia","given":"Fang"},{"family":"Chang","given":"Scott X."},{"family":"Brookes","given":"Philip C."},{"family":"Dahlgren","given":"Randy A."},{"family":"Xu","given":"Jianming"}],"issued":{"date-parts":[["2020",9]]}}}],"schema":"https://github.com/citation-style-language/schema/raw/master/csl-citation.json"} </w:instrText>
      </w:r>
      <w:r w:rsidRPr="00105032">
        <w:rPr>
          <w:rFonts w:ascii="Times New Roman" w:hAnsi="Times New Roman" w:cs="Times New Roman"/>
          <w:sz w:val="24"/>
          <w:szCs w:val="24"/>
        </w:rPr>
        <w:fldChar w:fldCharType="separate"/>
      </w:r>
      <w:r w:rsidRPr="00105032">
        <w:rPr>
          <w:rFonts w:ascii="Times New Roman" w:hAnsi="Times New Roman" w:cs="Times New Roman"/>
          <w:sz w:val="24"/>
          <w:szCs w:val="24"/>
        </w:rPr>
        <w:t>(Frederick 1956; Sabey et al. 1956; Dai et al. 2020)</w:t>
      </w:r>
      <w:r w:rsidRPr="00105032">
        <w:rPr>
          <w:rFonts w:ascii="Times New Roman" w:hAnsi="Times New Roman" w:cs="Times New Roman"/>
          <w:sz w:val="24"/>
          <w:szCs w:val="24"/>
        </w:rPr>
        <w:fldChar w:fldCharType="end"/>
      </w:r>
      <w:r w:rsidRPr="00105032">
        <w:rPr>
          <w:rFonts w:ascii="Times New Roman" w:hAnsi="Times New Roman" w:cs="Times New Roman"/>
          <w:sz w:val="24"/>
          <w:szCs w:val="24"/>
        </w:rPr>
        <w:t>.</w:t>
      </w:r>
      <w:r>
        <w:rPr>
          <w:rFonts w:ascii="Times New Roman" w:hAnsi="Times New Roman" w:cs="Times New Roman"/>
          <w:sz w:val="24"/>
          <w:szCs w:val="24"/>
        </w:rPr>
        <w:t xml:space="preserve"> As a result, the experimental blocks closest to the cooling system showed higher ammonium </w:t>
      </w:r>
      <w:r>
        <w:rPr>
          <w:rFonts w:ascii="Times New Roman" w:hAnsi="Times New Roman" w:cs="Times New Roman"/>
          <w:sz w:val="24"/>
          <w:szCs w:val="24"/>
        </w:rPr>
        <w:lastRenderedPageBreak/>
        <w:t xml:space="preserve">concentrations, with reduced ammonium (and correspondingly increased nitrate) concentrations in the warmer blocks. Our experimental blocks accounted for this temperature variation, </w:t>
      </w:r>
      <w:r w:rsidRPr="00105032">
        <w:rPr>
          <w:rFonts w:ascii="Times New Roman" w:hAnsi="Times New Roman" w:cs="Times New Roman"/>
          <w:sz w:val="24"/>
          <w:szCs w:val="24"/>
        </w:rPr>
        <w:t xml:space="preserve">but </w:t>
      </w:r>
      <w:proofErr w:type="spellStart"/>
      <w:r w:rsidRPr="00105032">
        <w:rPr>
          <w:rFonts w:ascii="Times New Roman" w:hAnsi="Times New Roman" w:cs="Times New Roman"/>
          <w:sz w:val="24"/>
          <w:szCs w:val="24"/>
        </w:rPr>
        <w:t>AICc</w:t>
      </w:r>
      <w:proofErr w:type="spellEnd"/>
      <w:r w:rsidRPr="00105032">
        <w:rPr>
          <w:rFonts w:ascii="Times New Roman" w:hAnsi="Times New Roman" w:cs="Times New Roman"/>
          <w:sz w:val="24"/>
          <w:szCs w:val="24"/>
        </w:rPr>
        <w:t xml:space="preserve"> analyses consistently favored models without this blocking factor.</w:t>
      </w:r>
      <w:r>
        <w:rPr>
          <w:rFonts w:ascii="Times New Roman" w:hAnsi="Times New Roman" w:cs="Times New Roman"/>
          <w:sz w:val="24"/>
          <w:szCs w:val="24"/>
        </w:rPr>
        <w:t xml:space="preserve"> </w:t>
      </w:r>
      <w:r w:rsidRPr="00105032">
        <w:rPr>
          <w:rFonts w:ascii="Times New Roman" w:hAnsi="Times New Roman" w:cs="Times New Roman"/>
          <w:sz w:val="24"/>
          <w:szCs w:val="24"/>
        </w:rPr>
        <w:t xml:space="preserve">For the soil nitrogen analyses, this is because total plant-available nitrogen concentrations did not differ significantly between blocks, consistent the temperature-dependent conversion of ammonium into nitrate. </w:t>
      </w:r>
      <w:proofErr w:type="spellStart"/>
      <w:r w:rsidRPr="00105032">
        <w:rPr>
          <w:rFonts w:ascii="Times New Roman" w:hAnsi="Times New Roman" w:cs="Times New Roman"/>
          <w:sz w:val="24"/>
          <w:szCs w:val="24"/>
        </w:rPr>
        <w:t>AICc</w:t>
      </w:r>
      <w:proofErr w:type="spellEnd"/>
      <w:r w:rsidRPr="00105032">
        <w:rPr>
          <w:rFonts w:ascii="Times New Roman" w:hAnsi="Times New Roman" w:cs="Times New Roman"/>
          <w:sz w:val="24"/>
          <w:szCs w:val="24"/>
        </w:rPr>
        <w:t xml:space="preserve"> analyses of our plant performance experiment also favored models that excluded the block factor, indicating that </w:t>
      </w:r>
      <w:r w:rsidR="00D45E81">
        <w:rPr>
          <w:rFonts w:ascii="Times New Roman" w:hAnsi="Times New Roman" w:cs="Times New Roman"/>
          <w:sz w:val="24"/>
          <w:szCs w:val="24"/>
        </w:rPr>
        <w:t>observed</w:t>
      </w:r>
      <w:r w:rsidRPr="00105032">
        <w:rPr>
          <w:rFonts w:ascii="Times New Roman" w:hAnsi="Times New Roman" w:cs="Times New Roman"/>
          <w:sz w:val="24"/>
          <w:szCs w:val="24"/>
        </w:rPr>
        <w:t xml:space="preserve"> differences in ammonium and nitrate did not significantly affect plant growth in our experiment. This lack of a block effect</w:t>
      </w:r>
      <w:r w:rsidR="00D45E81">
        <w:rPr>
          <w:rFonts w:ascii="Times New Roman" w:hAnsi="Times New Roman" w:cs="Times New Roman"/>
          <w:sz w:val="24"/>
          <w:szCs w:val="24"/>
        </w:rPr>
        <w:t xml:space="preserve"> </w:t>
      </w:r>
      <w:r w:rsidR="00FE78D4">
        <w:rPr>
          <w:rFonts w:ascii="Times New Roman" w:hAnsi="Times New Roman" w:cs="Times New Roman"/>
          <w:sz w:val="24"/>
          <w:szCs w:val="24"/>
        </w:rPr>
        <w:t xml:space="preserve">could indicate that ammonium and nitrate have similar growth effects in these bioassay species, or that </w:t>
      </w:r>
      <w:r w:rsidRPr="00105032">
        <w:rPr>
          <w:rFonts w:ascii="Times New Roman" w:hAnsi="Times New Roman" w:cs="Times New Roman"/>
          <w:sz w:val="24"/>
          <w:szCs w:val="24"/>
        </w:rPr>
        <w:t>initial differences</w:t>
      </w:r>
      <w:r w:rsidR="00EF1B49">
        <w:rPr>
          <w:rFonts w:ascii="Times New Roman" w:hAnsi="Times New Roman" w:cs="Times New Roman"/>
          <w:sz w:val="24"/>
          <w:szCs w:val="24"/>
        </w:rPr>
        <w:t xml:space="preserve"> </w:t>
      </w:r>
      <w:r w:rsidR="00FE78D4">
        <w:rPr>
          <w:rFonts w:ascii="Times New Roman" w:hAnsi="Times New Roman" w:cs="Times New Roman"/>
          <w:sz w:val="24"/>
          <w:szCs w:val="24"/>
        </w:rPr>
        <w:t xml:space="preserve">in ammonium and nitrate concentrations </w:t>
      </w:r>
      <w:r w:rsidR="00EF1B49">
        <w:rPr>
          <w:rFonts w:ascii="Times New Roman" w:hAnsi="Times New Roman" w:cs="Times New Roman"/>
          <w:sz w:val="24"/>
          <w:szCs w:val="24"/>
        </w:rPr>
        <w:t>attenuated quickly</w:t>
      </w:r>
      <w:r w:rsidRPr="00105032">
        <w:rPr>
          <w:rFonts w:ascii="Times New Roman" w:hAnsi="Times New Roman" w:cs="Times New Roman"/>
          <w:sz w:val="24"/>
          <w:szCs w:val="24"/>
        </w:rPr>
        <w:t xml:space="preserve"> during the plant performance assay when the soils were </w:t>
      </w:r>
      <w:r w:rsidR="00FE78D4">
        <w:rPr>
          <w:rFonts w:ascii="Times New Roman" w:hAnsi="Times New Roman" w:cs="Times New Roman"/>
          <w:sz w:val="24"/>
          <w:szCs w:val="24"/>
        </w:rPr>
        <w:t xml:space="preserve">maintained on a single warm germination bench that was automatically </w:t>
      </w:r>
      <w:r w:rsidRPr="00105032">
        <w:rPr>
          <w:rFonts w:ascii="Times New Roman" w:hAnsi="Times New Roman" w:cs="Times New Roman"/>
          <w:sz w:val="24"/>
          <w:szCs w:val="24"/>
        </w:rPr>
        <w:t xml:space="preserve">misted to </w:t>
      </w:r>
      <w:r w:rsidR="00FE78D4">
        <w:rPr>
          <w:rFonts w:ascii="Times New Roman" w:hAnsi="Times New Roman" w:cs="Times New Roman"/>
          <w:sz w:val="24"/>
          <w:szCs w:val="24"/>
        </w:rPr>
        <w:t>maintain high soil moisture. U</w:t>
      </w:r>
      <w:r w:rsidRPr="00105032">
        <w:rPr>
          <w:rFonts w:ascii="Times New Roman" w:hAnsi="Times New Roman" w:cs="Times New Roman"/>
          <w:sz w:val="24"/>
          <w:szCs w:val="24"/>
        </w:rPr>
        <w:t>nder these conditions, we estimate that initial differences in ammonium and nitrate concentrations would probably become undetectable in just a few days</w:t>
      </w:r>
      <w:r w:rsidR="00FE78D4">
        <w:rPr>
          <w:rFonts w:ascii="Times New Roman" w:hAnsi="Times New Roman" w:cs="Times New Roman"/>
          <w:sz w:val="24"/>
          <w:szCs w:val="24"/>
        </w:rPr>
        <w:t xml:space="preserve"> due to rapid nitrification</w:t>
      </w:r>
      <w:r w:rsidRPr="00105032">
        <w:rPr>
          <w:rFonts w:ascii="Times New Roman" w:hAnsi="Times New Roman" w:cs="Times New Roman"/>
          <w:sz w:val="24"/>
          <w:szCs w:val="24"/>
        </w:rPr>
        <w:t xml:space="preserve"> </w:t>
      </w:r>
      <w:r w:rsidRPr="00105032">
        <w:rPr>
          <w:rFonts w:ascii="Times New Roman" w:hAnsi="Times New Roman" w:cs="Times New Roman"/>
          <w:sz w:val="24"/>
          <w:szCs w:val="24"/>
        </w:rPr>
        <w:fldChar w:fldCharType="begin"/>
      </w:r>
      <w:r w:rsidRPr="00105032">
        <w:rPr>
          <w:rFonts w:ascii="Times New Roman" w:hAnsi="Times New Roman" w:cs="Times New Roman"/>
          <w:sz w:val="24"/>
          <w:szCs w:val="24"/>
        </w:rPr>
        <w:instrText xml:space="preserve"> ADDIN ZOTERO_ITEM CSL_CITATION {"citationID":"dDZmkO07","properties":{"formattedCitation":"(Frederick 1956; Sabey et al. 1956, 1959)","plainCitation":"(Frederick 1956; Sabey et al. 1956, 1959)","noteIndex":0},"citationItems":[{"id":23021,"uris":["http://zotero.org/groups/2452215/items/UBITJJ6P"],"itemData":{"id":23021,"type":"article-journal","abstract":"The quantitative relationship between temperature and nitrification rates was determined in four different soils under laboratory conditions. The formation of nitrates took place at all temperatures studied between 2 and 35° C. when other factors were favorable. The rate of nitrification increased with temperature with the greatest increase between 7 and 15° C. In Genesee silt loam (pH 7.7) nitrate nitrogen was formed at rates of 2, 10, 45, 60, 90, and 120 ppm. per week at 2, 7, 15.5, 21, 27, and 35° C., respectively, until the 200 ppm. ammonium nitrogen (NH4 -N) added was oxidized. The maximum rate in the Mellott C horizon (pH 7.8) was nearly equal to that achieved in the Genesee; the rate in the Chalmers silty clay loam (pH 6.2) was intermediate; the slowest rates found occurred in the Clermont silt loam (pH 5.0) which had maximum rates of 0, 0, 25, 30, 30, and 15 ppm. per week at the temperatures from 2 to 35° C. given above. The initial rate in the Mellott C and Clermont was much slower than the maximum rate. After 4 weeks the rate decreased in the Chalmers and Clermont, probably due to increased acidity. A marked decrease in the rate of nitrification occurred as the pH dropped below neutrality. Change of pH by adding calcium carbonate did not change the temperature range of nitrification in Clermont silt loam. Differences in temperature range existed between the soils as well as differences in the rate of nitrification. Temperatures fluctuating in a 24-hour cycle generally resulted in an increased rate of nitrification at temperatures below 15.5° C. and a decreased rate above 15.5° C. in Genesee silt loam.","container-title":"Soil Science Society of America Journal","DOI":"10.2136/sssaj1956.03615995002000040012x","ISSN":"1435-0661","issue":"4","language":"en","license":"© 1956 Soil Science Society of America","note":"_eprint: https://acsess.onlinelibrary.wiley.com/doi/pdf/10.2136/sssaj1956.03615995002000040012x","page":"496-500","source":"Wiley Online Library","title":"The Formation of Nitrate from Ammonium Nitrogen in Soils: I. Effect of Temperature","title-short":"The Formation of Nitrate from Ammonium Nitrogen in Soils","volume":"20","author":[{"family":"Frederick","given":"Lloyd R."}],"issued":{"date-parts":[["1956"]]}}},{"id":23026,"uris":["http://zotero.org/groups/2452215/items/35N4JZU8"],"itemData":{"id":23026,"type":"article-journal","abstract":"Nitrification of ammonium sulfate as influenced by temperature was studied in 3 Iowa soils in the laboratory and in 1 soil under field conditions over a fall and winter season. Laboratory temperatures ranged from 8° to 30° C. and soil temperature in the field varied from freezing to about 20° C. General relationships were established between temperatures and nitrification rates in given soils. Nitrification rate decreased with diminution in soil temperature; however, the relationship was not linear over the entire temperature range. At given temperatures, ammonia oxidation rates differed between soils studied, but the temperature-nitrification rate curves for the 3 soils were similar and differed only by a constant factor. Of particular importance to this study was the influence exerted on nitrification by temperature as it decreased from optimum to critically low temperatures. Complete inhibition was not attained until soil temperatures approached the freezing point. Only slight oxidation of ammonium occurred, however, under field conditions in soils that were fertilized after soil temperatures had decreased below 50° F.","container-title":"Soil Science Society of America Journal","DOI":"10.2136/sssaj1956.03615995002000030016x","ISSN":"1435-0661","issue":"3","language":"en","license":"© 1956 Soil Science Society of America","note":"_eprint: https://acsess.onlinelibrary.wiley.com/doi/pdf/10.2136/sssaj1956.03615995002000030016x","page":"357-360","source":"Wiley Online Library","title":"Influence of Temperature on Nitrification in Soils","volume":"20","author":[{"family":"Sabey","given":"Burns R."},{"family":"Bartholomew","given":"W. V."},{"family":"Shaw","given":"Robert"},{"family":"Pesek","given":"John"}],"issued":{"date-parts":[["1956"]]}}},{"id":23024,"uris":["http://zotero.org/groups/2452215/items/YVD7L2EH"],"itemData":{"id":23024,"type":"article-journal","abstract":"Abstract\n            A number of soils of varying properties were incubated at several temperatures and rates of inoculation of nitrifying organisms to determine the influence of these factors on nitrification. The time‐nitrification curve generally exhibited a “delay” phase and a “maximum rate” phase followed by a phase in which the rate of nitrification declined as the substrate was exhausted and the end product concentration increased. Each phase must be measured and characterized before difference in nitrification in soils can be fully understood and described.\n            In soils incubated at field capacity, the maximum nitrification rates increased from immeasurably low values to as great as 900 ppm. per week in some soils and the delay periods decreased from about 32 weeks to &lt; 1 day, as temperatures increased from 0 to 25° C. Increase in initial population of nitrifying organisms caused decreases in delay periods but did not appreciably affect the maximum rate above 10° C. The influence of temperature and nitrifying population on delay periods and maximum rates varied greatly among soils indicating that other factors inherent in the soils also affect nitrification.","container-title":"Soil Science Society of America Journal","DOI":"10.2136/sssaj1959.03615995002300060029x","ISSN":"0361-5995, 1435-0661","issue":"6","journalAbbreviation":"Soil Science Soc of Amer J","language":"en","license":"http://onlinelibrary.wiley.com/termsAndConditions#vor","page":"462-465","source":"DOI.org (Crossref)","title":"The Formation of Nitrate from Ammonium Nitrogen in Soils: III Influence of Temperature and Initial Population of Nitrifying Organisms on the Maximum Rate and Delay Period","title-short":"The Formation of Nitrate from Ammonium Nitrogen in Soils","volume":"23","author":[{"family":"Sabey","given":"B. R."},{"family":"Frederick","given":"L. R."},{"family":"Bartholomew","given":"W. V."}],"issued":{"date-parts":[["1959",11]]}}}],"schema":"https://github.com/citation-style-language/schema/raw/master/csl-citation.json"} </w:instrText>
      </w:r>
      <w:r w:rsidRPr="00105032">
        <w:rPr>
          <w:rFonts w:ascii="Times New Roman" w:hAnsi="Times New Roman" w:cs="Times New Roman"/>
          <w:sz w:val="24"/>
          <w:szCs w:val="24"/>
        </w:rPr>
        <w:fldChar w:fldCharType="separate"/>
      </w:r>
      <w:r w:rsidRPr="00105032">
        <w:rPr>
          <w:rFonts w:ascii="Times New Roman" w:hAnsi="Times New Roman" w:cs="Times New Roman"/>
          <w:sz w:val="24"/>
          <w:szCs w:val="24"/>
        </w:rPr>
        <w:t>(Frederick 1956; Sabey et al. 1956, 1959)</w:t>
      </w:r>
      <w:r w:rsidRPr="00105032">
        <w:rPr>
          <w:rFonts w:ascii="Times New Roman" w:hAnsi="Times New Roman" w:cs="Times New Roman"/>
          <w:sz w:val="24"/>
          <w:szCs w:val="24"/>
        </w:rPr>
        <w:fldChar w:fldCharType="end"/>
      </w:r>
      <w:r w:rsidRPr="00105032">
        <w:rPr>
          <w:rFonts w:ascii="Times New Roman" w:hAnsi="Times New Roman" w:cs="Times New Roman"/>
          <w:sz w:val="24"/>
          <w:szCs w:val="24"/>
        </w:rPr>
        <w:t xml:space="preserve">. </w:t>
      </w:r>
    </w:p>
    <w:p w14:paraId="45488ACE" w14:textId="178DEC22" w:rsidR="00C44412" w:rsidRPr="00C44412" w:rsidRDefault="00C44412" w:rsidP="007805FF">
      <w:pPr>
        <w:spacing w:after="240" w:line="480" w:lineRule="auto"/>
        <w:rPr>
          <w:rFonts w:ascii="Times New Roman" w:hAnsi="Times New Roman" w:cs="Times New Roman"/>
          <w:i/>
          <w:iCs/>
          <w:sz w:val="24"/>
          <w:szCs w:val="24"/>
        </w:rPr>
      </w:pPr>
      <w:r w:rsidRPr="00C44412">
        <w:rPr>
          <w:rFonts w:ascii="Times New Roman" w:hAnsi="Times New Roman" w:cs="Times New Roman"/>
          <w:i/>
          <w:iCs/>
          <w:sz w:val="24"/>
          <w:szCs w:val="24"/>
        </w:rPr>
        <w:t>Plant performance assay</w:t>
      </w:r>
    </w:p>
    <w:p w14:paraId="2C1AA81B" w14:textId="6CBF715D" w:rsidR="00B46016" w:rsidRPr="00C44412" w:rsidRDefault="00C44412" w:rsidP="00C44412">
      <w:pPr>
        <w:spacing w:after="240" w:line="480" w:lineRule="auto"/>
      </w:pPr>
      <w:r w:rsidRPr="00C44412">
        <w:rPr>
          <w:rFonts w:ascii="Times New Roman" w:hAnsi="Times New Roman" w:cs="Times New Roman"/>
          <w:sz w:val="24"/>
          <w:szCs w:val="24"/>
        </w:rPr>
        <w:t>Germination was relatively quick and uniform in this study</w:t>
      </w:r>
      <w:r>
        <w:rPr>
          <w:rFonts w:ascii="Times New Roman" w:hAnsi="Times New Roman" w:cs="Times New Roman"/>
          <w:sz w:val="24"/>
          <w:szCs w:val="24"/>
        </w:rPr>
        <w:t>, and</w:t>
      </w:r>
      <w:r w:rsidRPr="00C44412">
        <w:rPr>
          <w:rFonts w:ascii="Times New Roman" w:hAnsi="Times New Roman" w:cs="Times New Roman"/>
          <w:sz w:val="24"/>
          <w:szCs w:val="24"/>
        </w:rPr>
        <w:t xml:space="preserve"> observed differences in plant size were unlikely to be attributable to differences in germination timing. When thinning, we intentionally retained the most centrally located seedling per container, to avoid bias by size or container edge effects.</w:t>
      </w:r>
      <w:r>
        <w:rPr>
          <w:rFonts w:ascii="Times New Roman" w:hAnsi="Times New Roman" w:cs="Times New Roman"/>
          <w:sz w:val="24"/>
          <w:szCs w:val="24"/>
        </w:rPr>
        <w:t xml:space="preserve"> Germination</w:t>
      </w:r>
      <w:r w:rsidRPr="00C44412">
        <w:rPr>
          <w:rFonts w:ascii="Times New Roman" w:hAnsi="Times New Roman" w:cs="Times New Roman"/>
          <w:sz w:val="24"/>
          <w:szCs w:val="24"/>
        </w:rPr>
        <w:t xml:space="preserve"> success did not vary by treatment</w:t>
      </w:r>
      <w:r>
        <w:rPr>
          <w:rFonts w:ascii="Times New Roman" w:hAnsi="Times New Roman" w:cs="Times New Roman"/>
          <w:sz w:val="24"/>
          <w:szCs w:val="24"/>
        </w:rPr>
        <w:t xml:space="preserve"> for any plant species (binomial GLM with treatment as the only explanatory factor; milkweed, </w:t>
      </w:r>
      <w:r w:rsidR="009900D1">
        <w:rPr>
          <w:rFonts w:ascii="Times New Roman" w:hAnsi="Times New Roman" w:cs="Times New Roman"/>
          <w:sz w:val="24"/>
          <w:szCs w:val="24"/>
        </w:rPr>
        <w:t>χ</w:t>
      </w:r>
      <w:r w:rsidR="009900D1" w:rsidRPr="009900D1">
        <w:rPr>
          <w:rFonts w:ascii="Times New Roman" w:hAnsi="Times New Roman" w:cs="Times New Roman"/>
          <w:sz w:val="24"/>
          <w:szCs w:val="24"/>
          <w:vertAlign w:val="superscript"/>
        </w:rPr>
        <w:t>2</w:t>
      </w:r>
      <w:r w:rsidR="009900D1" w:rsidRPr="009900D1">
        <w:rPr>
          <w:rFonts w:ascii="Times New Roman" w:hAnsi="Times New Roman" w:cs="Times New Roman"/>
          <w:sz w:val="24"/>
          <w:szCs w:val="24"/>
        </w:rPr>
        <w:t>(</w:t>
      </w:r>
      <w:proofErr w:type="gramStart"/>
      <w:r w:rsidR="009900D1" w:rsidRPr="009900D1">
        <w:rPr>
          <w:rFonts w:ascii="Times New Roman" w:hAnsi="Times New Roman" w:cs="Times New Roman"/>
          <w:sz w:val="24"/>
          <w:szCs w:val="24"/>
        </w:rPr>
        <w:t>1)</w:t>
      </w:r>
      <w:r w:rsidR="009900D1">
        <w:rPr>
          <w:rFonts w:ascii="Times New Roman" w:hAnsi="Times New Roman" w:cs="Times New Roman"/>
          <w:sz w:val="24"/>
          <w:szCs w:val="24"/>
        </w:rPr>
        <w:t>=</w:t>
      </w:r>
      <w:proofErr w:type="gramEnd"/>
      <w:r w:rsidR="009900D1">
        <w:rPr>
          <w:rFonts w:ascii="Times New Roman" w:hAnsi="Times New Roman" w:cs="Times New Roman"/>
          <w:sz w:val="24"/>
          <w:szCs w:val="24"/>
        </w:rPr>
        <w:t>1.62, p=0.20; cheatgrass, χ</w:t>
      </w:r>
      <w:r w:rsidR="009900D1" w:rsidRPr="009900D1">
        <w:rPr>
          <w:rFonts w:ascii="Times New Roman" w:hAnsi="Times New Roman" w:cs="Times New Roman"/>
          <w:sz w:val="24"/>
          <w:szCs w:val="24"/>
          <w:vertAlign w:val="superscript"/>
        </w:rPr>
        <w:t>2</w:t>
      </w:r>
      <w:r w:rsidR="009900D1" w:rsidRPr="009900D1">
        <w:rPr>
          <w:rFonts w:ascii="Times New Roman" w:hAnsi="Times New Roman" w:cs="Times New Roman"/>
          <w:sz w:val="24"/>
          <w:szCs w:val="24"/>
        </w:rPr>
        <w:t>(</w:t>
      </w:r>
      <w:proofErr w:type="gramStart"/>
      <w:r w:rsidR="009900D1" w:rsidRPr="009900D1">
        <w:rPr>
          <w:rFonts w:ascii="Times New Roman" w:hAnsi="Times New Roman" w:cs="Times New Roman"/>
          <w:sz w:val="24"/>
          <w:szCs w:val="24"/>
        </w:rPr>
        <w:t>1)</w:t>
      </w:r>
      <w:r w:rsidR="009900D1">
        <w:rPr>
          <w:rFonts w:ascii="Times New Roman" w:hAnsi="Times New Roman" w:cs="Times New Roman"/>
          <w:sz w:val="24"/>
          <w:szCs w:val="24"/>
        </w:rPr>
        <w:t>=</w:t>
      </w:r>
      <w:proofErr w:type="gramEnd"/>
      <w:r w:rsidR="009900D1">
        <w:rPr>
          <w:rFonts w:ascii="Times New Roman" w:hAnsi="Times New Roman" w:cs="Times New Roman"/>
          <w:sz w:val="24"/>
          <w:szCs w:val="24"/>
        </w:rPr>
        <w:t>0.61, p=0.44; yellow star-thistle, χ</w:t>
      </w:r>
      <w:r w:rsidR="009900D1" w:rsidRPr="009900D1">
        <w:rPr>
          <w:rFonts w:ascii="Times New Roman" w:hAnsi="Times New Roman" w:cs="Times New Roman"/>
          <w:sz w:val="24"/>
          <w:szCs w:val="24"/>
          <w:vertAlign w:val="superscript"/>
        </w:rPr>
        <w:t>2</w:t>
      </w:r>
      <w:r w:rsidR="009900D1" w:rsidRPr="009900D1">
        <w:rPr>
          <w:rFonts w:ascii="Times New Roman" w:hAnsi="Times New Roman" w:cs="Times New Roman"/>
          <w:sz w:val="24"/>
          <w:szCs w:val="24"/>
        </w:rPr>
        <w:t>(</w:t>
      </w:r>
      <w:proofErr w:type="gramStart"/>
      <w:r w:rsidR="009900D1" w:rsidRPr="009900D1">
        <w:rPr>
          <w:rFonts w:ascii="Times New Roman" w:hAnsi="Times New Roman" w:cs="Times New Roman"/>
          <w:sz w:val="24"/>
          <w:szCs w:val="24"/>
        </w:rPr>
        <w:t>1)</w:t>
      </w:r>
      <w:r w:rsidR="009900D1">
        <w:rPr>
          <w:rFonts w:ascii="Times New Roman" w:hAnsi="Times New Roman" w:cs="Times New Roman"/>
          <w:sz w:val="24"/>
          <w:szCs w:val="24"/>
        </w:rPr>
        <w:t>=</w:t>
      </w:r>
      <w:proofErr w:type="gramEnd"/>
      <w:r w:rsidR="009900D1">
        <w:rPr>
          <w:rFonts w:ascii="Times New Roman" w:hAnsi="Times New Roman" w:cs="Times New Roman"/>
          <w:sz w:val="24"/>
          <w:szCs w:val="24"/>
        </w:rPr>
        <w:t>0, p=1)</w:t>
      </w:r>
      <w:r w:rsidR="001F0B2F">
        <w:rPr>
          <w:rFonts w:ascii="Times New Roman" w:hAnsi="Times New Roman" w:cs="Times New Roman"/>
          <w:sz w:val="24"/>
          <w:szCs w:val="24"/>
        </w:rPr>
        <w:t>. Similarly, survival to day</w:t>
      </w:r>
      <w:r w:rsidR="00054919">
        <w:rPr>
          <w:rFonts w:ascii="Times New Roman" w:hAnsi="Times New Roman" w:cs="Times New Roman"/>
          <w:sz w:val="24"/>
          <w:szCs w:val="24"/>
        </w:rPr>
        <w:t xml:space="preserve"> 42 did not vary significantly by treatment (milkweed, χ</w:t>
      </w:r>
      <w:r w:rsidR="00054919" w:rsidRPr="009900D1">
        <w:rPr>
          <w:rFonts w:ascii="Times New Roman" w:hAnsi="Times New Roman" w:cs="Times New Roman"/>
          <w:sz w:val="24"/>
          <w:szCs w:val="24"/>
          <w:vertAlign w:val="superscript"/>
        </w:rPr>
        <w:t>2</w:t>
      </w:r>
      <w:r w:rsidR="00054919" w:rsidRPr="009900D1">
        <w:rPr>
          <w:rFonts w:ascii="Times New Roman" w:hAnsi="Times New Roman" w:cs="Times New Roman"/>
          <w:sz w:val="24"/>
          <w:szCs w:val="24"/>
        </w:rPr>
        <w:t>(</w:t>
      </w:r>
      <w:proofErr w:type="gramStart"/>
      <w:r w:rsidR="00054919" w:rsidRPr="009900D1">
        <w:rPr>
          <w:rFonts w:ascii="Times New Roman" w:hAnsi="Times New Roman" w:cs="Times New Roman"/>
          <w:sz w:val="24"/>
          <w:szCs w:val="24"/>
        </w:rPr>
        <w:t>1)</w:t>
      </w:r>
      <w:r w:rsidR="00054919">
        <w:rPr>
          <w:rFonts w:ascii="Times New Roman" w:hAnsi="Times New Roman" w:cs="Times New Roman"/>
          <w:sz w:val="24"/>
          <w:szCs w:val="24"/>
        </w:rPr>
        <w:t>=</w:t>
      </w:r>
      <w:proofErr w:type="gramEnd"/>
      <w:r w:rsidR="00054919">
        <w:rPr>
          <w:rFonts w:ascii="Times New Roman" w:hAnsi="Times New Roman" w:cs="Times New Roman"/>
          <w:sz w:val="24"/>
          <w:szCs w:val="24"/>
        </w:rPr>
        <w:t>1.26, p=0.26; cheatgrass, χ</w:t>
      </w:r>
      <w:r w:rsidR="00054919" w:rsidRPr="009900D1">
        <w:rPr>
          <w:rFonts w:ascii="Times New Roman" w:hAnsi="Times New Roman" w:cs="Times New Roman"/>
          <w:sz w:val="24"/>
          <w:szCs w:val="24"/>
          <w:vertAlign w:val="superscript"/>
        </w:rPr>
        <w:t>2</w:t>
      </w:r>
      <w:r w:rsidR="00054919" w:rsidRPr="009900D1">
        <w:rPr>
          <w:rFonts w:ascii="Times New Roman" w:hAnsi="Times New Roman" w:cs="Times New Roman"/>
          <w:sz w:val="24"/>
          <w:szCs w:val="24"/>
        </w:rPr>
        <w:t>(</w:t>
      </w:r>
      <w:proofErr w:type="gramStart"/>
      <w:r w:rsidR="00054919" w:rsidRPr="009900D1">
        <w:rPr>
          <w:rFonts w:ascii="Times New Roman" w:hAnsi="Times New Roman" w:cs="Times New Roman"/>
          <w:sz w:val="24"/>
          <w:szCs w:val="24"/>
        </w:rPr>
        <w:t>1)</w:t>
      </w:r>
      <w:r w:rsidR="00054919">
        <w:rPr>
          <w:rFonts w:ascii="Times New Roman" w:hAnsi="Times New Roman" w:cs="Times New Roman"/>
          <w:sz w:val="24"/>
          <w:szCs w:val="24"/>
        </w:rPr>
        <w:t>=</w:t>
      </w:r>
      <w:proofErr w:type="gramEnd"/>
      <w:r w:rsidR="00054919">
        <w:rPr>
          <w:rFonts w:ascii="Times New Roman" w:hAnsi="Times New Roman" w:cs="Times New Roman"/>
          <w:sz w:val="24"/>
          <w:szCs w:val="24"/>
        </w:rPr>
        <w:t>2.52, p=0.11; yellow star-thistle, χ</w:t>
      </w:r>
      <w:r w:rsidR="00054919" w:rsidRPr="009900D1">
        <w:rPr>
          <w:rFonts w:ascii="Times New Roman" w:hAnsi="Times New Roman" w:cs="Times New Roman"/>
          <w:sz w:val="24"/>
          <w:szCs w:val="24"/>
          <w:vertAlign w:val="superscript"/>
        </w:rPr>
        <w:t>2</w:t>
      </w:r>
      <w:r w:rsidR="00054919" w:rsidRPr="009900D1">
        <w:rPr>
          <w:rFonts w:ascii="Times New Roman" w:hAnsi="Times New Roman" w:cs="Times New Roman"/>
          <w:sz w:val="24"/>
          <w:szCs w:val="24"/>
        </w:rPr>
        <w:t>(</w:t>
      </w:r>
      <w:proofErr w:type="gramStart"/>
      <w:r w:rsidR="00054919" w:rsidRPr="009900D1">
        <w:rPr>
          <w:rFonts w:ascii="Times New Roman" w:hAnsi="Times New Roman" w:cs="Times New Roman"/>
          <w:sz w:val="24"/>
          <w:szCs w:val="24"/>
        </w:rPr>
        <w:t>1)</w:t>
      </w:r>
      <w:r w:rsidR="00054919">
        <w:rPr>
          <w:rFonts w:ascii="Times New Roman" w:hAnsi="Times New Roman" w:cs="Times New Roman"/>
          <w:sz w:val="24"/>
          <w:szCs w:val="24"/>
        </w:rPr>
        <w:t>=</w:t>
      </w:r>
      <w:proofErr w:type="gramEnd"/>
      <w:r w:rsidR="00054919">
        <w:rPr>
          <w:rFonts w:ascii="Times New Roman" w:hAnsi="Times New Roman" w:cs="Times New Roman"/>
          <w:sz w:val="24"/>
          <w:szCs w:val="24"/>
        </w:rPr>
        <w:t>0, p=1).</w:t>
      </w:r>
      <w:r w:rsidR="00B46016">
        <w:rPr>
          <w:rFonts w:ascii="Times New Roman" w:hAnsi="Times New Roman" w:cs="Times New Roman"/>
          <w:b/>
          <w:bCs/>
          <w:sz w:val="24"/>
          <w:szCs w:val="24"/>
        </w:rPr>
        <w:br w:type="page"/>
      </w:r>
    </w:p>
    <w:p w14:paraId="560AC9B6" w14:textId="77777777" w:rsidR="00176D89" w:rsidRDefault="00176D89" w:rsidP="00B46016">
      <w:pPr>
        <w:rPr>
          <w:rFonts w:ascii="Times New Roman" w:hAnsi="Times New Roman" w:cs="Times New Roman"/>
          <w:b/>
          <w:bCs/>
          <w:sz w:val="24"/>
          <w:szCs w:val="24"/>
        </w:rPr>
      </w:pPr>
      <w:r>
        <w:rPr>
          <w:rFonts w:ascii="Times New Roman" w:hAnsi="Times New Roman" w:cs="Times New Roman"/>
          <w:b/>
          <w:bCs/>
          <w:sz w:val="24"/>
          <w:szCs w:val="24"/>
        </w:rPr>
        <w:lastRenderedPageBreak/>
        <w:t xml:space="preserve">Figure S1. </w:t>
      </w:r>
    </w:p>
    <w:p w14:paraId="1D9A7112" w14:textId="3472DA09" w:rsidR="00176D89" w:rsidRDefault="00176D89" w:rsidP="00B46016">
      <w:pP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54B89901" wp14:editId="67937CE1">
            <wp:extent cx="5486399" cy="2743200"/>
            <wp:effectExtent l="0" t="0" r="635" b="0"/>
            <wp:docPr id="14470477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047797"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5486399" cy="2743200"/>
                    </a:xfrm>
                    <a:prstGeom prst="rect">
                      <a:avLst/>
                    </a:prstGeom>
                    <a:noFill/>
                    <a:ln>
                      <a:noFill/>
                    </a:ln>
                  </pic:spPr>
                </pic:pic>
              </a:graphicData>
            </a:graphic>
          </wp:inline>
        </w:drawing>
      </w:r>
    </w:p>
    <w:p w14:paraId="4EDA6B33" w14:textId="77777777" w:rsidR="00176D89" w:rsidRDefault="00176D89">
      <w:pPr>
        <w:spacing w:before="240" w:after="240" w:line="240"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0D711ADC" w14:textId="48F08991" w:rsidR="00B46016" w:rsidRDefault="00B46016" w:rsidP="00B46016">
      <w:pPr>
        <w:rPr>
          <w:rFonts w:ascii="Times New Roman" w:hAnsi="Times New Roman" w:cs="Times New Roman"/>
          <w:b/>
          <w:bCs/>
          <w:sz w:val="24"/>
          <w:szCs w:val="24"/>
        </w:rPr>
      </w:pPr>
      <w:r>
        <w:rPr>
          <w:rFonts w:ascii="Times New Roman" w:hAnsi="Times New Roman" w:cs="Times New Roman"/>
          <w:b/>
          <w:bCs/>
          <w:sz w:val="24"/>
          <w:szCs w:val="24"/>
        </w:rPr>
        <w:lastRenderedPageBreak/>
        <w:t>Figure S</w:t>
      </w:r>
      <w:r w:rsidR="00176D89">
        <w:rPr>
          <w:rFonts w:ascii="Times New Roman" w:hAnsi="Times New Roman" w:cs="Times New Roman"/>
          <w:b/>
          <w:bCs/>
          <w:sz w:val="24"/>
          <w:szCs w:val="24"/>
        </w:rPr>
        <w:t>2</w:t>
      </w:r>
      <w:r>
        <w:rPr>
          <w:rFonts w:ascii="Times New Roman" w:hAnsi="Times New Roman" w:cs="Times New Roman"/>
          <w:b/>
          <w:bCs/>
          <w:sz w:val="24"/>
          <w:szCs w:val="24"/>
        </w:rPr>
        <w:t>. Plant growth by treatment across three bioassay species</w:t>
      </w:r>
    </w:p>
    <w:p w14:paraId="47202D5B" w14:textId="77777777" w:rsidR="00B46016" w:rsidRDefault="00B46016" w:rsidP="00B46016">
      <w:pPr>
        <w:rPr>
          <w:rFonts w:ascii="Times New Roman" w:hAnsi="Times New Roman" w:cs="Times New Roman"/>
          <w:b/>
          <w:bCs/>
          <w:sz w:val="24"/>
          <w:szCs w:val="24"/>
        </w:rPr>
      </w:pPr>
    </w:p>
    <w:p w14:paraId="3878E82E" w14:textId="77777777" w:rsidR="00B46016" w:rsidRPr="00393E07" w:rsidRDefault="00B46016" w:rsidP="00B46016">
      <w:pPr>
        <w:jc w:val="cente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125639C9" wp14:editId="01063E5F">
            <wp:extent cx="5486398" cy="7315198"/>
            <wp:effectExtent l="0" t="0" r="635" b="635"/>
            <wp:docPr id="5339984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99842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5486398" cy="7315198"/>
                    </a:xfrm>
                    <a:prstGeom prst="rect">
                      <a:avLst/>
                    </a:prstGeom>
                    <a:noFill/>
                    <a:ln>
                      <a:noFill/>
                    </a:ln>
                  </pic:spPr>
                </pic:pic>
              </a:graphicData>
            </a:graphic>
          </wp:inline>
        </w:drawing>
      </w:r>
    </w:p>
    <w:p w14:paraId="7F05D026" w14:textId="4204190F" w:rsidR="00105032" w:rsidRPr="007805FF" w:rsidRDefault="00105032" w:rsidP="00B46016">
      <w:pPr>
        <w:spacing w:after="240" w:line="480" w:lineRule="auto"/>
        <w:rPr>
          <w:rFonts w:ascii="Times New Roman" w:hAnsi="Times New Roman" w:cs="Times New Roman"/>
          <w:sz w:val="24"/>
          <w:szCs w:val="24"/>
        </w:rPr>
      </w:pPr>
    </w:p>
    <w:sectPr w:rsidR="00105032" w:rsidRPr="007805FF">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2EF30A" w14:textId="77777777" w:rsidR="00DF7FEC" w:rsidRDefault="00DF7FEC" w:rsidP="00CD4518">
      <w:pPr>
        <w:spacing w:after="0" w:line="240" w:lineRule="auto"/>
      </w:pPr>
      <w:r>
        <w:separator/>
      </w:r>
    </w:p>
  </w:endnote>
  <w:endnote w:type="continuationSeparator" w:id="0">
    <w:p w14:paraId="3724F8BB" w14:textId="77777777" w:rsidR="00DF7FEC" w:rsidRDefault="00DF7FEC" w:rsidP="00CD45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F1CB5" w14:textId="77777777" w:rsidR="00BA6A35" w:rsidRDefault="00BA6A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2847366"/>
      <w:docPartObj>
        <w:docPartGallery w:val="Page Numbers (Bottom of Page)"/>
        <w:docPartUnique/>
      </w:docPartObj>
    </w:sdtPr>
    <w:sdtEndPr>
      <w:rPr>
        <w:rFonts w:ascii="Times New Roman" w:hAnsi="Times New Roman" w:cs="Times New Roman"/>
        <w:noProof/>
      </w:rPr>
    </w:sdtEndPr>
    <w:sdtContent>
      <w:p w14:paraId="36BC1E6E" w14:textId="3F11A6E6" w:rsidR="00CD4518" w:rsidRPr="00BA6A35" w:rsidRDefault="00CD4518">
        <w:pPr>
          <w:pStyle w:val="Footer"/>
          <w:jc w:val="center"/>
          <w:rPr>
            <w:rFonts w:ascii="Times New Roman" w:hAnsi="Times New Roman" w:cs="Times New Roman"/>
          </w:rPr>
        </w:pPr>
        <w:r w:rsidRPr="00BA6A35">
          <w:rPr>
            <w:rFonts w:ascii="Times New Roman" w:hAnsi="Times New Roman" w:cs="Times New Roman"/>
          </w:rPr>
          <w:fldChar w:fldCharType="begin"/>
        </w:r>
        <w:r w:rsidRPr="00BA6A35">
          <w:rPr>
            <w:rFonts w:ascii="Times New Roman" w:hAnsi="Times New Roman" w:cs="Times New Roman"/>
          </w:rPr>
          <w:instrText xml:space="preserve"> PAGE   \* MERGEFORMAT </w:instrText>
        </w:r>
        <w:r w:rsidRPr="00BA6A35">
          <w:rPr>
            <w:rFonts w:ascii="Times New Roman" w:hAnsi="Times New Roman" w:cs="Times New Roman"/>
          </w:rPr>
          <w:fldChar w:fldCharType="separate"/>
        </w:r>
        <w:r w:rsidRPr="00BA6A35">
          <w:rPr>
            <w:rFonts w:ascii="Times New Roman" w:hAnsi="Times New Roman" w:cs="Times New Roman"/>
            <w:noProof/>
          </w:rPr>
          <w:t>2</w:t>
        </w:r>
        <w:r w:rsidRPr="00BA6A35">
          <w:rPr>
            <w:rFonts w:ascii="Times New Roman" w:hAnsi="Times New Roman" w:cs="Times New Roman"/>
            <w:noProof/>
          </w:rPr>
          <w:fldChar w:fldCharType="end"/>
        </w:r>
      </w:p>
    </w:sdtContent>
  </w:sdt>
  <w:p w14:paraId="79B2ED3D" w14:textId="77777777" w:rsidR="00CD4518" w:rsidRDefault="00CD451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C6F70" w14:textId="77777777" w:rsidR="00BA6A35" w:rsidRDefault="00BA6A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250779" w14:textId="77777777" w:rsidR="00DF7FEC" w:rsidRDefault="00DF7FEC" w:rsidP="00CD4518">
      <w:pPr>
        <w:spacing w:after="0" w:line="240" w:lineRule="auto"/>
      </w:pPr>
      <w:r>
        <w:separator/>
      </w:r>
    </w:p>
  </w:footnote>
  <w:footnote w:type="continuationSeparator" w:id="0">
    <w:p w14:paraId="2F569882" w14:textId="77777777" w:rsidR="00DF7FEC" w:rsidRDefault="00DF7FEC" w:rsidP="00CD45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77DDA" w14:textId="77777777" w:rsidR="00BA6A35" w:rsidRDefault="00BA6A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83C4E" w14:textId="77777777" w:rsidR="00BA6A35" w:rsidRDefault="00BA6A3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1F949" w14:textId="77777777" w:rsidR="00BA6A35" w:rsidRDefault="00BA6A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DC95DDF"/>
    <w:multiLevelType w:val="multilevel"/>
    <w:tmpl w:val="A972ED28"/>
    <w:styleLink w:val="CompactList"/>
    <w:lvl w:ilvl="0">
      <w:start w:val="1"/>
      <w:numFmt w:val="decimal"/>
      <w:suff w:val="space"/>
      <w:lvlText w:val="%1."/>
      <w:lvlJc w:val="left"/>
      <w:pPr>
        <w:ind w:left="432" w:hanging="432"/>
      </w:pPr>
      <w:rPr>
        <w:rFonts w:hint="default"/>
        <w:b/>
      </w:rPr>
    </w:lvl>
    <w:lvl w:ilvl="1">
      <w:start w:val="1"/>
      <w:numFmt w:val="lowerLetter"/>
      <w:suff w:val="space"/>
      <w:lvlText w:val="%2."/>
      <w:lvlJc w:val="left"/>
      <w:pPr>
        <w:ind w:left="864" w:hanging="432"/>
      </w:pPr>
      <w:rPr>
        <w:rFonts w:hint="default"/>
      </w:rPr>
    </w:lvl>
    <w:lvl w:ilvl="2">
      <w:start w:val="1"/>
      <w:numFmt w:val="lowerRoman"/>
      <w:suff w:val="space"/>
      <w:lvlText w:val="%3."/>
      <w:lvlJc w:val="left"/>
      <w:pPr>
        <w:ind w:left="1296" w:hanging="432"/>
      </w:pPr>
      <w:rPr>
        <w:rFonts w:hint="default"/>
      </w:rPr>
    </w:lvl>
    <w:lvl w:ilvl="3">
      <w:start w:val="1"/>
      <w:numFmt w:val="decimal"/>
      <w:suff w:val="space"/>
      <w:lvlText w:val="%4."/>
      <w:lvlJc w:val="left"/>
      <w:pPr>
        <w:ind w:left="1728" w:hanging="432"/>
      </w:pPr>
      <w:rPr>
        <w:rFonts w:hint="default"/>
      </w:rPr>
    </w:lvl>
    <w:lvl w:ilvl="4">
      <w:start w:val="1"/>
      <w:numFmt w:val="lowerLetter"/>
      <w:suff w:val="space"/>
      <w:lvlText w:val="%5."/>
      <w:lvlJc w:val="left"/>
      <w:pPr>
        <w:ind w:left="2160" w:hanging="432"/>
      </w:pPr>
      <w:rPr>
        <w:rFonts w:hint="default"/>
      </w:rPr>
    </w:lvl>
    <w:lvl w:ilvl="5">
      <w:start w:val="1"/>
      <w:numFmt w:val="lowerRoman"/>
      <w:suff w:val="space"/>
      <w:lvlText w:val="%6."/>
      <w:lvlJc w:val="left"/>
      <w:pPr>
        <w:ind w:left="2592" w:hanging="432"/>
      </w:pPr>
      <w:rPr>
        <w:rFonts w:hint="default"/>
      </w:rPr>
    </w:lvl>
    <w:lvl w:ilvl="6">
      <w:start w:val="1"/>
      <w:numFmt w:val="decimal"/>
      <w:suff w:val="space"/>
      <w:lvlText w:val="%7."/>
      <w:lvlJc w:val="left"/>
      <w:pPr>
        <w:ind w:left="3024" w:hanging="432"/>
      </w:pPr>
      <w:rPr>
        <w:rFonts w:hint="default"/>
      </w:rPr>
    </w:lvl>
    <w:lvl w:ilvl="7">
      <w:start w:val="1"/>
      <w:numFmt w:val="lowerLetter"/>
      <w:suff w:val="space"/>
      <w:lvlText w:val="%8."/>
      <w:lvlJc w:val="left"/>
      <w:pPr>
        <w:ind w:left="3456" w:hanging="432"/>
      </w:pPr>
      <w:rPr>
        <w:rFonts w:hint="default"/>
      </w:rPr>
    </w:lvl>
    <w:lvl w:ilvl="8">
      <w:start w:val="1"/>
      <w:numFmt w:val="lowerRoman"/>
      <w:suff w:val="space"/>
      <w:lvlText w:val="%9."/>
      <w:lvlJc w:val="left"/>
      <w:pPr>
        <w:ind w:left="3888" w:hanging="432"/>
      </w:pPr>
      <w:rPr>
        <w:rFonts w:hint="default"/>
      </w:rPr>
    </w:lvl>
  </w:abstractNum>
  <w:num w:numId="1" w16cid:durableId="19846529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E07"/>
    <w:rsid w:val="0003221D"/>
    <w:rsid w:val="000503D9"/>
    <w:rsid w:val="00054919"/>
    <w:rsid w:val="0005630F"/>
    <w:rsid w:val="00061A16"/>
    <w:rsid w:val="0007070E"/>
    <w:rsid w:val="00092136"/>
    <w:rsid w:val="000B3C60"/>
    <w:rsid w:val="000B52DD"/>
    <w:rsid w:val="00105032"/>
    <w:rsid w:val="001124A2"/>
    <w:rsid w:val="00133C4D"/>
    <w:rsid w:val="00156A11"/>
    <w:rsid w:val="00174AEB"/>
    <w:rsid w:val="00176D89"/>
    <w:rsid w:val="001F0B2F"/>
    <w:rsid w:val="002D7E85"/>
    <w:rsid w:val="00350564"/>
    <w:rsid w:val="00353D34"/>
    <w:rsid w:val="00393E07"/>
    <w:rsid w:val="004377DC"/>
    <w:rsid w:val="00480DCD"/>
    <w:rsid w:val="004A0557"/>
    <w:rsid w:val="004D013D"/>
    <w:rsid w:val="004F12D7"/>
    <w:rsid w:val="0053313F"/>
    <w:rsid w:val="005A7EA3"/>
    <w:rsid w:val="005C5DC2"/>
    <w:rsid w:val="00607AF9"/>
    <w:rsid w:val="006132C7"/>
    <w:rsid w:val="0061597B"/>
    <w:rsid w:val="00620340"/>
    <w:rsid w:val="006A6350"/>
    <w:rsid w:val="006E23EE"/>
    <w:rsid w:val="00745038"/>
    <w:rsid w:val="00772B9B"/>
    <w:rsid w:val="007805FF"/>
    <w:rsid w:val="00784D6D"/>
    <w:rsid w:val="007A53AD"/>
    <w:rsid w:val="007F4F21"/>
    <w:rsid w:val="00840B0C"/>
    <w:rsid w:val="008D6509"/>
    <w:rsid w:val="008D75AC"/>
    <w:rsid w:val="00917B40"/>
    <w:rsid w:val="00923C7C"/>
    <w:rsid w:val="00926800"/>
    <w:rsid w:val="009900D1"/>
    <w:rsid w:val="00A12183"/>
    <w:rsid w:val="00A24BF7"/>
    <w:rsid w:val="00A259B7"/>
    <w:rsid w:val="00A71326"/>
    <w:rsid w:val="00A81A9D"/>
    <w:rsid w:val="00AA4DB6"/>
    <w:rsid w:val="00AC0205"/>
    <w:rsid w:val="00AC29E3"/>
    <w:rsid w:val="00B46016"/>
    <w:rsid w:val="00BA4739"/>
    <w:rsid w:val="00BA6A35"/>
    <w:rsid w:val="00BD1600"/>
    <w:rsid w:val="00BF24F1"/>
    <w:rsid w:val="00BF70D0"/>
    <w:rsid w:val="00C0799A"/>
    <w:rsid w:val="00C3427E"/>
    <w:rsid w:val="00C35C61"/>
    <w:rsid w:val="00C44412"/>
    <w:rsid w:val="00C67748"/>
    <w:rsid w:val="00C817B8"/>
    <w:rsid w:val="00CA2F24"/>
    <w:rsid w:val="00CD202E"/>
    <w:rsid w:val="00CD4518"/>
    <w:rsid w:val="00D31D16"/>
    <w:rsid w:val="00D45E81"/>
    <w:rsid w:val="00DD3C52"/>
    <w:rsid w:val="00DF6E0D"/>
    <w:rsid w:val="00DF7FEC"/>
    <w:rsid w:val="00E2380D"/>
    <w:rsid w:val="00EC1B7A"/>
    <w:rsid w:val="00EF1B49"/>
    <w:rsid w:val="00F73D66"/>
    <w:rsid w:val="00F86536"/>
    <w:rsid w:val="00FC29F7"/>
    <w:rsid w:val="00FE78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F6DC85"/>
  <w15:chartTrackingRefBased/>
  <w15:docId w15:val="{29642482-F036-401E-96A0-348F153D4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before="240"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0" w:after="160" w:line="259" w:lineRule="auto"/>
    </w:pPr>
  </w:style>
  <w:style w:type="paragraph" w:styleId="Heading1">
    <w:name w:val="heading 1"/>
    <w:basedOn w:val="Normal"/>
    <w:next w:val="Normal"/>
    <w:link w:val="Heading1Char"/>
    <w:uiPriority w:val="9"/>
    <w:qFormat/>
    <w:rsid w:val="00393E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93E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93E0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93E0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93E0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93E0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3E0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3E0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3E0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CompactList">
    <w:name w:val="Compact List"/>
    <w:uiPriority w:val="99"/>
    <w:rsid w:val="002D7E85"/>
    <w:pPr>
      <w:numPr>
        <w:numId w:val="1"/>
      </w:numPr>
    </w:pPr>
  </w:style>
  <w:style w:type="character" w:customStyle="1" w:styleId="Heading1Char">
    <w:name w:val="Heading 1 Char"/>
    <w:basedOn w:val="DefaultParagraphFont"/>
    <w:link w:val="Heading1"/>
    <w:uiPriority w:val="9"/>
    <w:rsid w:val="00393E0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93E0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93E0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93E0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93E0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93E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3E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3E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3E07"/>
    <w:rPr>
      <w:rFonts w:eastAsiaTheme="majorEastAsia" w:cstheme="majorBidi"/>
      <w:color w:val="272727" w:themeColor="text1" w:themeTint="D8"/>
    </w:rPr>
  </w:style>
  <w:style w:type="paragraph" w:styleId="Title">
    <w:name w:val="Title"/>
    <w:basedOn w:val="Normal"/>
    <w:next w:val="Normal"/>
    <w:link w:val="TitleChar"/>
    <w:uiPriority w:val="10"/>
    <w:qFormat/>
    <w:rsid w:val="00393E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3E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3E0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3E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3E07"/>
    <w:pPr>
      <w:spacing w:before="160"/>
      <w:jc w:val="center"/>
    </w:pPr>
    <w:rPr>
      <w:i/>
      <w:iCs/>
      <w:color w:val="404040" w:themeColor="text1" w:themeTint="BF"/>
    </w:rPr>
  </w:style>
  <w:style w:type="character" w:customStyle="1" w:styleId="QuoteChar">
    <w:name w:val="Quote Char"/>
    <w:basedOn w:val="DefaultParagraphFont"/>
    <w:link w:val="Quote"/>
    <w:uiPriority w:val="29"/>
    <w:rsid w:val="00393E07"/>
    <w:rPr>
      <w:i/>
      <w:iCs/>
      <w:color w:val="404040" w:themeColor="text1" w:themeTint="BF"/>
    </w:rPr>
  </w:style>
  <w:style w:type="paragraph" w:styleId="ListParagraph">
    <w:name w:val="List Paragraph"/>
    <w:basedOn w:val="Normal"/>
    <w:uiPriority w:val="34"/>
    <w:qFormat/>
    <w:rsid w:val="00393E07"/>
    <w:pPr>
      <w:ind w:left="720"/>
      <w:contextualSpacing/>
    </w:pPr>
  </w:style>
  <w:style w:type="character" w:styleId="IntenseEmphasis">
    <w:name w:val="Intense Emphasis"/>
    <w:basedOn w:val="DefaultParagraphFont"/>
    <w:uiPriority w:val="21"/>
    <w:qFormat/>
    <w:rsid w:val="00393E07"/>
    <w:rPr>
      <w:i/>
      <w:iCs/>
      <w:color w:val="0F4761" w:themeColor="accent1" w:themeShade="BF"/>
    </w:rPr>
  </w:style>
  <w:style w:type="paragraph" w:styleId="IntenseQuote">
    <w:name w:val="Intense Quote"/>
    <w:basedOn w:val="Normal"/>
    <w:next w:val="Normal"/>
    <w:link w:val="IntenseQuoteChar"/>
    <w:uiPriority w:val="30"/>
    <w:qFormat/>
    <w:rsid w:val="00393E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93E07"/>
    <w:rPr>
      <w:i/>
      <w:iCs/>
      <w:color w:val="0F4761" w:themeColor="accent1" w:themeShade="BF"/>
    </w:rPr>
  </w:style>
  <w:style w:type="character" w:styleId="IntenseReference">
    <w:name w:val="Intense Reference"/>
    <w:basedOn w:val="DefaultParagraphFont"/>
    <w:uiPriority w:val="32"/>
    <w:qFormat/>
    <w:rsid w:val="00393E07"/>
    <w:rPr>
      <w:b/>
      <w:bCs/>
      <w:smallCaps/>
      <w:color w:val="0F4761" w:themeColor="accent1" w:themeShade="BF"/>
      <w:spacing w:val="5"/>
    </w:rPr>
  </w:style>
  <w:style w:type="table" w:styleId="TableGrid">
    <w:name w:val="Table Grid"/>
    <w:basedOn w:val="TableNormal"/>
    <w:uiPriority w:val="39"/>
    <w:rsid w:val="00393E07"/>
    <w:pPr>
      <w:spacing w:before="0" w:after="200" w:line="276" w:lineRule="auto"/>
      <w:jc w:val="both"/>
    </w:pPr>
    <w:rPr>
      <w:rFonts w:eastAsiaTheme="minorEastAsia"/>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D75AC"/>
    <w:rPr>
      <w:color w:val="467886" w:themeColor="hyperlink"/>
      <w:u w:val="single"/>
    </w:rPr>
  </w:style>
  <w:style w:type="character" w:styleId="UnresolvedMention">
    <w:name w:val="Unresolved Mention"/>
    <w:basedOn w:val="DefaultParagraphFont"/>
    <w:uiPriority w:val="99"/>
    <w:semiHidden/>
    <w:unhideWhenUsed/>
    <w:rsid w:val="008D75AC"/>
    <w:rPr>
      <w:color w:val="605E5C"/>
      <w:shd w:val="clear" w:color="auto" w:fill="E1DFDD"/>
    </w:rPr>
  </w:style>
  <w:style w:type="paragraph" w:styleId="Revision">
    <w:name w:val="Revision"/>
    <w:hidden/>
    <w:uiPriority w:val="99"/>
    <w:semiHidden/>
    <w:rsid w:val="0053313F"/>
    <w:pPr>
      <w:spacing w:before="0" w:after="0"/>
    </w:pPr>
  </w:style>
  <w:style w:type="paragraph" w:styleId="Header">
    <w:name w:val="header"/>
    <w:basedOn w:val="Normal"/>
    <w:link w:val="HeaderChar"/>
    <w:uiPriority w:val="99"/>
    <w:unhideWhenUsed/>
    <w:rsid w:val="00CD45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4518"/>
  </w:style>
  <w:style w:type="paragraph" w:styleId="Footer">
    <w:name w:val="footer"/>
    <w:basedOn w:val="Normal"/>
    <w:link w:val="FooterChar"/>
    <w:uiPriority w:val="99"/>
    <w:unhideWhenUsed/>
    <w:rsid w:val="00CD45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45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4076</Words>
  <Characters>24259</Characters>
  <Application>Microsoft Office Word</Application>
  <DocSecurity>0</DocSecurity>
  <Lines>638</Lines>
  <Paragraphs>345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Louie H. Yang</dc:creator>
  <cp:keywords/>
  <dc:description/>
  <cp:lastModifiedBy>Louie H. Yang</cp:lastModifiedBy>
  <cp:revision>4</cp:revision>
  <dcterms:created xsi:type="dcterms:W3CDTF">2026-05-21T16:50:00Z</dcterms:created>
  <dcterms:modified xsi:type="dcterms:W3CDTF">2026-05-21T16:51:00Z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zotero-version="7.0.11"&gt;&lt;session id="CV9mwVnk"/&gt;&lt;style id="http://www.zotero.org/styles/ecology" hasBibliography="1" bibliographyStyleHasBeenSet="0"/&gt;&lt;prefs&gt;&lt;pref name="fieldType" value="Field"/&gt;&lt;pref name="automaticJournalAbbreviat</vt:lpwstr>
  </property>
  <property fmtid="{D5CDD505-2E9C-101B-9397-08002B2CF9AE}" pid="3" name="ZOTERO_PREF_2">
    <vt:lpwstr>ions" value="true"/&gt;&lt;/prefs&gt;&lt;/data&gt;</vt:lpwstr>
  </property>
</Properties>
</file>