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710" w:rsidRPr="00FB1710" w:rsidRDefault="00FB1710" w:rsidP="00FB1710">
      <w:pPr>
        <w:pStyle w:val="Heading1"/>
        <w:spacing w:before="240" w:after="120" w:line="480" w:lineRule="auto"/>
        <w:rPr>
          <w:rFonts w:ascii="Times New Roman" w:hAnsi="Times New Roman" w:cs="Times New Roman"/>
          <w:color w:val="auto"/>
        </w:rPr>
      </w:pPr>
      <w:r w:rsidRPr="00FB1710">
        <w:rPr>
          <w:rFonts w:ascii="Times New Roman" w:hAnsi="Times New Roman" w:cs="Times New Roman"/>
          <w:color w:val="auto"/>
        </w:rPr>
        <w:t xml:space="preserve">MELTS Modelling – </w:t>
      </w:r>
      <w:r w:rsidR="007847F1">
        <w:rPr>
          <w:rFonts w:ascii="Times New Roman" w:hAnsi="Times New Roman" w:cs="Times New Roman"/>
          <w:color w:val="auto"/>
        </w:rPr>
        <w:t>Melt composition</w:t>
      </w:r>
    </w:p>
    <w:p w:rsidR="00F21958" w:rsidRDefault="005B682F" w:rsidP="00FB1710">
      <w:pPr>
        <w:spacing w:before="240" w:after="120" w:line="480" w:lineRule="auto"/>
        <w:jc w:val="both"/>
      </w:pPr>
      <w:r w:rsidRPr="00FB1710">
        <w:rPr>
          <w:rFonts w:ascii="Times New Roman" w:hAnsi="Times New Roman" w:cs="Times New Roman"/>
        </w:rPr>
        <w:t>The composition was adjusted via an extraction of the modal composition of representative mineral phases to the whole-rock composition of the sample (see Table 3) in order to determine the groundmass (pre-eruptive melt) composition. The modelling intensive conditions range</w:t>
      </w:r>
      <w:r w:rsidR="00FB1710">
        <w:rPr>
          <w:rFonts w:ascii="Times New Roman" w:hAnsi="Times New Roman" w:cs="Times New Roman"/>
        </w:rPr>
        <w:t>s were</w:t>
      </w:r>
      <w:r w:rsidRPr="00FB1710">
        <w:rPr>
          <w:rFonts w:ascii="Times New Roman" w:hAnsi="Times New Roman" w:cs="Times New Roman"/>
        </w:rPr>
        <w:t xml:space="preserve"> based on thermometers, barometers, and </w:t>
      </w:r>
      <w:proofErr w:type="spellStart"/>
      <w:r w:rsidRPr="00FB1710">
        <w:rPr>
          <w:rFonts w:ascii="Times New Roman" w:hAnsi="Times New Roman" w:cs="Times New Roman"/>
        </w:rPr>
        <w:t>oxybarometers</w:t>
      </w:r>
      <w:proofErr w:type="spellEnd"/>
      <w:r w:rsidRPr="00FB1710">
        <w:rPr>
          <w:rFonts w:ascii="Times New Roman" w:hAnsi="Times New Roman" w:cs="Times New Roman"/>
        </w:rPr>
        <w:t xml:space="preserve"> presented above (850-1,070 °C; from 1 bar to 10 </w:t>
      </w:r>
      <w:proofErr w:type="spellStart"/>
      <w:r w:rsidRPr="00FB1710">
        <w:rPr>
          <w:rFonts w:ascii="Times New Roman" w:hAnsi="Times New Roman" w:cs="Times New Roman"/>
        </w:rPr>
        <w:t>kbar</w:t>
      </w:r>
      <w:proofErr w:type="spellEnd"/>
      <w:r w:rsidRPr="00FB1710">
        <w:rPr>
          <w:rFonts w:ascii="Times New Roman" w:hAnsi="Times New Roman" w:cs="Times New Roman"/>
        </w:rPr>
        <w:t>; ΔNNO+0.5 oxygen fugacity buffer; see values and associated errors in Tables 5, 6, and 7). All the intensive conditions were considered except when MELTS failed to converge or when ≥ 40% of the total mass of the system correspond to solid phases.</w:t>
      </w:r>
      <w:bookmarkStart w:id="0" w:name="_GoBack"/>
      <w:bookmarkEnd w:id="0"/>
    </w:p>
    <w:sectPr w:rsidR="00F2195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71"/>
    <w:rsid w:val="0002662F"/>
    <w:rsid w:val="00561867"/>
    <w:rsid w:val="005B682F"/>
    <w:rsid w:val="007847F1"/>
    <w:rsid w:val="009B0C66"/>
    <w:rsid w:val="00E57971"/>
    <w:rsid w:val="00F21958"/>
    <w:rsid w:val="00FB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E8B3DBF-05E9-4903-AE7B-FD6BBA78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7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7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</dc:creator>
  <cp:keywords/>
  <dc:description/>
  <cp:lastModifiedBy>Eduardo Morgado Bravo</cp:lastModifiedBy>
  <cp:revision>4</cp:revision>
  <dcterms:created xsi:type="dcterms:W3CDTF">2018-12-04T20:37:00Z</dcterms:created>
  <dcterms:modified xsi:type="dcterms:W3CDTF">2019-01-14T13:30:00Z</dcterms:modified>
</cp:coreProperties>
</file>