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515" w:rsidRDefault="00744515" w:rsidP="00744515">
      <w:pPr>
        <w:pStyle w:val="Heading1"/>
        <w:rPr>
          <w:sz w:val="28"/>
          <w:szCs w:val="28"/>
        </w:rPr>
      </w:pPr>
      <w:bookmarkStart w:id="0" w:name="_GoBack"/>
      <w:bookmarkEnd w:id="0"/>
      <w:r>
        <w:rPr>
          <w:sz w:val="28"/>
          <w:szCs w:val="28"/>
        </w:rPr>
        <w:t>Supplementary figures and tables for</w:t>
      </w:r>
    </w:p>
    <w:p w:rsidR="00744515" w:rsidRDefault="00744515" w:rsidP="00744515">
      <w:pPr>
        <w:spacing w:before="120" w:after="240" w:line="259" w:lineRule="auto"/>
        <w:jc w:val="both"/>
        <w:rPr>
          <w:b/>
          <w:sz w:val="28"/>
          <w:szCs w:val="28"/>
        </w:rPr>
      </w:pPr>
      <w:r>
        <w:rPr>
          <w:b/>
          <w:sz w:val="28"/>
          <w:szCs w:val="28"/>
        </w:rPr>
        <w:t xml:space="preserve">Explosive eruptions of </w:t>
      </w:r>
      <w:proofErr w:type="spellStart"/>
      <w:r>
        <w:rPr>
          <w:b/>
          <w:sz w:val="28"/>
          <w:szCs w:val="28"/>
        </w:rPr>
        <w:t>Kolumbo</w:t>
      </w:r>
      <w:proofErr w:type="spellEnd"/>
      <w:r>
        <w:rPr>
          <w:b/>
          <w:sz w:val="28"/>
          <w:szCs w:val="28"/>
        </w:rPr>
        <w:t xml:space="preserve"> Central Volcano and associated tephra</w:t>
      </w:r>
      <w:r w:rsidR="00CE6EFD">
        <w:rPr>
          <w:b/>
          <w:sz w:val="28"/>
          <w:szCs w:val="28"/>
        </w:rPr>
        <w:t xml:space="preserve"> fallout</w:t>
      </w:r>
      <w:r>
        <w:rPr>
          <w:b/>
          <w:sz w:val="28"/>
          <w:szCs w:val="28"/>
        </w:rPr>
        <w:t xml:space="preserve"> hazards</w:t>
      </w:r>
      <w:r w:rsidR="00CE6EFD">
        <w:rPr>
          <w:b/>
          <w:sz w:val="28"/>
          <w:szCs w:val="28"/>
        </w:rPr>
        <w:t xml:space="preserve"> </w:t>
      </w:r>
      <w:r>
        <w:rPr>
          <w:b/>
          <w:sz w:val="28"/>
          <w:szCs w:val="28"/>
        </w:rPr>
        <w:t>assessment</w:t>
      </w:r>
    </w:p>
    <w:p w:rsidR="00744515" w:rsidRPr="00214A33" w:rsidRDefault="00744515" w:rsidP="00744515">
      <w:pPr>
        <w:spacing w:after="0"/>
        <w:jc w:val="both"/>
        <w:rPr>
          <w:b/>
          <w:color w:val="000000"/>
          <w:sz w:val="14"/>
          <w:szCs w:val="14"/>
          <w:vertAlign w:val="superscript"/>
          <w:lang w:val="it-IT"/>
        </w:rPr>
      </w:pPr>
      <w:r w:rsidRPr="00214A33">
        <w:rPr>
          <w:b/>
          <w:color w:val="000000"/>
          <w:lang w:val="it-IT"/>
        </w:rPr>
        <w:t xml:space="preserve">Federica Pardini </w:t>
      </w:r>
      <w:r w:rsidRPr="00214A33">
        <w:rPr>
          <w:b/>
          <w:color w:val="000000"/>
          <w:vertAlign w:val="superscript"/>
          <w:lang w:val="it-IT"/>
        </w:rPr>
        <w:t>1</w:t>
      </w:r>
      <w:r w:rsidRPr="00214A33">
        <w:rPr>
          <w:b/>
          <w:color w:val="000000"/>
          <w:sz w:val="14"/>
          <w:szCs w:val="14"/>
          <w:vertAlign w:val="superscript"/>
          <w:lang w:val="it-IT"/>
        </w:rPr>
        <w:t xml:space="preserve"> </w:t>
      </w:r>
      <w:r w:rsidRPr="00214A33">
        <w:rPr>
          <w:b/>
          <w:color w:val="000000"/>
          <w:lang w:val="it-IT"/>
        </w:rPr>
        <w:t xml:space="preserve">· Andrea Bevilacqua </w:t>
      </w:r>
      <w:r w:rsidRPr="00214A33">
        <w:rPr>
          <w:b/>
          <w:color w:val="000000"/>
          <w:vertAlign w:val="superscript"/>
          <w:lang w:val="it-IT"/>
        </w:rPr>
        <w:t>1</w:t>
      </w:r>
      <w:r w:rsidRPr="00214A33">
        <w:rPr>
          <w:b/>
          <w:color w:val="000000"/>
          <w:lang w:val="it-IT"/>
        </w:rPr>
        <w:t xml:space="preserve"> · Matteo Cerminara </w:t>
      </w:r>
      <w:r w:rsidRPr="00214A33">
        <w:rPr>
          <w:b/>
          <w:color w:val="000000"/>
          <w:vertAlign w:val="superscript"/>
          <w:lang w:val="it-IT"/>
        </w:rPr>
        <w:t>1</w:t>
      </w:r>
      <w:r w:rsidRPr="00214A33">
        <w:rPr>
          <w:b/>
          <w:color w:val="000000"/>
          <w:lang w:val="it-IT"/>
        </w:rPr>
        <w:t xml:space="preserve"> · Mattia de’ Michieli Vitturi </w:t>
      </w:r>
      <w:r w:rsidRPr="00214A33">
        <w:rPr>
          <w:b/>
          <w:color w:val="000000"/>
          <w:vertAlign w:val="superscript"/>
          <w:lang w:val="it-IT"/>
        </w:rPr>
        <w:t>1</w:t>
      </w:r>
      <w:r w:rsidRPr="00214A33">
        <w:rPr>
          <w:b/>
          <w:color w:val="000000"/>
          <w:lang w:val="it-IT"/>
        </w:rPr>
        <w:t xml:space="preserve"> · Alessandro Tadini </w:t>
      </w:r>
      <w:r w:rsidRPr="00214A33">
        <w:rPr>
          <w:b/>
          <w:color w:val="000000"/>
          <w:vertAlign w:val="superscript"/>
          <w:lang w:val="it-IT"/>
        </w:rPr>
        <w:t>1</w:t>
      </w:r>
      <w:r w:rsidRPr="00214A33">
        <w:rPr>
          <w:b/>
          <w:color w:val="000000"/>
          <w:lang w:val="it-IT"/>
        </w:rPr>
        <w:t xml:space="preserve"> · Augusto Neri </w:t>
      </w:r>
      <w:r w:rsidRPr="00214A33">
        <w:rPr>
          <w:b/>
          <w:color w:val="000000"/>
          <w:vertAlign w:val="superscript"/>
          <w:lang w:val="it-IT"/>
        </w:rPr>
        <w:t>1</w:t>
      </w:r>
      <w:r w:rsidRPr="00214A33">
        <w:rPr>
          <w:b/>
          <w:color w:val="000000"/>
          <w:lang w:val="it-IT"/>
        </w:rPr>
        <w:t xml:space="preserve"> · R Stephen J Sparks </w:t>
      </w:r>
      <w:r w:rsidRPr="00214A33">
        <w:rPr>
          <w:b/>
          <w:color w:val="000000"/>
          <w:vertAlign w:val="superscript"/>
          <w:lang w:val="it-IT"/>
        </w:rPr>
        <w:t>2</w:t>
      </w:r>
      <w:r w:rsidRPr="00214A33">
        <w:rPr>
          <w:b/>
          <w:color w:val="000000"/>
          <w:lang w:val="it-IT"/>
        </w:rPr>
        <w:t xml:space="preserve"> · </w:t>
      </w:r>
      <w:r w:rsidRPr="00214A33">
        <w:rPr>
          <w:b/>
          <w:color w:val="000000"/>
          <w:highlight w:val="white"/>
          <w:lang w:val="it-IT"/>
        </w:rPr>
        <w:t xml:space="preserve">Georgios Vougioukalakis </w:t>
      </w:r>
      <w:r w:rsidRPr="00214A33">
        <w:rPr>
          <w:b/>
          <w:color w:val="000000"/>
          <w:highlight w:val="white"/>
          <w:vertAlign w:val="superscript"/>
          <w:lang w:val="it-IT"/>
        </w:rPr>
        <w:t xml:space="preserve">3 </w:t>
      </w:r>
      <w:r w:rsidRPr="00214A33">
        <w:rPr>
          <w:b/>
          <w:color w:val="000000"/>
          <w:highlight w:val="white"/>
          <w:lang w:val="it-IT"/>
        </w:rPr>
        <w:t xml:space="preserve"> </w:t>
      </w:r>
      <w:r w:rsidRPr="00214A33">
        <w:rPr>
          <w:b/>
          <w:color w:val="000000"/>
          <w:sz w:val="14"/>
          <w:szCs w:val="14"/>
          <w:vertAlign w:val="superscript"/>
          <w:lang w:val="it-IT"/>
        </w:rPr>
        <w:t xml:space="preserve"> </w:t>
      </w:r>
    </w:p>
    <w:p w:rsidR="00744515" w:rsidRPr="00214A33" w:rsidRDefault="00744515" w:rsidP="00744515">
      <w:pPr>
        <w:spacing w:after="0"/>
        <w:jc w:val="both"/>
        <w:rPr>
          <w:b/>
          <w:color w:val="000000"/>
          <w:sz w:val="14"/>
          <w:szCs w:val="14"/>
          <w:vertAlign w:val="superscript"/>
          <w:lang w:val="it-IT"/>
        </w:rPr>
      </w:pPr>
    </w:p>
    <w:p w:rsidR="00744515" w:rsidRPr="00214A33" w:rsidRDefault="00744515" w:rsidP="00744515">
      <w:pPr>
        <w:spacing w:line="360" w:lineRule="auto"/>
        <w:ind w:firstLine="284"/>
        <w:jc w:val="both"/>
        <w:rPr>
          <w:color w:val="000000"/>
          <w:sz w:val="20"/>
          <w:szCs w:val="20"/>
          <w:lang w:val="it-IT"/>
        </w:rPr>
      </w:pPr>
      <w:r w:rsidRPr="00214A33">
        <w:rPr>
          <w:sz w:val="20"/>
          <w:szCs w:val="20"/>
          <w:lang w:val="it-IT"/>
        </w:rPr>
        <w:t>1 Istituto Nazionale di Geofisica e Vulcanologia, Sezione di Pisa, Pisa, Italy.</w:t>
      </w:r>
    </w:p>
    <w:p w:rsidR="00744515" w:rsidRDefault="00744515" w:rsidP="00744515">
      <w:pPr>
        <w:spacing w:line="360" w:lineRule="auto"/>
        <w:ind w:firstLine="284"/>
        <w:jc w:val="both"/>
        <w:rPr>
          <w:color w:val="000000"/>
          <w:sz w:val="20"/>
          <w:szCs w:val="20"/>
        </w:rPr>
      </w:pPr>
      <w:r>
        <w:rPr>
          <w:sz w:val="20"/>
          <w:szCs w:val="20"/>
        </w:rPr>
        <w:t>2 School of Earth Sciences, University of Bristol, Bristol BS8 1RJ, UK.</w:t>
      </w:r>
    </w:p>
    <w:p w:rsidR="00744515" w:rsidRDefault="00744515" w:rsidP="00744515">
      <w:pPr>
        <w:spacing w:line="360" w:lineRule="auto"/>
        <w:ind w:firstLine="284"/>
        <w:jc w:val="both"/>
        <w:rPr>
          <w:color w:val="000000"/>
          <w:sz w:val="20"/>
          <w:szCs w:val="20"/>
        </w:rPr>
      </w:pPr>
      <w:r>
        <w:rPr>
          <w:sz w:val="20"/>
          <w:szCs w:val="20"/>
        </w:rPr>
        <w:t xml:space="preserve">3 Hellenic Survey of Geology and Mineral Exploration, Dep of Natural &amp; Technological Hazards, S. </w:t>
      </w:r>
      <w:proofErr w:type="spellStart"/>
      <w:r>
        <w:rPr>
          <w:sz w:val="20"/>
          <w:szCs w:val="20"/>
        </w:rPr>
        <w:t>Lui</w:t>
      </w:r>
      <w:proofErr w:type="spellEnd"/>
      <w:r>
        <w:rPr>
          <w:sz w:val="20"/>
          <w:szCs w:val="20"/>
        </w:rPr>
        <w:t xml:space="preserve"> 1, Olympic Village, 13677 </w:t>
      </w:r>
      <w:proofErr w:type="spellStart"/>
      <w:r>
        <w:rPr>
          <w:sz w:val="20"/>
          <w:szCs w:val="20"/>
        </w:rPr>
        <w:t>Aharne</w:t>
      </w:r>
      <w:proofErr w:type="spellEnd"/>
      <w:r>
        <w:rPr>
          <w:sz w:val="20"/>
          <w:szCs w:val="20"/>
        </w:rPr>
        <w:t>, Athens, Greece.</w:t>
      </w:r>
    </w:p>
    <w:p w:rsidR="00744515" w:rsidRDefault="00744515" w:rsidP="00744515">
      <w:pPr>
        <w:spacing w:line="360" w:lineRule="auto"/>
        <w:ind w:firstLine="284"/>
        <w:jc w:val="both"/>
        <w:rPr>
          <w:b/>
          <w:color w:val="000000"/>
          <w:sz w:val="20"/>
          <w:szCs w:val="20"/>
        </w:rPr>
      </w:pPr>
      <w:r>
        <w:rPr>
          <w:b/>
          <w:color w:val="000000"/>
        </w:rPr>
        <w:t xml:space="preserve"> </w:t>
      </w:r>
      <w:r>
        <w:tab/>
      </w:r>
      <w:r>
        <w:rPr>
          <w:b/>
          <w:color w:val="000000"/>
          <w:sz w:val="20"/>
          <w:szCs w:val="20"/>
        </w:rPr>
        <w:t>federica.pardini@ingv.it (corresponding author)</w:t>
      </w:r>
    </w:p>
    <w:p w:rsidR="00744515" w:rsidRDefault="00744515" w:rsidP="00744515"/>
    <w:p w:rsidR="00744515" w:rsidRDefault="00744515" w:rsidP="00744515"/>
    <w:p w:rsidR="00744515" w:rsidRDefault="00744515" w:rsidP="00744515"/>
    <w:p w:rsidR="00744515" w:rsidRDefault="00744515" w:rsidP="00744515"/>
    <w:p w:rsidR="00744515" w:rsidRDefault="00744515" w:rsidP="00744515"/>
    <w:p w:rsidR="00744515" w:rsidRPr="00744515" w:rsidRDefault="00744515" w:rsidP="00744515"/>
    <w:p w:rsidR="00744515" w:rsidRDefault="00744515" w:rsidP="00744515">
      <w:pPr>
        <w:spacing w:line="360" w:lineRule="auto"/>
        <w:jc w:val="both"/>
        <w:rPr>
          <w:sz w:val="20"/>
          <w:szCs w:val="20"/>
        </w:rPr>
      </w:pPr>
    </w:p>
    <w:p w:rsidR="00744515" w:rsidRDefault="00744515" w:rsidP="00744515">
      <w:pPr>
        <w:jc w:val="both"/>
        <w:rPr>
          <w:sz w:val="20"/>
          <w:szCs w:val="20"/>
        </w:rPr>
      </w:pPr>
      <w:r>
        <w:rPr>
          <w:noProof/>
        </w:rPr>
        <w:lastRenderedPageBreak/>
        <w:drawing>
          <wp:inline distT="0" distB="0" distL="0" distR="0" wp14:anchorId="05448C6B" wp14:editId="31CB9487">
            <wp:extent cx="6120130" cy="48641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6120130" cy="4864100"/>
                    </a:xfrm>
                    <a:prstGeom prst="rect">
                      <a:avLst/>
                    </a:prstGeom>
                  </pic:spPr>
                </pic:pic>
              </a:graphicData>
            </a:graphic>
          </wp:inline>
        </w:drawing>
      </w:r>
    </w:p>
    <w:p w:rsidR="00744515" w:rsidRDefault="00744515" w:rsidP="00744515">
      <w:pPr>
        <w:jc w:val="both"/>
        <w:rPr>
          <w:sz w:val="20"/>
          <w:szCs w:val="20"/>
        </w:rPr>
      </w:pPr>
    </w:p>
    <w:p w:rsidR="00744515" w:rsidRDefault="00744515" w:rsidP="00744515">
      <w:pPr>
        <w:spacing w:line="360" w:lineRule="auto"/>
        <w:jc w:val="both"/>
        <w:rPr>
          <w:sz w:val="20"/>
          <w:szCs w:val="20"/>
        </w:rPr>
      </w:pPr>
      <w:r>
        <w:rPr>
          <w:b/>
        </w:rPr>
        <w:t xml:space="preserve">Fig. S1 </w:t>
      </w:r>
      <w:r>
        <w:rPr>
          <w:sz w:val="20"/>
          <w:szCs w:val="20"/>
        </w:rPr>
        <w:t>Average atmospheric profiles for September 29, 2013. Panel (a) displays wind speed as a function of altitude, (b) shows wind direction, (c) illustrates atmospheric temperature, and (d) presents atmospheric humidity.</w:t>
      </w:r>
    </w:p>
    <w:p w:rsidR="00744515" w:rsidRDefault="00744515" w:rsidP="00744515">
      <w:pPr>
        <w:spacing w:line="360" w:lineRule="auto"/>
        <w:jc w:val="both"/>
        <w:rPr>
          <w:sz w:val="20"/>
          <w:szCs w:val="20"/>
        </w:rPr>
      </w:pPr>
    </w:p>
    <w:p w:rsidR="00744515" w:rsidRDefault="00744515" w:rsidP="00744515">
      <w:pPr>
        <w:spacing w:line="360" w:lineRule="auto"/>
        <w:jc w:val="both"/>
        <w:rPr>
          <w:sz w:val="20"/>
          <w:szCs w:val="20"/>
        </w:rPr>
      </w:pPr>
      <w:r>
        <w:rPr>
          <w:noProof/>
        </w:rPr>
        <w:lastRenderedPageBreak/>
        <w:drawing>
          <wp:inline distT="0" distB="0" distL="0" distR="0" wp14:anchorId="6A0DC699" wp14:editId="2D88C755">
            <wp:extent cx="6116320" cy="5881370"/>
            <wp:effectExtent l="0" t="0" r="0" b="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8"/>
                    <a:stretch>
                      <a:fillRect/>
                    </a:stretch>
                  </pic:blipFill>
                  <pic:spPr bwMode="auto">
                    <a:xfrm>
                      <a:off x="0" y="0"/>
                      <a:ext cx="6116320" cy="5881370"/>
                    </a:xfrm>
                    <a:prstGeom prst="rect">
                      <a:avLst/>
                    </a:prstGeom>
                  </pic:spPr>
                </pic:pic>
              </a:graphicData>
            </a:graphic>
          </wp:inline>
        </w:drawing>
      </w:r>
    </w:p>
    <w:p w:rsidR="00744515" w:rsidRDefault="00744515" w:rsidP="00744515">
      <w:pPr>
        <w:spacing w:line="360" w:lineRule="auto"/>
        <w:jc w:val="both"/>
        <w:rPr>
          <w:color w:val="000000"/>
          <w:sz w:val="20"/>
          <w:szCs w:val="20"/>
        </w:rPr>
      </w:pPr>
      <w:r>
        <w:rPr>
          <w:b/>
        </w:rPr>
        <w:t>Fig. S2</w:t>
      </w:r>
      <w:r>
        <w:t xml:space="preserve"> </w:t>
      </w:r>
      <w:r>
        <w:rPr>
          <w:color w:val="000000"/>
          <w:sz w:val="20"/>
          <w:szCs w:val="20"/>
        </w:rPr>
        <w:t>Results of the deterministic PLUME-</w:t>
      </w:r>
      <w:proofErr w:type="spellStart"/>
      <w:r>
        <w:rPr>
          <w:color w:val="000000"/>
          <w:sz w:val="20"/>
          <w:szCs w:val="20"/>
        </w:rPr>
        <w:t>MoM</w:t>
      </w:r>
      <w:proofErr w:type="spellEnd"/>
      <w:r>
        <w:rPr>
          <w:color w:val="000000"/>
          <w:sz w:val="20"/>
          <w:szCs w:val="20"/>
        </w:rPr>
        <w:t>-TSM and HYSPLIT simulations for the 1650 CE event, using the 5</w:t>
      </w:r>
      <w:r>
        <w:rPr>
          <w:color w:val="000000"/>
          <w:sz w:val="20"/>
          <w:szCs w:val="20"/>
          <w:vertAlign w:val="superscript"/>
        </w:rPr>
        <w:t>th</w:t>
      </w:r>
      <w:r>
        <w:rPr>
          <w:color w:val="000000"/>
          <w:sz w:val="20"/>
          <w:szCs w:val="20"/>
        </w:rPr>
        <w:t>, 50</w:t>
      </w:r>
      <w:r>
        <w:rPr>
          <w:color w:val="000000"/>
          <w:sz w:val="20"/>
          <w:szCs w:val="20"/>
          <w:vertAlign w:val="superscript"/>
        </w:rPr>
        <w:t>th</w:t>
      </w:r>
      <w:r>
        <w:rPr>
          <w:color w:val="000000"/>
          <w:sz w:val="20"/>
          <w:szCs w:val="20"/>
        </w:rPr>
        <w:t>, and 95</w:t>
      </w:r>
      <w:r>
        <w:rPr>
          <w:color w:val="000000"/>
          <w:sz w:val="20"/>
          <w:szCs w:val="20"/>
          <w:vertAlign w:val="superscript"/>
        </w:rPr>
        <w:t>th</w:t>
      </w:r>
      <w:r>
        <w:rPr>
          <w:color w:val="000000"/>
          <w:sz w:val="20"/>
          <w:szCs w:val="20"/>
        </w:rPr>
        <w:t xml:space="preserve"> percentiles of eruption conditions derived from the elicitation. The panels display the tephra accumulation on the ground, expressed as ground load in kg/m². Contour lines indicate tephra ground loads of 1, 10, 100, and 1,000 kg/m². The meteorological data used is from 29 September 2013. Panels a, b, and c refer to simulations initialized with the 5</w:t>
      </w:r>
      <w:r>
        <w:rPr>
          <w:color w:val="000000"/>
          <w:sz w:val="20"/>
          <w:szCs w:val="20"/>
          <w:vertAlign w:val="superscript"/>
        </w:rPr>
        <w:t>th</w:t>
      </w:r>
      <w:r>
        <w:rPr>
          <w:color w:val="000000"/>
          <w:sz w:val="20"/>
          <w:szCs w:val="20"/>
        </w:rPr>
        <w:t>, 50</w:t>
      </w:r>
      <w:r>
        <w:rPr>
          <w:color w:val="000000"/>
          <w:sz w:val="20"/>
          <w:szCs w:val="20"/>
          <w:vertAlign w:val="superscript"/>
        </w:rPr>
        <w:t>th</w:t>
      </w:r>
      <w:r>
        <w:rPr>
          <w:color w:val="000000"/>
          <w:sz w:val="20"/>
          <w:szCs w:val="20"/>
        </w:rPr>
        <w:t>, and 95</w:t>
      </w:r>
      <w:r>
        <w:rPr>
          <w:color w:val="000000"/>
          <w:sz w:val="20"/>
          <w:szCs w:val="20"/>
          <w:vertAlign w:val="superscript"/>
        </w:rPr>
        <w:t>th</w:t>
      </w:r>
      <w:r>
        <w:rPr>
          <w:color w:val="000000"/>
          <w:sz w:val="20"/>
          <w:szCs w:val="20"/>
        </w:rPr>
        <w:t xml:space="preserve"> percentiles of MER, while the other input parameters remain constant. Specifically, eruption duration and the amount of seawater are set to the 50</w:t>
      </w:r>
      <w:r>
        <w:rPr>
          <w:color w:val="000000"/>
          <w:sz w:val="20"/>
          <w:szCs w:val="20"/>
          <w:vertAlign w:val="superscript"/>
        </w:rPr>
        <w:t>th</w:t>
      </w:r>
      <w:r>
        <w:rPr>
          <w:color w:val="000000"/>
          <w:sz w:val="20"/>
          <w:szCs w:val="20"/>
        </w:rPr>
        <w:t xml:space="preserve"> percentile values reported in Table 1. Panels d, e, and f show the results of simulations performed with the 5th, 50</w:t>
      </w:r>
      <w:r>
        <w:rPr>
          <w:color w:val="000000"/>
          <w:sz w:val="20"/>
          <w:szCs w:val="20"/>
          <w:vertAlign w:val="superscript"/>
        </w:rPr>
        <w:t>th</w:t>
      </w:r>
      <w:r>
        <w:rPr>
          <w:color w:val="000000"/>
          <w:sz w:val="20"/>
          <w:szCs w:val="20"/>
        </w:rPr>
        <w:t>, and 95</w:t>
      </w:r>
      <w:r>
        <w:rPr>
          <w:color w:val="000000"/>
          <w:sz w:val="20"/>
          <w:szCs w:val="20"/>
          <w:vertAlign w:val="superscript"/>
        </w:rPr>
        <w:t>th</w:t>
      </w:r>
      <w:r>
        <w:rPr>
          <w:color w:val="000000"/>
          <w:sz w:val="20"/>
          <w:szCs w:val="20"/>
        </w:rPr>
        <w:t xml:space="preserve"> percentiles of eruption duration, while MER and the amount of seawater are fixed at their median values. Panels (g) and (h) refer to simulations initialized with the 5</w:t>
      </w:r>
      <w:r>
        <w:rPr>
          <w:color w:val="000000"/>
          <w:sz w:val="20"/>
          <w:szCs w:val="20"/>
          <w:vertAlign w:val="superscript"/>
        </w:rPr>
        <w:t>th</w:t>
      </w:r>
      <w:r>
        <w:rPr>
          <w:color w:val="000000"/>
          <w:sz w:val="20"/>
          <w:szCs w:val="20"/>
        </w:rPr>
        <w:t>and 50</w:t>
      </w:r>
      <w:r>
        <w:rPr>
          <w:color w:val="000000"/>
          <w:sz w:val="20"/>
          <w:szCs w:val="20"/>
          <w:vertAlign w:val="superscript"/>
        </w:rPr>
        <w:t>th</w:t>
      </w:r>
      <w:r>
        <w:rPr>
          <w:color w:val="000000"/>
          <w:sz w:val="20"/>
          <w:szCs w:val="20"/>
        </w:rPr>
        <w:t xml:space="preserve"> percentiles of seawater, while the other input parameters remain constant. The red dot in each panel indicates the location where the maximum ground load value is reached.</w:t>
      </w:r>
    </w:p>
    <w:p w:rsidR="00744515" w:rsidRDefault="00744515" w:rsidP="00744515">
      <w:pPr>
        <w:spacing w:line="360" w:lineRule="auto"/>
        <w:jc w:val="both"/>
      </w:pPr>
    </w:p>
    <w:p w:rsidR="00744515" w:rsidRDefault="00744515" w:rsidP="00744515">
      <w:pPr>
        <w:spacing w:line="360" w:lineRule="auto"/>
        <w:jc w:val="both"/>
        <w:rPr>
          <w:b/>
        </w:rPr>
      </w:pPr>
      <w:r>
        <w:rPr>
          <w:b/>
          <w:noProof/>
        </w:rPr>
        <w:lastRenderedPageBreak/>
        <w:drawing>
          <wp:inline distT="0" distB="0" distL="0" distR="0" wp14:anchorId="7353C2FF" wp14:editId="6F6C9689">
            <wp:extent cx="4210050" cy="413666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b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13101" cy="4139663"/>
                    </a:xfrm>
                    <a:prstGeom prst="rect">
                      <a:avLst/>
                    </a:prstGeom>
                  </pic:spPr>
                </pic:pic>
              </a:graphicData>
            </a:graphic>
          </wp:inline>
        </w:drawing>
      </w:r>
    </w:p>
    <w:p w:rsidR="00744515" w:rsidRDefault="00744515" w:rsidP="00744515">
      <w:pPr>
        <w:jc w:val="both"/>
        <w:rPr>
          <w:sz w:val="20"/>
          <w:szCs w:val="20"/>
        </w:rPr>
      </w:pPr>
    </w:p>
    <w:p w:rsidR="00744515" w:rsidRDefault="00744515" w:rsidP="00744515">
      <w:pPr>
        <w:spacing w:line="360" w:lineRule="auto"/>
        <w:jc w:val="both"/>
        <w:rPr>
          <w:color w:val="0D0D0D"/>
          <w:sz w:val="20"/>
          <w:szCs w:val="20"/>
          <w:highlight w:val="white"/>
        </w:rPr>
      </w:pPr>
      <w:r>
        <w:rPr>
          <w:b/>
          <w:color w:val="000000"/>
          <w:highlight w:val="white"/>
        </w:rPr>
        <w:t>Fig S3</w:t>
      </w:r>
      <w:r>
        <w:rPr>
          <w:color w:val="000000"/>
          <w:sz w:val="20"/>
          <w:szCs w:val="20"/>
          <w:highlight w:val="white"/>
        </w:rPr>
        <w:t xml:space="preserve"> Seasonal probability map showing the likelihood of exceeding a ground load threshold of 1 kg/m². Panel (a) corresponds to winter, (b) to spring, (c) to summer, and (d) to autumn. Red stars mark the locations where hazard curves have been calculated. Each panel includes an inset providing a closer view of Santorini and the islands near the </w:t>
      </w:r>
      <w:proofErr w:type="spellStart"/>
      <w:r>
        <w:rPr>
          <w:color w:val="000000"/>
          <w:sz w:val="20"/>
          <w:szCs w:val="20"/>
          <w:highlight w:val="white"/>
        </w:rPr>
        <w:t>Kolumbo</w:t>
      </w:r>
      <w:proofErr w:type="spellEnd"/>
      <w:r>
        <w:rPr>
          <w:color w:val="000000"/>
          <w:sz w:val="20"/>
          <w:szCs w:val="20"/>
          <w:highlight w:val="white"/>
        </w:rPr>
        <w:t xml:space="preserve"> site. </w:t>
      </w:r>
      <w:r>
        <w:rPr>
          <w:color w:val="000000"/>
          <w:sz w:val="20"/>
          <w:szCs w:val="20"/>
        </w:rPr>
        <w:t>The red contours highlight the 50% probability threshold.</w:t>
      </w:r>
    </w:p>
    <w:p w:rsidR="00744515" w:rsidRDefault="00744515" w:rsidP="00744515">
      <w:pPr>
        <w:jc w:val="both"/>
        <w:rPr>
          <w:sz w:val="20"/>
          <w:szCs w:val="20"/>
        </w:rPr>
      </w:pPr>
    </w:p>
    <w:p w:rsidR="00744515" w:rsidRDefault="00744515" w:rsidP="00744515">
      <w:pPr>
        <w:jc w:val="both"/>
        <w:rPr>
          <w:sz w:val="20"/>
          <w:szCs w:val="20"/>
        </w:rPr>
      </w:pPr>
      <w:r>
        <w:rPr>
          <w:noProof/>
        </w:rPr>
        <w:lastRenderedPageBreak/>
        <w:drawing>
          <wp:inline distT="0" distB="0" distL="0" distR="0" wp14:anchorId="33D8072C" wp14:editId="0197F124">
            <wp:extent cx="3622675" cy="3343910"/>
            <wp:effectExtent l="0" t="0" r="0" b="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a:picLocks noChangeAspect="1" noChangeArrowheads="1"/>
                    </pic:cNvPicPr>
                  </pic:nvPicPr>
                  <pic:blipFill>
                    <a:blip r:embed="rId10"/>
                    <a:stretch>
                      <a:fillRect/>
                    </a:stretch>
                  </pic:blipFill>
                  <pic:spPr bwMode="auto">
                    <a:xfrm>
                      <a:off x="0" y="0"/>
                      <a:ext cx="3622675" cy="3343910"/>
                    </a:xfrm>
                    <a:prstGeom prst="rect">
                      <a:avLst/>
                    </a:prstGeom>
                  </pic:spPr>
                </pic:pic>
              </a:graphicData>
            </a:graphic>
          </wp:inline>
        </w:drawing>
      </w:r>
    </w:p>
    <w:p w:rsidR="00744515" w:rsidRDefault="00744515" w:rsidP="00744515">
      <w:pPr>
        <w:spacing w:line="360" w:lineRule="auto"/>
        <w:jc w:val="both"/>
        <w:rPr>
          <w:color w:val="000000"/>
          <w:sz w:val="20"/>
          <w:szCs w:val="20"/>
        </w:rPr>
      </w:pPr>
      <w:r>
        <w:rPr>
          <w:b/>
          <w:color w:val="000000"/>
          <w:highlight w:val="white"/>
        </w:rPr>
        <w:t>Fig S4</w:t>
      </w:r>
      <w:r>
        <w:rPr>
          <w:color w:val="000000"/>
          <w:sz w:val="20"/>
          <w:szCs w:val="20"/>
          <w:highlight w:val="white"/>
        </w:rPr>
        <w:t xml:space="preserve"> All-seasons probability map showing the likelihood of exceeding a ground load threshold of 1 kg/m². </w:t>
      </w: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highlight w:val="white"/>
        </w:rPr>
      </w:pPr>
    </w:p>
    <w:p w:rsidR="00744515" w:rsidRDefault="00744515" w:rsidP="00744515">
      <w:pPr>
        <w:spacing w:line="360" w:lineRule="auto"/>
        <w:jc w:val="both"/>
        <w:rPr>
          <w:color w:val="000000"/>
          <w:sz w:val="20"/>
          <w:szCs w:val="20"/>
        </w:rPr>
      </w:pPr>
      <w:r>
        <w:rPr>
          <w:b/>
          <w:color w:val="000000"/>
        </w:rPr>
        <w:lastRenderedPageBreak/>
        <w:t>Table S1</w:t>
      </w:r>
      <w:r>
        <w:rPr>
          <w:color w:val="000000"/>
          <w:sz w:val="20"/>
          <w:szCs w:val="20"/>
        </w:rPr>
        <w:t xml:space="preserve"> Main eruption source parameters derived from literature review and discussion, not from the elicitation session</w:t>
      </w:r>
    </w:p>
    <w:tbl>
      <w:tblPr>
        <w:tblW w:w="7551" w:type="dxa"/>
        <w:tblInd w:w="-7" w:type="dxa"/>
        <w:tblLayout w:type="fixed"/>
        <w:tblLook w:val="0600" w:firstRow="0" w:lastRow="0" w:firstColumn="0" w:lastColumn="0" w:noHBand="1" w:noVBand="1"/>
      </w:tblPr>
      <w:tblGrid>
        <w:gridCol w:w="1465"/>
        <w:gridCol w:w="1464"/>
        <w:gridCol w:w="1463"/>
        <w:gridCol w:w="3159"/>
      </w:tblGrid>
      <w:tr w:rsidR="00744515" w:rsidTr="008D0D46">
        <w:trPr>
          <w:trHeight w:val="300"/>
        </w:trPr>
        <w:tc>
          <w:tcPr>
            <w:tcW w:w="1464" w:type="dxa"/>
            <w:tcBorders>
              <w:top w:val="single" w:sz="4" w:space="0" w:color="000000"/>
              <w:bottom w:val="single" w:sz="4" w:space="0" w:color="000000"/>
            </w:tcBorders>
          </w:tcPr>
          <w:p w:rsidR="00744515" w:rsidRDefault="00744515" w:rsidP="008D0D46">
            <w:pPr>
              <w:widowControl w:val="0"/>
              <w:spacing w:before="240"/>
              <w:jc w:val="both"/>
              <w:rPr>
                <w:b/>
                <w:color w:val="000000"/>
                <w:sz w:val="20"/>
                <w:szCs w:val="20"/>
              </w:rPr>
            </w:pPr>
            <w:r>
              <w:rPr>
                <w:b/>
                <w:color w:val="000000"/>
                <w:sz w:val="20"/>
                <w:szCs w:val="20"/>
              </w:rPr>
              <w:t>Parameter</w:t>
            </w:r>
          </w:p>
        </w:tc>
        <w:tc>
          <w:tcPr>
            <w:tcW w:w="1464" w:type="dxa"/>
            <w:tcBorders>
              <w:top w:val="single" w:sz="4" w:space="0" w:color="000000"/>
              <w:bottom w:val="single" w:sz="4" w:space="0" w:color="000000"/>
            </w:tcBorders>
          </w:tcPr>
          <w:p w:rsidR="00744515" w:rsidRDefault="00744515" w:rsidP="008D0D46">
            <w:pPr>
              <w:widowControl w:val="0"/>
              <w:spacing w:before="240"/>
              <w:jc w:val="both"/>
              <w:rPr>
                <w:b/>
                <w:color w:val="000000"/>
                <w:sz w:val="20"/>
                <w:szCs w:val="20"/>
              </w:rPr>
            </w:pPr>
            <w:r>
              <w:rPr>
                <w:b/>
                <w:color w:val="000000"/>
                <w:sz w:val="20"/>
                <w:szCs w:val="20"/>
              </w:rPr>
              <w:t>Unit</w:t>
            </w:r>
          </w:p>
        </w:tc>
        <w:tc>
          <w:tcPr>
            <w:tcW w:w="1463" w:type="dxa"/>
            <w:tcBorders>
              <w:top w:val="single" w:sz="4" w:space="0" w:color="000000"/>
              <w:bottom w:val="single" w:sz="4" w:space="0" w:color="000000"/>
            </w:tcBorders>
          </w:tcPr>
          <w:p w:rsidR="00744515" w:rsidRDefault="00744515" w:rsidP="008D0D46">
            <w:pPr>
              <w:widowControl w:val="0"/>
              <w:spacing w:before="240"/>
              <w:jc w:val="both"/>
              <w:rPr>
                <w:b/>
                <w:color w:val="000000"/>
                <w:sz w:val="20"/>
                <w:szCs w:val="20"/>
              </w:rPr>
            </w:pPr>
            <w:r>
              <w:rPr>
                <w:b/>
                <w:color w:val="000000"/>
                <w:sz w:val="20"/>
                <w:szCs w:val="20"/>
              </w:rPr>
              <w:t>Value</w:t>
            </w:r>
          </w:p>
        </w:tc>
        <w:tc>
          <w:tcPr>
            <w:tcW w:w="3159" w:type="dxa"/>
            <w:tcBorders>
              <w:top w:val="single" w:sz="4" w:space="0" w:color="000000"/>
              <w:bottom w:val="single" w:sz="4" w:space="0" w:color="000000"/>
            </w:tcBorders>
          </w:tcPr>
          <w:p w:rsidR="00744515" w:rsidRDefault="00744515" w:rsidP="008D0D46">
            <w:pPr>
              <w:widowControl w:val="0"/>
              <w:spacing w:before="240"/>
              <w:jc w:val="both"/>
              <w:rPr>
                <w:b/>
                <w:color w:val="000000"/>
                <w:sz w:val="20"/>
                <w:szCs w:val="20"/>
              </w:rPr>
            </w:pPr>
            <w:r>
              <w:rPr>
                <w:b/>
                <w:color w:val="000000"/>
                <w:sz w:val="20"/>
                <w:szCs w:val="20"/>
              </w:rPr>
              <w:t>Source</w:t>
            </w:r>
          </w:p>
        </w:tc>
      </w:tr>
      <w:tr w:rsidR="00744515" w:rsidTr="008D0D46">
        <w:trPr>
          <w:trHeight w:val="300"/>
        </w:trPr>
        <w:tc>
          <w:tcPr>
            <w:tcW w:w="1464" w:type="dxa"/>
            <w:tcBorders>
              <w:top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Vent elevation</w:t>
            </w:r>
          </w:p>
        </w:tc>
        <w:tc>
          <w:tcPr>
            <w:tcW w:w="1464" w:type="dxa"/>
            <w:tcBorders>
              <w:top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m</w:t>
            </w:r>
          </w:p>
        </w:tc>
        <w:tc>
          <w:tcPr>
            <w:tcW w:w="1463" w:type="dxa"/>
            <w:tcBorders>
              <w:top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0</w:t>
            </w:r>
          </w:p>
        </w:tc>
        <w:tc>
          <w:tcPr>
            <w:tcW w:w="3159" w:type="dxa"/>
            <w:tcBorders>
              <w:top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The pressure-balance plume base is assumed at sea level</w:t>
            </w:r>
          </w:p>
        </w:tc>
      </w:tr>
      <w:tr w:rsidR="00744515" w:rsidTr="008D0D46">
        <w:trPr>
          <w:trHeight w:val="300"/>
        </w:trPr>
        <w:tc>
          <w:tcPr>
            <w:tcW w:w="1464" w:type="dxa"/>
          </w:tcPr>
          <w:p w:rsidR="00744515" w:rsidRDefault="00744515" w:rsidP="008D0D46">
            <w:pPr>
              <w:widowControl w:val="0"/>
              <w:spacing w:before="240"/>
              <w:jc w:val="both"/>
              <w:rPr>
                <w:color w:val="000000"/>
                <w:sz w:val="20"/>
                <w:szCs w:val="20"/>
              </w:rPr>
            </w:pPr>
            <w:r>
              <w:rPr>
                <w:color w:val="000000"/>
                <w:sz w:val="20"/>
                <w:szCs w:val="20"/>
              </w:rPr>
              <w:t>Vertical plume velocity</w:t>
            </w:r>
          </w:p>
        </w:tc>
        <w:tc>
          <w:tcPr>
            <w:tcW w:w="1464" w:type="dxa"/>
          </w:tcPr>
          <w:p w:rsidR="00744515" w:rsidRDefault="00744515" w:rsidP="008D0D46">
            <w:pPr>
              <w:widowControl w:val="0"/>
              <w:spacing w:before="240"/>
              <w:jc w:val="both"/>
              <w:rPr>
                <w:color w:val="000000"/>
                <w:sz w:val="20"/>
                <w:szCs w:val="20"/>
              </w:rPr>
            </w:pPr>
            <w:r>
              <w:rPr>
                <w:color w:val="000000"/>
                <w:sz w:val="20"/>
                <w:szCs w:val="20"/>
              </w:rPr>
              <w:t>m/s</w:t>
            </w:r>
          </w:p>
        </w:tc>
        <w:tc>
          <w:tcPr>
            <w:tcW w:w="1463" w:type="dxa"/>
          </w:tcPr>
          <w:p w:rsidR="00744515" w:rsidRDefault="00744515" w:rsidP="008D0D46">
            <w:pPr>
              <w:widowControl w:val="0"/>
              <w:spacing w:before="240"/>
              <w:jc w:val="both"/>
              <w:rPr>
                <w:color w:val="000000"/>
                <w:sz w:val="20"/>
                <w:szCs w:val="20"/>
              </w:rPr>
            </w:pPr>
            <w:r>
              <w:rPr>
                <w:color w:val="000000"/>
                <w:sz w:val="20"/>
                <w:szCs w:val="20"/>
              </w:rPr>
              <w:t>200</w:t>
            </w:r>
          </w:p>
        </w:tc>
        <w:tc>
          <w:tcPr>
            <w:tcW w:w="3159" w:type="dxa"/>
          </w:tcPr>
          <w:p w:rsidR="00744515" w:rsidRDefault="00744515" w:rsidP="008D0D46">
            <w:pPr>
              <w:widowControl w:val="0"/>
              <w:spacing w:before="240"/>
              <w:jc w:val="both"/>
              <w:rPr>
                <w:color w:val="000000"/>
                <w:sz w:val="20"/>
                <w:szCs w:val="20"/>
              </w:rPr>
            </w:pPr>
            <w:r>
              <w:rPr>
                <w:color w:val="000000"/>
                <w:sz w:val="20"/>
                <w:szCs w:val="20"/>
              </w:rPr>
              <w:t>The plume is assumed to be pressure-balanced and this velocity is assumed at the plume base</w:t>
            </w:r>
          </w:p>
        </w:tc>
      </w:tr>
      <w:tr w:rsidR="00744515" w:rsidTr="008D0D46">
        <w:trPr>
          <w:trHeight w:val="300"/>
        </w:trPr>
        <w:tc>
          <w:tcPr>
            <w:tcW w:w="1464" w:type="dxa"/>
          </w:tcPr>
          <w:p w:rsidR="00744515" w:rsidRDefault="00744515" w:rsidP="008D0D46">
            <w:pPr>
              <w:widowControl w:val="0"/>
              <w:spacing w:before="240"/>
              <w:jc w:val="both"/>
              <w:rPr>
                <w:color w:val="000000"/>
                <w:sz w:val="20"/>
                <w:szCs w:val="20"/>
              </w:rPr>
            </w:pPr>
            <w:r>
              <w:rPr>
                <w:color w:val="000000"/>
                <w:sz w:val="20"/>
                <w:szCs w:val="20"/>
              </w:rPr>
              <w:t>Magma temperature</w:t>
            </w:r>
          </w:p>
        </w:tc>
        <w:tc>
          <w:tcPr>
            <w:tcW w:w="1464" w:type="dxa"/>
          </w:tcPr>
          <w:p w:rsidR="00744515" w:rsidRDefault="00744515" w:rsidP="008D0D46">
            <w:pPr>
              <w:widowControl w:val="0"/>
              <w:spacing w:before="240"/>
              <w:jc w:val="both"/>
              <w:rPr>
                <w:color w:val="000000"/>
                <w:sz w:val="20"/>
                <w:szCs w:val="20"/>
              </w:rPr>
            </w:pPr>
            <w:r>
              <w:rPr>
                <w:color w:val="000000"/>
                <w:sz w:val="20"/>
                <w:szCs w:val="20"/>
              </w:rPr>
              <w:t>K</w:t>
            </w:r>
          </w:p>
        </w:tc>
        <w:tc>
          <w:tcPr>
            <w:tcW w:w="1463" w:type="dxa"/>
          </w:tcPr>
          <w:p w:rsidR="00744515" w:rsidRDefault="00744515" w:rsidP="008D0D46">
            <w:pPr>
              <w:widowControl w:val="0"/>
              <w:spacing w:before="240"/>
              <w:jc w:val="both"/>
              <w:rPr>
                <w:color w:val="000000"/>
                <w:sz w:val="20"/>
                <w:szCs w:val="20"/>
              </w:rPr>
            </w:pPr>
            <w:r>
              <w:rPr>
                <w:color w:val="000000"/>
                <w:sz w:val="20"/>
                <w:szCs w:val="20"/>
              </w:rPr>
              <w:t>973-1073</w:t>
            </w:r>
          </w:p>
        </w:tc>
        <w:tc>
          <w:tcPr>
            <w:tcW w:w="3159" w:type="dxa"/>
          </w:tcPr>
          <w:p w:rsidR="00744515" w:rsidRDefault="00744515" w:rsidP="008D0D46">
            <w:pPr>
              <w:widowControl w:val="0"/>
              <w:spacing w:before="240"/>
              <w:jc w:val="both"/>
              <w:rPr>
                <w:color w:val="000000"/>
                <w:sz w:val="20"/>
                <w:szCs w:val="20"/>
              </w:rPr>
            </w:pPr>
            <w:proofErr w:type="spellStart"/>
            <w:r>
              <w:rPr>
                <w:color w:val="000000"/>
                <w:sz w:val="20"/>
                <w:szCs w:val="20"/>
              </w:rPr>
              <w:t>Cant</w:t>
            </w:r>
            <w:r w:rsidR="00C10DD0">
              <w:rPr>
                <w:color w:val="000000"/>
                <w:sz w:val="20"/>
                <w:szCs w:val="20"/>
              </w:rPr>
              <w:t>n</w:t>
            </w:r>
            <w:r>
              <w:rPr>
                <w:color w:val="000000"/>
                <w:sz w:val="20"/>
                <w:szCs w:val="20"/>
              </w:rPr>
              <w:t>er</w:t>
            </w:r>
            <w:proofErr w:type="spellEnd"/>
            <w:r>
              <w:rPr>
                <w:color w:val="000000"/>
                <w:sz w:val="20"/>
                <w:szCs w:val="20"/>
              </w:rPr>
              <w:t xml:space="preserve"> et al. (2014)</w:t>
            </w:r>
          </w:p>
        </w:tc>
      </w:tr>
      <w:tr w:rsidR="00744515" w:rsidTr="008D0D46">
        <w:trPr>
          <w:trHeight w:val="300"/>
        </w:trPr>
        <w:tc>
          <w:tcPr>
            <w:tcW w:w="1464" w:type="dxa"/>
          </w:tcPr>
          <w:p w:rsidR="00744515" w:rsidRDefault="00744515" w:rsidP="008D0D46">
            <w:pPr>
              <w:widowControl w:val="0"/>
              <w:spacing w:before="240"/>
              <w:jc w:val="both"/>
              <w:rPr>
                <w:color w:val="000000"/>
                <w:sz w:val="20"/>
                <w:szCs w:val="20"/>
              </w:rPr>
            </w:pPr>
            <w:r>
              <w:rPr>
                <w:color w:val="000000"/>
                <w:sz w:val="20"/>
                <w:szCs w:val="20"/>
              </w:rPr>
              <w:t>Magma water content</w:t>
            </w:r>
          </w:p>
        </w:tc>
        <w:tc>
          <w:tcPr>
            <w:tcW w:w="1464" w:type="dxa"/>
          </w:tcPr>
          <w:p w:rsidR="00744515" w:rsidRDefault="00744515" w:rsidP="008D0D46">
            <w:pPr>
              <w:widowControl w:val="0"/>
              <w:spacing w:before="240"/>
              <w:jc w:val="both"/>
              <w:rPr>
                <w:color w:val="000000"/>
                <w:sz w:val="20"/>
                <w:szCs w:val="20"/>
              </w:rPr>
            </w:pPr>
            <w:proofErr w:type="spellStart"/>
            <w:r>
              <w:rPr>
                <w:color w:val="000000"/>
                <w:sz w:val="20"/>
                <w:szCs w:val="20"/>
              </w:rPr>
              <w:t>wt</w:t>
            </w:r>
            <w:proofErr w:type="spellEnd"/>
            <w:r>
              <w:rPr>
                <w:color w:val="000000"/>
                <w:sz w:val="20"/>
                <w:szCs w:val="20"/>
              </w:rPr>
              <w:t>%</w:t>
            </w:r>
          </w:p>
        </w:tc>
        <w:tc>
          <w:tcPr>
            <w:tcW w:w="1463" w:type="dxa"/>
          </w:tcPr>
          <w:p w:rsidR="00744515" w:rsidRDefault="00744515" w:rsidP="008D0D46">
            <w:pPr>
              <w:widowControl w:val="0"/>
              <w:spacing w:before="240"/>
              <w:jc w:val="both"/>
              <w:rPr>
                <w:color w:val="000000"/>
                <w:sz w:val="20"/>
                <w:szCs w:val="20"/>
              </w:rPr>
            </w:pPr>
            <w:r>
              <w:rPr>
                <w:color w:val="000000"/>
                <w:sz w:val="20"/>
                <w:szCs w:val="20"/>
              </w:rPr>
              <w:t>6.5</w:t>
            </w:r>
          </w:p>
        </w:tc>
        <w:tc>
          <w:tcPr>
            <w:tcW w:w="3159" w:type="dxa"/>
          </w:tcPr>
          <w:p w:rsidR="00744515" w:rsidRDefault="00744515" w:rsidP="008D0D46">
            <w:pPr>
              <w:widowControl w:val="0"/>
              <w:spacing w:before="240"/>
              <w:jc w:val="both"/>
              <w:rPr>
                <w:color w:val="000000"/>
                <w:sz w:val="20"/>
                <w:szCs w:val="20"/>
              </w:rPr>
            </w:pPr>
            <w:proofErr w:type="spellStart"/>
            <w:r>
              <w:rPr>
                <w:color w:val="000000"/>
                <w:sz w:val="20"/>
                <w:szCs w:val="20"/>
              </w:rPr>
              <w:t>Cant</w:t>
            </w:r>
            <w:r w:rsidR="00C10DD0">
              <w:rPr>
                <w:color w:val="000000"/>
                <w:sz w:val="20"/>
                <w:szCs w:val="20"/>
              </w:rPr>
              <w:t>n</w:t>
            </w:r>
            <w:r>
              <w:rPr>
                <w:color w:val="000000"/>
                <w:sz w:val="20"/>
                <w:szCs w:val="20"/>
              </w:rPr>
              <w:t>er</w:t>
            </w:r>
            <w:proofErr w:type="spellEnd"/>
            <w:r>
              <w:rPr>
                <w:color w:val="000000"/>
                <w:sz w:val="20"/>
                <w:szCs w:val="20"/>
              </w:rPr>
              <w:t xml:space="preserve"> et al. (2014)</w:t>
            </w:r>
          </w:p>
        </w:tc>
      </w:tr>
      <w:tr w:rsidR="00744515" w:rsidTr="008D0D46">
        <w:trPr>
          <w:trHeight w:val="300"/>
        </w:trPr>
        <w:tc>
          <w:tcPr>
            <w:tcW w:w="1464" w:type="dxa"/>
          </w:tcPr>
          <w:p w:rsidR="00744515" w:rsidRDefault="00744515" w:rsidP="008D0D46">
            <w:pPr>
              <w:widowControl w:val="0"/>
              <w:spacing w:before="240"/>
              <w:jc w:val="both"/>
              <w:rPr>
                <w:color w:val="000000"/>
                <w:sz w:val="20"/>
                <w:szCs w:val="20"/>
              </w:rPr>
            </w:pPr>
            <w:r>
              <w:rPr>
                <w:color w:val="000000"/>
                <w:sz w:val="20"/>
                <w:szCs w:val="20"/>
              </w:rPr>
              <w:t>Particle size distribution</w:t>
            </w:r>
          </w:p>
        </w:tc>
        <w:tc>
          <w:tcPr>
            <w:tcW w:w="1464" w:type="dxa"/>
          </w:tcPr>
          <w:p w:rsidR="00744515" w:rsidRDefault="00744515" w:rsidP="008D0D46">
            <w:pPr>
              <w:widowControl w:val="0"/>
              <w:spacing w:before="240"/>
              <w:jc w:val="both"/>
              <w:rPr>
                <w:color w:val="000000"/>
                <w:sz w:val="20"/>
                <w:szCs w:val="20"/>
              </w:rPr>
            </w:pPr>
            <w:r>
              <w:rPr>
                <w:color w:val="000000"/>
                <w:sz w:val="20"/>
                <w:szCs w:val="20"/>
              </w:rPr>
              <w:t>φ</w:t>
            </w:r>
          </w:p>
        </w:tc>
        <w:tc>
          <w:tcPr>
            <w:tcW w:w="1463" w:type="dxa"/>
          </w:tcPr>
          <w:p w:rsidR="00744515" w:rsidRDefault="00744515" w:rsidP="008D0D46">
            <w:pPr>
              <w:widowControl w:val="0"/>
              <w:spacing w:before="240"/>
              <w:jc w:val="both"/>
              <w:rPr>
                <w:color w:val="000000"/>
                <w:sz w:val="20"/>
                <w:szCs w:val="20"/>
              </w:rPr>
            </w:pPr>
            <w:r>
              <w:rPr>
                <w:color w:val="000000"/>
                <w:sz w:val="20"/>
                <w:szCs w:val="20"/>
              </w:rPr>
              <w:t>median 0</w:t>
            </w:r>
          </w:p>
          <w:p w:rsidR="00744515" w:rsidRDefault="00744515" w:rsidP="008D0D46">
            <w:pPr>
              <w:widowControl w:val="0"/>
              <w:spacing w:before="240"/>
              <w:jc w:val="both"/>
              <w:rPr>
                <w:color w:val="000000"/>
                <w:sz w:val="20"/>
                <w:szCs w:val="20"/>
              </w:rPr>
            </w:pPr>
            <w:proofErr w:type="spellStart"/>
            <w:r>
              <w:rPr>
                <w:color w:val="000000"/>
                <w:sz w:val="20"/>
                <w:szCs w:val="20"/>
              </w:rPr>
              <w:t>std</w:t>
            </w:r>
            <w:proofErr w:type="spellEnd"/>
            <w:r>
              <w:rPr>
                <w:color w:val="000000"/>
                <w:sz w:val="20"/>
                <w:szCs w:val="20"/>
              </w:rPr>
              <w:t xml:space="preserve"> 2.5</w:t>
            </w:r>
          </w:p>
        </w:tc>
        <w:tc>
          <w:tcPr>
            <w:tcW w:w="3159" w:type="dxa"/>
          </w:tcPr>
          <w:p w:rsidR="00744515" w:rsidRDefault="00744515" w:rsidP="008D0D46">
            <w:pPr>
              <w:widowControl w:val="0"/>
              <w:spacing w:before="240"/>
              <w:jc w:val="both"/>
              <w:rPr>
                <w:color w:val="000000"/>
                <w:sz w:val="20"/>
                <w:szCs w:val="20"/>
              </w:rPr>
            </w:pPr>
            <w:r>
              <w:rPr>
                <w:color w:val="000000"/>
                <w:sz w:val="20"/>
                <w:szCs w:val="20"/>
              </w:rPr>
              <w:t>Modified from Jenkins et al. (2015)</w:t>
            </w:r>
          </w:p>
        </w:tc>
      </w:tr>
      <w:tr w:rsidR="00744515" w:rsidTr="008D0D46">
        <w:trPr>
          <w:trHeight w:val="300"/>
        </w:trPr>
        <w:tc>
          <w:tcPr>
            <w:tcW w:w="1464" w:type="dxa"/>
            <w:tcBorders>
              <w:bottom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Particle density</w:t>
            </w:r>
          </w:p>
        </w:tc>
        <w:tc>
          <w:tcPr>
            <w:tcW w:w="1464" w:type="dxa"/>
            <w:tcBorders>
              <w:bottom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km</w:t>
            </w:r>
          </w:p>
        </w:tc>
        <w:tc>
          <w:tcPr>
            <w:tcW w:w="1463" w:type="dxa"/>
            <w:tcBorders>
              <w:bottom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2300</w:t>
            </w:r>
          </w:p>
        </w:tc>
        <w:tc>
          <w:tcPr>
            <w:tcW w:w="3159" w:type="dxa"/>
            <w:tcBorders>
              <w:bottom w:val="single" w:sz="4" w:space="0" w:color="000000"/>
            </w:tcBorders>
          </w:tcPr>
          <w:p w:rsidR="00744515" w:rsidRDefault="00744515" w:rsidP="008D0D46">
            <w:pPr>
              <w:widowControl w:val="0"/>
              <w:spacing w:before="240"/>
              <w:jc w:val="both"/>
              <w:rPr>
                <w:color w:val="000000"/>
                <w:sz w:val="20"/>
                <w:szCs w:val="20"/>
              </w:rPr>
            </w:pPr>
            <w:r>
              <w:rPr>
                <w:color w:val="000000"/>
                <w:sz w:val="20"/>
                <w:szCs w:val="20"/>
              </w:rPr>
              <w:t>Jenkins et al. (2015)</w:t>
            </w:r>
          </w:p>
        </w:tc>
      </w:tr>
    </w:tbl>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spacing w:line="360" w:lineRule="auto"/>
        <w:jc w:val="both"/>
        <w:rPr>
          <w:color w:val="000000"/>
          <w:sz w:val="20"/>
          <w:szCs w:val="20"/>
        </w:rPr>
      </w:pPr>
      <w:r>
        <w:rPr>
          <w:b/>
          <w:color w:val="000000"/>
        </w:rPr>
        <w:t>Table S2</w:t>
      </w:r>
      <w:r>
        <w:rPr>
          <w:color w:val="000000"/>
          <w:sz w:val="20"/>
          <w:szCs w:val="20"/>
        </w:rPr>
        <w:t xml:space="preserve"> Setting of the numerical models for eruption column and tephra dispersal and deposition.</w:t>
      </w:r>
    </w:p>
    <w:p w:rsidR="00744515" w:rsidRDefault="00744515" w:rsidP="00744515">
      <w:pPr>
        <w:jc w:val="both"/>
      </w:pPr>
    </w:p>
    <w:tbl>
      <w:tblPr>
        <w:tblW w:w="9345" w:type="dxa"/>
        <w:tblInd w:w="-126" w:type="dxa"/>
        <w:tblLayout w:type="fixed"/>
        <w:tblCellMar>
          <w:top w:w="30" w:type="dxa"/>
          <w:left w:w="45" w:type="dxa"/>
          <w:bottom w:w="30" w:type="dxa"/>
          <w:right w:w="45" w:type="dxa"/>
        </w:tblCellMar>
        <w:tblLook w:val="0600" w:firstRow="0" w:lastRow="0" w:firstColumn="0" w:lastColumn="0" w:noHBand="1" w:noVBand="1"/>
      </w:tblPr>
      <w:tblGrid>
        <w:gridCol w:w="3735"/>
        <w:gridCol w:w="5610"/>
      </w:tblGrid>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shd w:val="clear" w:color="auto" w:fill="999999"/>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Eruption parameters (source term)</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Vent latitude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FB715F">
            <w:pPr>
              <w:widowControl w:val="0"/>
              <w:jc w:val="both"/>
              <w:rPr>
                <w:rFonts w:ascii="Arial" w:eastAsia="Arial" w:hAnsi="Arial" w:cs="Arial"/>
                <w:sz w:val="20"/>
                <w:szCs w:val="20"/>
              </w:rPr>
            </w:pPr>
            <w:r>
              <w:rPr>
                <w:rFonts w:ascii="Arial" w:eastAsia="Arial" w:hAnsi="Arial" w:cs="Arial"/>
                <w:sz w:val="20"/>
                <w:szCs w:val="20"/>
              </w:rPr>
              <w:t>36</w:t>
            </w:r>
            <w:r w:rsidR="00FB715F">
              <w:rPr>
                <w:rFonts w:ascii="Arial" w:eastAsia="Arial" w:hAnsi="Arial" w:cs="Arial"/>
                <w:sz w:val="20"/>
                <w:szCs w:val="20"/>
              </w:rPr>
              <w:t>.</w:t>
            </w:r>
            <w:r>
              <w:rPr>
                <w:rFonts w:ascii="Arial" w:eastAsia="Arial" w:hAnsi="Arial" w:cs="Arial"/>
                <w:sz w:val="20"/>
                <w:szCs w:val="20"/>
              </w:rPr>
              <w:t>5166°N</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Vent longitude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FB715F" w:rsidP="008D0D46">
            <w:pPr>
              <w:widowControl w:val="0"/>
              <w:jc w:val="both"/>
              <w:rPr>
                <w:rFonts w:ascii="Arial" w:eastAsia="Arial" w:hAnsi="Arial" w:cs="Arial"/>
                <w:sz w:val="20"/>
                <w:szCs w:val="20"/>
              </w:rPr>
            </w:pPr>
            <w:r>
              <w:rPr>
                <w:rFonts w:ascii="Arial" w:eastAsia="Arial" w:hAnsi="Arial" w:cs="Arial"/>
                <w:sz w:val="20"/>
                <w:szCs w:val="20"/>
              </w:rPr>
              <w:t>25.</w:t>
            </w:r>
            <w:r w:rsidR="00744515">
              <w:rPr>
                <w:rFonts w:ascii="Arial" w:eastAsia="Arial" w:hAnsi="Arial" w:cs="Arial"/>
                <w:sz w:val="20"/>
                <w:szCs w:val="20"/>
              </w:rPr>
              <w:t>4916°E</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Vent elevation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0.</w:t>
            </w:r>
            <w:r w:rsidR="00744515">
              <w:rPr>
                <w:rFonts w:ascii="Arial" w:eastAsia="Arial" w:hAnsi="Arial" w:cs="Arial"/>
                <w:sz w:val="20"/>
                <w:szCs w:val="20"/>
              </w:rPr>
              <w:t>0</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Mixture temperature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1023.</w:t>
            </w:r>
            <w:r w:rsidR="00744515">
              <w:rPr>
                <w:rFonts w:ascii="Arial" w:eastAsia="Arial" w:hAnsi="Arial" w:cs="Arial"/>
                <w:sz w:val="20"/>
                <w:szCs w:val="20"/>
              </w:rPr>
              <w:t>0 K</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Exit velocity</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200.</w:t>
            </w:r>
            <w:r w:rsidR="00744515">
              <w:rPr>
                <w:rFonts w:ascii="Arial" w:eastAsia="Arial" w:hAnsi="Arial" w:cs="Arial"/>
                <w:sz w:val="20"/>
                <w:szCs w:val="20"/>
              </w:rPr>
              <w:t>0 m/s</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Water mass fraction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From elicitation results</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Particle Density</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2300.</w:t>
            </w:r>
            <w:r w:rsidR="00744515">
              <w:rPr>
                <w:rFonts w:ascii="Arial" w:eastAsia="Arial" w:hAnsi="Arial" w:cs="Arial"/>
                <w:sz w:val="20"/>
                <w:szCs w:val="20"/>
              </w:rPr>
              <w:t>0 kg/m3</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Particle specific heat</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1100 J/</w:t>
            </w:r>
            <w:proofErr w:type="spellStart"/>
            <w:r>
              <w:rPr>
                <w:rFonts w:ascii="Arial" w:eastAsia="Arial" w:hAnsi="Arial" w:cs="Arial"/>
                <w:sz w:val="20"/>
                <w:szCs w:val="20"/>
              </w:rPr>
              <w:t>kgK</w:t>
            </w:r>
            <w:proofErr w:type="spellEnd"/>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Particle </w:t>
            </w:r>
            <w:proofErr w:type="spellStart"/>
            <w:r>
              <w:rPr>
                <w:rFonts w:ascii="Arial" w:eastAsia="Arial" w:hAnsi="Arial" w:cs="Arial"/>
                <w:sz w:val="20"/>
                <w:szCs w:val="20"/>
              </w:rPr>
              <w:t>shapefactor</w:t>
            </w:r>
            <w:proofErr w:type="spellEnd"/>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0.</w:t>
            </w:r>
            <w:r w:rsidR="00744515">
              <w:rPr>
                <w:rFonts w:ascii="Arial" w:eastAsia="Arial" w:hAnsi="Arial" w:cs="Arial"/>
                <w:sz w:val="20"/>
                <w:szCs w:val="20"/>
              </w:rPr>
              <w:t>8</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Sedimentation model</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proofErr w:type="spellStart"/>
            <w:r>
              <w:rPr>
                <w:rFonts w:ascii="Arial" w:eastAsia="Arial" w:hAnsi="Arial" w:cs="Arial"/>
                <w:sz w:val="20"/>
                <w:szCs w:val="20"/>
              </w:rPr>
              <w:t>Ganser</w:t>
            </w:r>
            <w:proofErr w:type="spellEnd"/>
            <w:r>
              <w:rPr>
                <w:rFonts w:ascii="Arial" w:eastAsia="Arial" w:hAnsi="Arial" w:cs="Arial"/>
                <w:sz w:val="20"/>
                <w:szCs w:val="20"/>
              </w:rPr>
              <w:t xml:space="preserve"> (1993)</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Mass flow rate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From elicitation results</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Plume height</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From elicitation results</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Eruption duration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From elicitation results</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Particle vertical distribution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From results of column model PLUME-</w:t>
            </w:r>
            <w:proofErr w:type="spellStart"/>
            <w:r>
              <w:rPr>
                <w:rFonts w:ascii="Arial" w:eastAsia="Arial" w:hAnsi="Arial" w:cs="Arial"/>
                <w:sz w:val="20"/>
                <w:szCs w:val="20"/>
              </w:rPr>
              <w:t>MoM</w:t>
            </w:r>
            <w:proofErr w:type="spellEnd"/>
            <w:r>
              <w:rPr>
                <w:rFonts w:ascii="Arial" w:eastAsia="Arial" w:hAnsi="Arial" w:cs="Arial"/>
                <w:sz w:val="20"/>
                <w:szCs w:val="20"/>
              </w:rPr>
              <w:t>-TSM</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Total Grain Size Distribution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mean value 0 phi</w:t>
            </w:r>
            <w:r>
              <w:br/>
            </w:r>
            <w:proofErr w:type="spellStart"/>
            <w:r>
              <w:rPr>
                <w:rFonts w:ascii="Arial" w:eastAsia="Arial" w:hAnsi="Arial" w:cs="Arial"/>
                <w:sz w:val="20"/>
                <w:szCs w:val="20"/>
              </w:rPr>
              <w:t>standar</w:t>
            </w:r>
            <w:proofErr w:type="spellEnd"/>
            <w:r>
              <w:rPr>
                <w:rFonts w:ascii="Arial" w:eastAsia="Arial" w:hAnsi="Arial" w:cs="Arial"/>
                <w:sz w:val="20"/>
                <w:szCs w:val="20"/>
              </w:rPr>
              <w:t xml:space="preserve"> deviation 2,5 phi</w:t>
            </w:r>
          </w:p>
        </w:tc>
      </w:tr>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shd w:val="clear" w:color="auto" w:fill="999999"/>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HYSPLIT setting</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Model top</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2C6E88">
            <w:pPr>
              <w:widowControl w:val="0"/>
              <w:jc w:val="both"/>
              <w:rPr>
                <w:rFonts w:ascii="Arial" w:eastAsia="Arial" w:hAnsi="Arial" w:cs="Arial"/>
                <w:sz w:val="20"/>
                <w:szCs w:val="20"/>
              </w:rPr>
            </w:pPr>
            <w:r>
              <w:rPr>
                <w:rFonts w:ascii="Arial" w:eastAsia="Arial" w:hAnsi="Arial" w:cs="Arial"/>
                <w:sz w:val="20"/>
                <w:szCs w:val="20"/>
              </w:rPr>
              <w:t>40000</w:t>
            </w:r>
            <w:r w:rsidR="002C6E88">
              <w:rPr>
                <w:rFonts w:ascii="Arial" w:eastAsia="Arial" w:hAnsi="Arial" w:cs="Arial"/>
                <w:sz w:val="20"/>
                <w:szCs w:val="20"/>
              </w:rPr>
              <w:t>.</w:t>
            </w:r>
            <w:r>
              <w:rPr>
                <w:rFonts w:ascii="Arial" w:eastAsia="Arial" w:hAnsi="Arial" w:cs="Arial"/>
                <w:sz w:val="20"/>
                <w:szCs w:val="20"/>
              </w:rPr>
              <w:t>00 m</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Center latitude of the grid</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36.</w:t>
            </w:r>
            <w:r w:rsidR="00744515">
              <w:rPr>
                <w:rFonts w:ascii="Arial" w:eastAsia="Arial" w:hAnsi="Arial" w:cs="Arial"/>
                <w:sz w:val="20"/>
                <w:szCs w:val="20"/>
              </w:rPr>
              <w:t>5166°N</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Center latitude of the grid</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25.</w:t>
            </w:r>
            <w:r w:rsidR="00744515">
              <w:rPr>
                <w:rFonts w:ascii="Arial" w:eastAsia="Arial" w:hAnsi="Arial" w:cs="Arial"/>
                <w:sz w:val="20"/>
                <w:szCs w:val="20"/>
              </w:rPr>
              <w:t>4916°E</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span </w:t>
            </w:r>
            <w:proofErr w:type="spellStart"/>
            <w:r>
              <w:rPr>
                <w:rFonts w:ascii="Arial" w:eastAsia="Arial" w:hAnsi="Arial" w:cs="Arial"/>
                <w:sz w:val="20"/>
                <w:szCs w:val="20"/>
              </w:rPr>
              <w:t>lat</w:t>
            </w:r>
            <w:proofErr w:type="spellEnd"/>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5.</w:t>
            </w:r>
            <w:r w:rsidR="00744515">
              <w:rPr>
                <w:rFonts w:ascii="Arial" w:eastAsia="Arial" w:hAnsi="Arial" w:cs="Arial"/>
                <w:sz w:val="20"/>
                <w:szCs w:val="20"/>
              </w:rPr>
              <w:t>95°</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span </w:t>
            </w:r>
            <w:proofErr w:type="spellStart"/>
            <w:r>
              <w:rPr>
                <w:rFonts w:ascii="Arial" w:eastAsia="Arial" w:hAnsi="Arial" w:cs="Arial"/>
                <w:sz w:val="20"/>
                <w:szCs w:val="20"/>
              </w:rPr>
              <w:t>lon</w:t>
            </w:r>
            <w:proofErr w:type="spellEnd"/>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5.</w:t>
            </w:r>
            <w:r w:rsidR="00744515">
              <w:rPr>
                <w:rFonts w:ascii="Arial" w:eastAsia="Arial" w:hAnsi="Arial" w:cs="Arial"/>
                <w:sz w:val="20"/>
                <w:szCs w:val="20"/>
              </w:rPr>
              <w:t>95°</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Grid spacing</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2C6E88" w:rsidP="008D0D46">
            <w:pPr>
              <w:widowControl w:val="0"/>
              <w:jc w:val="both"/>
              <w:rPr>
                <w:rFonts w:ascii="Arial" w:eastAsia="Arial" w:hAnsi="Arial" w:cs="Arial"/>
                <w:sz w:val="20"/>
                <w:szCs w:val="20"/>
              </w:rPr>
            </w:pPr>
            <w:r>
              <w:rPr>
                <w:rFonts w:ascii="Arial" w:eastAsia="Arial" w:hAnsi="Arial" w:cs="Arial"/>
                <w:sz w:val="20"/>
                <w:szCs w:val="20"/>
              </w:rPr>
              <w:t>0.</w:t>
            </w:r>
            <w:r w:rsidR="00744515">
              <w:rPr>
                <w:rFonts w:ascii="Arial" w:eastAsia="Arial" w:hAnsi="Arial" w:cs="Arial"/>
                <w:sz w:val="20"/>
                <w:szCs w:val="20"/>
              </w:rPr>
              <w:t>05°</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Particle type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Horizontal puff - vertical particle</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Run duration</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24 h from the end of the eruption</w:t>
            </w:r>
          </w:p>
        </w:tc>
      </w:tr>
      <w:tr w:rsidR="00744515" w:rsidTr="008D0D46">
        <w:trPr>
          <w:trHeight w:val="315"/>
        </w:trPr>
        <w:tc>
          <w:tcPr>
            <w:tcW w:w="3735" w:type="dxa"/>
            <w:vMerge w:val="restart"/>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Integration time step</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1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&lt;= 1 phi</w:t>
            </w:r>
          </w:p>
        </w:tc>
      </w:tr>
      <w:tr w:rsidR="00744515" w:rsidTr="008D0D46">
        <w:trPr>
          <w:trHeight w:val="315"/>
        </w:trPr>
        <w:tc>
          <w:tcPr>
            <w:tcW w:w="3735" w:type="dxa"/>
            <w:vMerge/>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spacing w:after="0"/>
              <w:jc w:val="both"/>
              <w:rPr>
                <w:rFonts w:ascii="Arial" w:eastAsia="Arial" w:hAnsi="Arial" w:cs="Arial"/>
                <w:sz w:val="20"/>
                <w:szCs w:val="20"/>
              </w:rPr>
            </w:pP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10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&gt; 1 phi and </w:t>
            </w:r>
            <w:proofErr w:type="spellStart"/>
            <w:r>
              <w:rPr>
                <w:rFonts w:ascii="Arial" w:eastAsia="Arial" w:hAnsi="Arial" w:cs="Arial"/>
                <w:sz w:val="20"/>
                <w:szCs w:val="20"/>
              </w:rPr>
              <w:t>diam</w:t>
            </w:r>
            <w:proofErr w:type="spellEnd"/>
            <w:r>
              <w:rPr>
                <w:rFonts w:ascii="Arial" w:eastAsia="Arial" w:hAnsi="Arial" w:cs="Arial"/>
                <w:sz w:val="20"/>
                <w:szCs w:val="20"/>
              </w:rPr>
              <w:t xml:space="preserve"> &lt;= 4 phi,</w:t>
            </w:r>
          </w:p>
        </w:tc>
      </w:tr>
      <w:tr w:rsidR="00744515" w:rsidTr="008D0D46">
        <w:trPr>
          <w:trHeight w:val="315"/>
        </w:trPr>
        <w:tc>
          <w:tcPr>
            <w:tcW w:w="3735" w:type="dxa"/>
            <w:vMerge/>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spacing w:after="0"/>
              <w:jc w:val="both"/>
              <w:rPr>
                <w:rFonts w:ascii="Arial" w:eastAsia="Arial" w:hAnsi="Arial" w:cs="Arial"/>
                <w:sz w:val="20"/>
                <w:szCs w:val="20"/>
              </w:rPr>
            </w:pP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30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&gt; 4 phi</w:t>
            </w:r>
          </w:p>
        </w:tc>
      </w:tr>
      <w:tr w:rsidR="00744515" w:rsidTr="008D0D46">
        <w:trPr>
          <w:trHeight w:val="315"/>
        </w:trPr>
        <w:tc>
          <w:tcPr>
            <w:tcW w:w="3735"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Sampling Interval type</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0</w:t>
            </w:r>
          </w:p>
        </w:tc>
      </w:tr>
      <w:tr w:rsidR="00744515" w:rsidTr="008D0D46">
        <w:trPr>
          <w:trHeight w:val="315"/>
        </w:trPr>
        <w:tc>
          <w:tcPr>
            <w:tcW w:w="3735" w:type="dxa"/>
            <w:vMerge w:val="restart"/>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Sampling Interval frequency</w:t>
            </w: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10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&lt;= 1 phi</w:t>
            </w:r>
          </w:p>
        </w:tc>
      </w:tr>
      <w:tr w:rsidR="00744515" w:rsidTr="008D0D46">
        <w:trPr>
          <w:trHeight w:val="315"/>
        </w:trPr>
        <w:tc>
          <w:tcPr>
            <w:tcW w:w="3735" w:type="dxa"/>
            <w:vMerge/>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spacing w:after="0"/>
              <w:jc w:val="both"/>
              <w:rPr>
                <w:rFonts w:ascii="Arial" w:eastAsia="Arial" w:hAnsi="Arial" w:cs="Arial"/>
                <w:sz w:val="20"/>
                <w:szCs w:val="20"/>
              </w:rPr>
            </w:pP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10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&gt; 1 phi and </w:t>
            </w:r>
            <w:proofErr w:type="spellStart"/>
            <w:r>
              <w:rPr>
                <w:rFonts w:ascii="Arial" w:eastAsia="Arial" w:hAnsi="Arial" w:cs="Arial"/>
                <w:sz w:val="20"/>
                <w:szCs w:val="20"/>
              </w:rPr>
              <w:t>diam</w:t>
            </w:r>
            <w:proofErr w:type="spellEnd"/>
            <w:r>
              <w:rPr>
                <w:rFonts w:ascii="Arial" w:eastAsia="Arial" w:hAnsi="Arial" w:cs="Arial"/>
                <w:sz w:val="20"/>
                <w:szCs w:val="20"/>
              </w:rPr>
              <w:t xml:space="preserve"> &lt;= 4 phi,</w:t>
            </w:r>
          </w:p>
        </w:tc>
      </w:tr>
      <w:tr w:rsidR="00744515" w:rsidTr="008D0D46">
        <w:trPr>
          <w:trHeight w:val="315"/>
        </w:trPr>
        <w:tc>
          <w:tcPr>
            <w:tcW w:w="3735" w:type="dxa"/>
            <w:vMerge/>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spacing w:after="0"/>
              <w:jc w:val="both"/>
              <w:rPr>
                <w:rFonts w:ascii="Arial" w:eastAsia="Arial" w:hAnsi="Arial" w:cs="Arial"/>
                <w:sz w:val="20"/>
                <w:szCs w:val="20"/>
              </w:rPr>
            </w:pPr>
          </w:p>
        </w:tc>
        <w:tc>
          <w:tcPr>
            <w:tcW w:w="5610" w:type="dxa"/>
            <w:tcBorders>
              <w:top w:val="single" w:sz="6" w:space="0" w:color="CCCCCC"/>
              <w:left w:val="single" w:sz="6" w:space="0" w:color="CCCCCC"/>
              <w:bottom w:val="single" w:sz="6" w:space="0" w:color="CCCCCC"/>
              <w:right w:val="single" w:sz="6" w:space="0" w:color="CCCCCC"/>
            </w:tcBorders>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 xml:space="preserve">30 min for </w:t>
            </w:r>
            <w:proofErr w:type="spellStart"/>
            <w:r>
              <w:rPr>
                <w:rFonts w:ascii="Arial" w:eastAsia="Arial" w:hAnsi="Arial" w:cs="Arial"/>
                <w:sz w:val="20"/>
                <w:szCs w:val="20"/>
              </w:rPr>
              <w:t>diam</w:t>
            </w:r>
            <w:proofErr w:type="spellEnd"/>
            <w:r>
              <w:rPr>
                <w:rFonts w:ascii="Arial" w:eastAsia="Arial" w:hAnsi="Arial" w:cs="Arial"/>
                <w:sz w:val="20"/>
                <w:szCs w:val="20"/>
              </w:rPr>
              <w:t xml:space="preserve"> &gt; 4 phi</w:t>
            </w:r>
          </w:p>
        </w:tc>
      </w:tr>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shd w:val="clear" w:color="auto" w:fill="999999"/>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Meteorological dataset</w:t>
            </w:r>
          </w:p>
        </w:tc>
      </w:tr>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tcMar>
              <w:left w:w="108" w:type="dxa"/>
              <w:right w:w="108" w:type="dxa"/>
            </w:tcMar>
            <w:vAlign w:val="bottom"/>
          </w:tcPr>
          <w:p w:rsidR="00744515" w:rsidRDefault="00744515" w:rsidP="008D0D46">
            <w:pPr>
              <w:widowControl w:val="0"/>
              <w:jc w:val="both"/>
            </w:pPr>
            <w:r>
              <w:rPr>
                <w:rFonts w:ascii="Arial" w:eastAsia="Arial" w:hAnsi="Arial" w:cs="Arial"/>
                <w:sz w:val="20"/>
                <w:szCs w:val="20"/>
              </w:rPr>
              <w:t xml:space="preserve">ECMWF ERA5, hourly data on 37 pressure </w:t>
            </w:r>
            <w:r w:rsidR="002C6E88">
              <w:rPr>
                <w:rFonts w:ascii="Arial" w:eastAsia="Arial" w:hAnsi="Arial" w:cs="Arial"/>
                <w:sz w:val="20"/>
                <w:szCs w:val="20"/>
              </w:rPr>
              <w:t>levels, horizontal resolution 0.25° x 0.</w:t>
            </w:r>
            <w:r>
              <w:rPr>
                <w:rFonts w:ascii="Arial" w:eastAsia="Arial" w:hAnsi="Arial" w:cs="Arial"/>
                <w:sz w:val="20"/>
                <w:szCs w:val="20"/>
              </w:rPr>
              <w:t>25°</w:t>
            </w:r>
          </w:p>
        </w:tc>
      </w:tr>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shd w:val="clear" w:color="auto" w:fill="999999"/>
            <w:vAlign w:val="bottom"/>
          </w:tcPr>
          <w:p w:rsidR="00744515" w:rsidRDefault="00744515" w:rsidP="008D0D46">
            <w:pPr>
              <w:widowControl w:val="0"/>
              <w:jc w:val="both"/>
              <w:rPr>
                <w:rFonts w:ascii="Arial" w:eastAsia="Arial" w:hAnsi="Arial" w:cs="Arial"/>
                <w:sz w:val="20"/>
                <w:szCs w:val="20"/>
              </w:rPr>
            </w:pPr>
            <w:r>
              <w:rPr>
                <w:rFonts w:ascii="Arial" w:eastAsia="Arial" w:hAnsi="Arial" w:cs="Arial"/>
                <w:sz w:val="20"/>
                <w:szCs w:val="20"/>
              </w:rPr>
              <w:t>Ensemble definition and run</w:t>
            </w:r>
          </w:p>
        </w:tc>
      </w:tr>
      <w:tr w:rsidR="00744515" w:rsidTr="008D0D46">
        <w:trPr>
          <w:trHeight w:val="315"/>
        </w:trPr>
        <w:tc>
          <w:tcPr>
            <w:tcW w:w="9345" w:type="dxa"/>
            <w:gridSpan w:val="2"/>
            <w:tcBorders>
              <w:top w:val="single" w:sz="6" w:space="0" w:color="CCCCCC"/>
              <w:left w:val="single" w:sz="6" w:space="0" w:color="CCCCCC"/>
              <w:bottom w:val="single" w:sz="6" w:space="0" w:color="CCCCCC"/>
              <w:right w:val="single" w:sz="6" w:space="0" w:color="CCCCCC"/>
            </w:tcBorders>
            <w:tcMar>
              <w:left w:w="108" w:type="dxa"/>
              <w:right w:w="108" w:type="dxa"/>
            </w:tcMar>
            <w:vAlign w:val="bottom"/>
          </w:tcPr>
          <w:p w:rsidR="00744515" w:rsidRDefault="00744515" w:rsidP="008D0D46">
            <w:pPr>
              <w:widowControl w:val="0"/>
              <w:jc w:val="both"/>
            </w:pPr>
            <w:r>
              <w:rPr>
                <w:rFonts w:ascii="Arial" w:eastAsia="Arial" w:hAnsi="Arial" w:cs="Arial"/>
                <w:sz w:val="20"/>
                <w:szCs w:val="20"/>
              </w:rPr>
              <w:t xml:space="preserve">Numerical runs were performed on 192 processors at the computer facilities </w:t>
            </w:r>
            <w:r>
              <w:br/>
            </w:r>
            <w:r>
              <w:rPr>
                <w:rFonts w:ascii="Arial" w:eastAsia="Arial" w:hAnsi="Arial" w:cs="Arial"/>
                <w:sz w:val="20"/>
                <w:szCs w:val="20"/>
              </w:rPr>
              <w:t xml:space="preserve">of INGV - </w:t>
            </w:r>
            <w:proofErr w:type="spellStart"/>
            <w:r>
              <w:rPr>
                <w:rFonts w:ascii="Arial" w:eastAsia="Arial" w:hAnsi="Arial" w:cs="Arial"/>
                <w:sz w:val="20"/>
                <w:szCs w:val="20"/>
              </w:rPr>
              <w:t>Sezione</w:t>
            </w:r>
            <w:proofErr w:type="spellEnd"/>
            <w:r>
              <w:rPr>
                <w:rFonts w:ascii="Arial" w:eastAsia="Arial" w:hAnsi="Arial" w:cs="Arial"/>
                <w:sz w:val="20"/>
                <w:szCs w:val="20"/>
              </w:rPr>
              <w:t xml:space="preserve"> di Pisa.</w:t>
            </w:r>
          </w:p>
        </w:tc>
      </w:tr>
    </w:tbl>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jc w:val="both"/>
      </w:pPr>
    </w:p>
    <w:p w:rsidR="00744515" w:rsidRDefault="00744515" w:rsidP="00744515">
      <w:pPr>
        <w:spacing w:line="360" w:lineRule="auto"/>
        <w:jc w:val="both"/>
        <w:rPr>
          <w:sz w:val="20"/>
          <w:szCs w:val="20"/>
        </w:rPr>
      </w:pPr>
      <w:r>
        <w:rPr>
          <w:b/>
          <w:color w:val="000000"/>
        </w:rPr>
        <w:t>Table S3</w:t>
      </w:r>
      <w:r>
        <w:rPr>
          <w:color w:val="000000"/>
          <w:sz w:val="20"/>
          <w:szCs w:val="20"/>
        </w:rPr>
        <w:t xml:space="preserve"> </w:t>
      </w:r>
      <w:r>
        <w:rPr>
          <w:sz w:val="20"/>
          <w:szCs w:val="20"/>
        </w:rPr>
        <w:t xml:space="preserve">Footprint areas (in km²) for the contour curves of the three ground load values (1, 10, and 100 kg/m²) based on the runs shown in Fig. S2 and Fig. S3. The </w:t>
      </w:r>
      <w:r>
        <w:rPr>
          <w:i/>
          <w:sz w:val="20"/>
          <w:szCs w:val="20"/>
        </w:rPr>
        <w:t>50</w:t>
      </w:r>
      <w:r>
        <w:rPr>
          <w:i/>
          <w:sz w:val="20"/>
          <w:szCs w:val="20"/>
          <w:vertAlign w:val="superscript"/>
        </w:rPr>
        <w:t>th</w:t>
      </w:r>
      <w:r>
        <w:rPr>
          <w:i/>
          <w:sz w:val="20"/>
          <w:szCs w:val="20"/>
        </w:rPr>
        <w:t xml:space="preserve"> Run</w:t>
      </w:r>
      <w:r>
        <w:rPr>
          <w:sz w:val="20"/>
          <w:szCs w:val="20"/>
        </w:rPr>
        <w:t xml:space="preserve"> column refers to the run conducted with the median values of MER, eruption duration, and seawater content. The </w:t>
      </w:r>
      <w:r>
        <w:rPr>
          <w:i/>
          <w:sz w:val="20"/>
          <w:szCs w:val="20"/>
        </w:rPr>
        <w:t>5</w:t>
      </w:r>
      <w:r>
        <w:rPr>
          <w:i/>
          <w:sz w:val="20"/>
          <w:szCs w:val="20"/>
          <w:vertAlign w:val="superscript"/>
        </w:rPr>
        <w:t>th</w:t>
      </w:r>
      <w:r>
        <w:rPr>
          <w:i/>
          <w:sz w:val="20"/>
          <w:szCs w:val="20"/>
        </w:rPr>
        <w:t xml:space="preserve"> MER</w:t>
      </w:r>
      <w:r>
        <w:rPr>
          <w:sz w:val="20"/>
          <w:szCs w:val="20"/>
        </w:rPr>
        <w:t xml:space="preserve"> and </w:t>
      </w:r>
      <w:r>
        <w:rPr>
          <w:i/>
          <w:sz w:val="20"/>
          <w:szCs w:val="20"/>
        </w:rPr>
        <w:t>95</w:t>
      </w:r>
      <w:r>
        <w:rPr>
          <w:i/>
          <w:sz w:val="20"/>
          <w:szCs w:val="20"/>
          <w:vertAlign w:val="superscript"/>
        </w:rPr>
        <w:t>th</w:t>
      </w:r>
      <w:r>
        <w:rPr>
          <w:i/>
          <w:sz w:val="20"/>
          <w:szCs w:val="20"/>
        </w:rPr>
        <w:t xml:space="preserve"> MER</w:t>
      </w:r>
      <w:r>
        <w:rPr>
          <w:sz w:val="20"/>
          <w:szCs w:val="20"/>
        </w:rPr>
        <w:t xml:space="preserve"> columns correspond to runs conducted with the 5</w:t>
      </w:r>
      <w:r>
        <w:rPr>
          <w:sz w:val="20"/>
          <w:szCs w:val="20"/>
          <w:vertAlign w:val="superscript"/>
        </w:rPr>
        <w:t>th</w:t>
      </w:r>
      <w:r>
        <w:rPr>
          <w:sz w:val="20"/>
          <w:szCs w:val="20"/>
        </w:rPr>
        <w:t xml:space="preserve"> and 95</w:t>
      </w:r>
      <w:r>
        <w:rPr>
          <w:sz w:val="20"/>
          <w:szCs w:val="20"/>
          <w:vertAlign w:val="superscript"/>
        </w:rPr>
        <w:t>th</w:t>
      </w:r>
      <w:r>
        <w:rPr>
          <w:sz w:val="20"/>
          <w:szCs w:val="20"/>
        </w:rPr>
        <w:t xml:space="preserve"> percentiles of MER, respectively, while eruption duration and seawater content were kept at their median values. The </w:t>
      </w:r>
      <w:r>
        <w:rPr>
          <w:i/>
          <w:sz w:val="20"/>
          <w:szCs w:val="20"/>
        </w:rPr>
        <w:t>5</w:t>
      </w:r>
      <w:r>
        <w:rPr>
          <w:i/>
          <w:sz w:val="20"/>
          <w:szCs w:val="20"/>
          <w:vertAlign w:val="superscript"/>
        </w:rPr>
        <w:t>th</w:t>
      </w:r>
      <w:r>
        <w:rPr>
          <w:i/>
          <w:sz w:val="20"/>
          <w:szCs w:val="20"/>
        </w:rPr>
        <w:t xml:space="preserve"> Duration</w:t>
      </w:r>
      <w:r>
        <w:rPr>
          <w:sz w:val="20"/>
          <w:szCs w:val="20"/>
        </w:rPr>
        <w:t xml:space="preserve"> and </w:t>
      </w:r>
      <w:r>
        <w:rPr>
          <w:i/>
          <w:sz w:val="20"/>
          <w:szCs w:val="20"/>
        </w:rPr>
        <w:t>95</w:t>
      </w:r>
      <w:r>
        <w:rPr>
          <w:i/>
          <w:sz w:val="20"/>
          <w:szCs w:val="20"/>
          <w:vertAlign w:val="superscript"/>
        </w:rPr>
        <w:t>th</w:t>
      </w:r>
      <w:r>
        <w:rPr>
          <w:i/>
          <w:sz w:val="20"/>
          <w:szCs w:val="20"/>
        </w:rPr>
        <w:t xml:space="preserve"> Duration</w:t>
      </w:r>
      <w:r>
        <w:rPr>
          <w:sz w:val="20"/>
          <w:szCs w:val="20"/>
        </w:rPr>
        <w:t xml:space="preserve"> columns present footprint areas for runs conducted with the 5</w:t>
      </w:r>
      <w:r>
        <w:rPr>
          <w:sz w:val="20"/>
          <w:szCs w:val="20"/>
          <w:vertAlign w:val="superscript"/>
        </w:rPr>
        <w:t>th</w:t>
      </w:r>
      <w:r>
        <w:rPr>
          <w:sz w:val="20"/>
          <w:szCs w:val="20"/>
        </w:rPr>
        <w:t xml:space="preserve"> and 95</w:t>
      </w:r>
      <w:r>
        <w:rPr>
          <w:sz w:val="20"/>
          <w:szCs w:val="20"/>
          <w:vertAlign w:val="superscript"/>
        </w:rPr>
        <w:t>th</w:t>
      </w:r>
      <w:r>
        <w:rPr>
          <w:sz w:val="20"/>
          <w:szCs w:val="20"/>
        </w:rPr>
        <w:t xml:space="preserve"> percentiles of eruption duration, while MER and seawater content were held at their median values. Finally, the </w:t>
      </w:r>
      <w:r>
        <w:rPr>
          <w:i/>
          <w:sz w:val="20"/>
          <w:szCs w:val="20"/>
        </w:rPr>
        <w:t>5</w:t>
      </w:r>
      <w:r>
        <w:rPr>
          <w:i/>
          <w:sz w:val="20"/>
          <w:szCs w:val="20"/>
          <w:vertAlign w:val="superscript"/>
        </w:rPr>
        <w:t>th</w:t>
      </w:r>
      <w:r>
        <w:rPr>
          <w:i/>
          <w:sz w:val="20"/>
          <w:szCs w:val="20"/>
        </w:rPr>
        <w:t xml:space="preserve"> Seawater</w:t>
      </w:r>
      <w:r>
        <w:rPr>
          <w:sz w:val="20"/>
          <w:szCs w:val="20"/>
        </w:rPr>
        <w:t xml:space="preserve"> column indicates the run conducted with the 5</w:t>
      </w:r>
      <w:r>
        <w:rPr>
          <w:sz w:val="20"/>
          <w:szCs w:val="20"/>
          <w:vertAlign w:val="superscript"/>
        </w:rPr>
        <w:t>th</w:t>
      </w:r>
      <w:r>
        <w:rPr>
          <w:sz w:val="20"/>
          <w:szCs w:val="20"/>
        </w:rPr>
        <w:t xml:space="preserve"> percentile of seawater content, with MER and eruption duration kept at their median values. Note that the 95</w:t>
      </w:r>
      <w:r>
        <w:rPr>
          <w:sz w:val="20"/>
          <w:szCs w:val="20"/>
          <w:vertAlign w:val="superscript"/>
        </w:rPr>
        <w:t>th</w:t>
      </w:r>
      <w:r>
        <w:rPr>
          <w:sz w:val="20"/>
          <w:szCs w:val="20"/>
        </w:rPr>
        <w:t xml:space="preserve"> percentile seawater resulted in a collapsing column, and no fallout deposit was produced.</w:t>
      </w:r>
    </w:p>
    <w:p w:rsidR="00744515" w:rsidRDefault="00744515" w:rsidP="00744515">
      <w:pPr>
        <w:jc w:val="both"/>
      </w:pPr>
    </w:p>
    <w:tbl>
      <w:tblPr>
        <w:tblW w:w="9367" w:type="dxa"/>
        <w:tblInd w:w="-22" w:type="dxa"/>
        <w:tblLayout w:type="fixed"/>
        <w:tblCellMar>
          <w:top w:w="100" w:type="dxa"/>
          <w:left w:w="100" w:type="dxa"/>
          <w:bottom w:w="100" w:type="dxa"/>
          <w:right w:w="100" w:type="dxa"/>
        </w:tblCellMar>
        <w:tblLook w:val="0600" w:firstRow="0" w:lastRow="0" w:firstColumn="0" w:lastColumn="0" w:noHBand="1" w:noVBand="1"/>
      </w:tblPr>
      <w:tblGrid>
        <w:gridCol w:w="1482"/>
        <w:gridCol w:w="1183"/>
        <w:gridCol w:w="1183"/>
        <w:gridCol w:w="1319"/>
        <w:gridCol w:w="1356"/>
        <w:gridCol w:w="1514"/>
        <w:gridCol w:w="1330"/>
      </w:tblGrid>
      <w:tr w:rsidR="00744515" w:rsidTr="008D0D46">
        <w:trPr>
          <w:trHeight w:val="300"/>
        </w:trPr>
        <w:tc>
          <w:tcPr>
            <w:tcW w:w="1481"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b/>
                <w:color w:val="000000"/>
                <w:sz w:val="20"/>
                <w:szCs w:val="20"/>
              </w:rPr>
            </w:pPr>
            <w:r>
              <w:rPr>
                <w:b/>
                <w:color w:val="000000"/>
                <w:sz w:val="20"/>
                <w:szCs w:val="20"/>
              </w:rPr>
              <w:t>Ground load threshold (kg/m</w:t>
            </w:r>
            <w:r>
              <w:rPr>
                <w:b/>
                <w:color w:val="000000"/>
                <w:sz w:val="20"/>
                <w:szCs w:val="20"/>
                <w:vertAlign w:val="superscript"/>
              </w:rPr>
              <w:t>2</w:t>
            </w:r>
            <w:r>
              <w:rPr>
                <w:b/>
                <w:color w:val="000000"/>
                <w:sz w:val="20"/>
                <w:szCs w:val="20"/>
              </w:rPr>
              <w:t>)</w:t>
            </w:r>
          </w:p>
        </w:tc>
        <w:tc>
          <w:tcPr>
            <w:tcW w:w="7885" w:type="dxa"/>
            <w:gridSpan w:val="6"/>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b/>
                <w:color w:val="000000"/>
                <w:sz w:val="20"/>
                <w:szCs w:val="20"/>
              </w:rPr>
            </w:pPr>
            <w:r>
              <w:rPr>
                <w:b/>
                <w:color w:val="000000"/>
                <w:sz w:val="20"/>
                <w:szCs w:val="20"/>
              </w:rPr>
              <w:t>Footprint areas (km</w:t>
            </w:r>
            <w:r>
              <w:rPr>
                <w:b/>
                <w:color w:val="000000"/>
                <w:sz w:val="20"/>
                <w:szCs w:val="20"/>
                <w:vertAlign w:val="superscript"/>
              </w:rPr>
              <w:t>2</w:t>
            </w:r>
            <w:r>
              <w:rPr>
                <w:b/>
                <w:color w:val="000000"/>
                <w:sz w:val="20"/>
                <w:szCs w:val="20"/>
              </w:rPr>
              <w:t>)</w:t>
            </w:r>
          </w:p>
        </w:tc>
      </w:tr>
      <w:tr w:rsidR="00744515" w:rsidTr="008D0D46">
        <w:trPr>
          <w:trHeight w:val="300"/>
        </w:trPr>
        <w:tc>
          <w:tcPr>
            <w:tcW w:w="1481"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pP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50</w:t>
            </w:r>
            <w:r>
              <w:rPr>
                <w:i/>
                <w:color w:val="000000"/>
                <w:sz w:val="20"/>
                <w:szCs w:val="20"/>
                <w:vertAlign w:val="superscript"/>
              </w:rPr>
              <w:t>th</w:t>
            </w:r>
            <w:r>
              <w:rPr>
                <w:i/>
                <w:color w:val="000000"/>
                <w:sz w:val="20"/>
                <w:szCs w:val="20"/>
              </w:rPr>
              <w:t xml:space="preserve"> Run</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5</w:t>
            </w:r>
            <w:r>
              <w:rPr>
                <w:i/>
                <w:color w:val="000000"/>
                <w:sz w:val="20"/>
                <w:szCs w:val="20"/>
                <w:vertAlign w:val="superscript"/>
              </w:rPr>
              <w:t>th</w:t>
            </w:r>
            <w:r>
              <w:rPr>
                <w:i/>
                <w:color w:val="000000"/>
                <w:sz w:val="20"/>
                <w:szCs w:val="20"/>
              </w:rPr>
              <w:t xml:space="preserve"> MER</w:t>
            </w:r>
          </w:p>
        </w:tc>
        <w:tc>
          <w:tcPr>
            <w:tcW w:w="1319"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95</w:t>
            </w:r>
            <w:r>
              <w:rPr>
                <w:i/>
                <w:color w:val="000000"/>
                <w:sz w:val="20"/>
                <w:szCs w:val="20"/>
                <w:vertAlign w:val="superscript"/>
              </w:rPr>
              <w:t>th</w:t>
            </w:r>
            <w:r>
              <w:rPr>
                <w:i/>
                <w:color w:val="000000"/>
                <w:sz w:val="20"/>
                <w:szCs w:val="20"/>
              </w:rPr>
              <w:t xml:space="preserve">  MER</w:t>
            </w:r>
          </w:p>
        </w:tc>
        <w:tc>
          <w:tcPr>
            <w:tcW w:w="1356"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5</w:t>
            </w:r>
            <w:r>
              <w:rPr>
                <w:i/>
                <w:color w:val="000000"/>
                <w:sz w:val="20"/>
                <w:szCs w:val="20"/>
                <w:vertAlign w:val="superscript"/>
              </w:rPr>
              <w:t>th</w:t>
            </w:r>
            <w:r>
              <w:rPr>
                <w:i/>
                <w:color w:val="000000"/>
                <w:sz w:val="20"/>
                <w:szCs w:val="20"/>
              </w:rPr>
              <w:t xml:space="preserve"> Duration</w:t>
            </w:r>
          </w:p>
        </w:tc>
        <w:tc>
          <w:tcPr>
            <w:tcW w:w="151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95</w:t>
            </w:r>
            <w:r>
              <w:rPr>
                <w:i/>
                <w:color w:val="000000"/>
                <w:sz w:val="20"/>
                <w:szCs w:val="20"/>
                <w:vertAlign w:val="superscript"/>
              </w:rPr>
              <w:t>th</w:t>
            </w:r>
            <w:r>
              <w:rPr>
                <w:i/>
                <w:color w:val="000000"/>
                <w:sz w:val="20"/>
                <w:szCs w:val="20"/>
              </w:rPr>
              <w:t xml:space="preserve">  Duration</w:t>
            </w:r>
          </w:p>
        </w:tc>
        <w:tc>
          <w:tcPr>
            <w:tcW w:w="1330"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i/>
                <w:color w:val="000000"/>
                <w:sz w:val="20"/>
                <w:szCs w:val="20"/>
              </w:rPr>
            </w:pPr>
            <w:r>
              <w:rPr>
                <w:i/>
                <w:color w:val="000000"/>
                <w:sz w:val="20"/>
                <w:szCs w:val="20"/>
              </w:rPr>
              <w:t>5</w:t>
            </w:r>
            <w:r>
              <w:rPr>
                <w:i/>
                <w:color w:val="000000"/>
                <w:sz w:val="20"/>
                <w:szCs w:val="20"/>
                <w:vertAlign w:val="superscript"/>
              </w:rPr>
              <w:t>th</w:t>
            </w:r>
            <w:r>
              <w:rPr>
                <w:i/>
                <w:color w:val="000000"/>
                <w:sz w:val="20"/>
                <w:szCs w:val="20"/>
              </w:rPr>
              <w:t xml:space="preserve"> Seawater</w:t>
            </w:r>
          </w:p>
        </w:tc>
      </w:tr>
      <w:tr w:rsidR="00744515" w:rsidTr="008D0D46">
        <w:trPr>
          <w:trHeight w:val="300"/>
        </w:trPr>
        <w:tc>
          <w:tcPr>
            <w:tcW w:w="1481"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38,422</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17,031</w:t>
            </w:r>
          </w:p>
        </w:tc>
        <w:tc>
          <w:tcPr>
            <w:tcW w:w="1319"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291,024</w:t>
            </w:r>
          </w:p>
        </w:tc>
        <w:tc>
          <w:tcPr>
            <w:tcW w:w="1356"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28,777</w:t>
            </w:r>
          </w:p>
        </w:tc>
        <w:tc>
          <w:tcPr>
            <w:tcW w:w="151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53,475</w:t>
            </w:r>
          </w:p>
        </w:tc>
        <w:tc>
          <w:tcPr>
            <w:tcW w:w="1330"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38,669</w:t>
            </w:r>
          </w:p>
        </w:tc>
      </w:tr>
      <w:tr w:rsidR="00744515" w:rsidTr="008D0D46">
        <w:trPr>
          <w:trHeight w:val="300"/>
        </w:trPr>
        <w:tc>
          <w:tcPr>
            <w:tcW w:w="1481"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25,285</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5,502</w:t>
            </w:r>
          </w:p>
        </w:tc>
        <w:tc>
          <w:tcPr>
            <w:tcW w:w="1319"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183,702</w:t>
            </w:r>
          </w:p>
        </w:tc>
        <w:tc>
          <w:tcPr>
            <w:tcW w:w="1356"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10,849</w:t>
            </w:r>
          </w:p>
        </w:tc>
        <w:tc>
          <w:tcPr>
            <w:tcW w:w="151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38,793</w:t>
            </w:r>
          </w:p>
        </w:tc>
        <w:tc>
          <w:tcPr>
            <w:tcW w:w="1330"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25,965</w:t>
            </w:r>
          </w:p>
        </w:tc>
      </w:tr>
      <w:tr w:rsidR="00744515" w:rsidTr="008D0D46">
        <w:trPr>
          <w:trHeight w:val="300"/>
        </w:trPr>
        <w:tc>
          <w:tcPr>
            <w:tcW w:w="1481"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100</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6,151</w:t>
            </w:r>
          </w:p>
        </w:tc>
        <w:tc>
          <w:tcPr>
            <w:tcW w:w="11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154</w:t>
            </w:r>
          </w:p>
        </w:tc>
        <w:tc>
          <w:tcPr>
            <w:tcW w:w="1319"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35,300</w:t>
            </w:r>
          </w:p>
        </w:tc>
        <w:tc>
          <w:tcPr>
            <w:tcW w:w="1356"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154</w:t>
            </w:r>
          </w:p>
        </w:tc>
        <w:tc>
          <w:tcPr>
            <w:tcW w:w="151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12,858</w:t>
            </w:r>
          </w:p>
        </w:tc>
        <w:tc>
          <w:tcPr>
            <w:tcW w:w="1330"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6,213</w:t>
            </w:r>
          </w:p>
        </w:tc>
      </w:tr>
    </w:tbl>
    <w:p w:rsidR="00744515" w:rsidRDefault="00744515" w:rsidP="00744515">
      <w:pPr>
        <w:jc w:val="both"/>
        <w:rPr>
          <w:b/>
          <w:color w:val="000000"/>
        </w:rPr>
      </w:pPr>
    </w:p>
    <w:p w:rsidR="00744515" w:rsidRDefault="00744515" w:rsidP="00744515">
      <w:pPr>
        <w:jc w:val="both"/>
        <w:rPr>
          <w:b/>
          <w:color w:val="000000"/>
        </w:rPr>
      </w:pPr>
    </w:p>
    <w:p w:rsidR="00744515" w:rsidRDefault="00744515" w:rsidP="00744515">
      <w:pPr>
        <w:spacing w:line="360" w:lineRule="auto"/>
        <w:jc w:val="both"/>
        <w:rPr>
          <w:sz w:val="20"/>
          <w:szCs w:val="20"/>
        </w:rPr>
      </w:pPr>
      <w:r>
        <w:rPr>
          <w:b/>
          <w:color w:val="000000"/>
        </w:rPr>
        <w:t>Table S4</w:t>
      </w:r>
      <w:r>
        <w:rPr>
          <w:color w:val="000000"/>
          <w:sz w:val="20"/>
          <w:szCs w:val="20"/>
        </w:rPr>
        <w:t xml:space="preserve"> </w:t>
      </w:r>
      <w:r>
        <w:rPr>
          <w:sz w:val="20"/>
          <w:szCs w:val="20"/>
        </w:rPr>
        <w:t xml:space="preserve">Footprint areas (in km²) for three ground load values (1, 10, and 100 kg/m²) based on the runs shown in Fig. 6. The </w:t>
      </w:r>
      <w:r>
        <w:rPr>
          <w:i/>
          <w:sz w:val="20"/>
          <w:szCs w:val="20"/>
        </w:rPr>
        <w:t>Run NE</w:t>
      </w:r>
      <w:r>
        <w:rPr>
          <w:sz w:val="20"/>
          <w:szCs w:val="20"/>
        </w:rPr>
        <w:t xml:space="preserve"> column refers to the run conducted with wind blowing from the northeast, while the </w:t>
      </w:r>
      <w:r>
        <w:rPr>
          <w:i/>
          <w:sz w:val="20"/>
          <w:szCs w:val="20"/>
        </w:rPr>
        <w:t>Run SW</w:t>
      </w:r>
      <w:r>
        <w:rPr>
          <w:sz w:val="20"/>
          <w:szCs w:val="20"/>
        </w:rPr>
        <w:t xml:space="preserve"> column refers to the run conducted with wind blowing from the southwest.</w:t>
      </w:r>
    </w:p>
    <w:p w:rsidR="00744515" w:rsidRDefault="00744515" w:rsidP="00744515">
      <w:pPr>
        <w:jc w:val="both"/>
      </w:pPr>
    </w:p>
    <w:tbl>
      <w:tblPr>
        <w:tblW w:w="3849" w:type="dxa"/>
        <w:tblInd w:w="-22" w:type="dxa"/>
        <w:tblLayout w:type="fixed"/>
        <w:tblCellMar>
          <w:top w:w="100" w:type="dxa"/>
          <w:left w:w="100" w:type="dxa"/>
          <w:bottom w:w="100" w:type="dxa"/>
          <w:right w:w="100" w:type="dxa"/>
        </w:tblCellMar>
        <w:tblLook w:val="0600" w:firstRow="0" w:lastRow="0" w:firstColumn="0" w:lastColumn="0" w:noHBand="1" w:noVBand="1"/>
      </w:tblPr>
      <w:tblGrid>
        <w:gridCol w:w="1483"/>
        <w:gridCol w:w="1182"/>
        <w:gridCol w:w="1184"/>
      </w:tblGrid>
      <w:tr w:rsidR="00744515" w:rsidTr="008D0D46">
        <w:trPr>
          <w:trHeight w:val="300"/>
        </w:trPr>
        <w:tc>
          <w:tcPr>
            <w:tcW w:w="14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b/>
                <w:color w:val="000000"/>
                <w:sz w:val="20"/>
                <w:szCs w:val="20"/>
              </w:rPr>
            </w:pPr>
            <w:r>
              <w:rPr>
                <w:b/>
                <w:color w:val="000000"/>
                <w:sz w:val="20"/>
                <w:szCs w:val="20"/>
              </w:rPr>
              <w:t>Ground load threshold (kg/m</w:t>
            </w:r>
            <w:r>
              <w:rPr>
                <w:b/>
                <w:color w:val="000000"/>
                <w:sz w:val="20"/>
                <w:szCs w:val="20"/>
                <w:vertAlign w:val="superscript"/>
              </w:rPr>
              <w:t>2</w:t>
            </w:r>
            <w:r>
              <w:rPr>
                <w:b/>
                <w:color w:val="000000"/>
                <w:sz w:val="20"/>
                <w:szCs w:val="20"/>
              </w:rPr>
              <w:t>)</w:t>
            </w:r>
          </w:p>
        </w:tc>
        <w:tc>
          <w:tcPr>
            <w:tcW w:w="2366" w:type="dxa"/>
            <w:gridSpan w:val="2"/>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b/>
                <w:color w:val="000000"/>
                <w:sz w:val="20"/>
                <w:szCs w:val="20"/>
              </w:rPr>
            </w:pPr>
            <w:r>
              <w:rPr>
                <w:b/>
                <w:color w:val="000000"/>
                <w:sz w:val="20"/>
                <w:szCs w:val="20"/>
              </w:rPr>
              <w:t>Footprint areas (km</w:t>
            </w:r>
            <w:r>
              <w:rPr>
                <w:b/>
                <w:color w:val="000000"/>
                <w:sz w:val="20"/>
                <w:szCs w:val="20"/>
                <w:vertAlign w:val="superscript"/>
              </w:rPr>
              <w:t>2</w:t>
            </w:r>
            <w:r>
              <w:rPr>
                <w:b/>
                <w:color w:val="000000"/>
                <w:sz w:val="20"/>
                <w:szCs w:val="20"/>
              </w:rPr>
              <w:t>)</w:t>
            </w:r>
          </w:p>
        </w:tc>
      </w:tr>
      <w:tr w:rsidR="00744515" w:rsidTr="008D0D46">
        <w:trPr>
          <w:trHeight w:val="300"/>
        </w:trPr>
        <w:tc>
          <w:tcPr>
            <w:tcW w:w="14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pPr>
          </w:p>
        </w:tc>
        <w:tc>
          <w:tcPr>
            <w:tcW w:w="1182"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i/>
                <w:color w:val="000000"/>
                <w:sz w:val="20"/>
                <w:szCs w:val="20"/>
              </w:rPr>
              <w:t>Run NE</w:t>
            </w:r>
          </w:p>
        </w:tc>
        <w:tc>
          <w:tcPr>
            <w:tcW w:w="118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i/>
                <w:color w:val="000000"/>
                <w:sz w:val="20"/>
                <w:szCs w:val="20"/>
              </w:rPr>
              <w:t>Run SW</w:t>
            </w:r>
          </w:p>
        </w:tc>
      </w:tr>
      <w:tr w:rsidR="00744515" w:rsidTr="008D0D46">
        <w:trPr>
          <w:trHeight w:val="300"/>
        </w:trPr>
        <w:tc>
          <w:tcPr>
            <w:tcW w:w="14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w:t>
            </w:r>
          </w:p>
        </w:tc>
        <w:tc>
          <w:tcPr>
            <w:tcW w:w="1182"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83,397</w:t>
            </w:r>
          </w:p>
        </w:tc>
        <w:tc>
          <w:tcPr>
            <w:tcW w:w="118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29,550</w:t>
            </w:r>
          </w:p>
        </w:tc>
      </w:tr>
      <w:tr w:rsidR="00744515" w:rsidTr="008D0D46">
        <w:trPr>
          <w:trHeight w:val="300"/>
        </w:trPr>
        <w:tc>
          <w:tcPr>
            <w:tcW w:w="14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w:t>
            </w:r>
          </w:p>
        </w:tc>
        <w:tc>
          <w:tcPr>
            <w:tcW w:w="1182"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46,706</w:t>
            </w:r>
          </w:p>
        </w:tc>
        <w:tc>
          <w:tcPr>
            <w:tcW w:w="118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10,911</w:t>
            </w:r>
          </w:p>
        </w:tc>
      </w:tr>
      <w:tr w:rsidR="00744515" w:rsidTr="008D0D46">
        <w:trPr>
          <w:trHeight w:val="300"/>
        </w:trPr>
        <w:tc>
          <w:tcPr>
            <w:tcW w:w="1483"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100</w:t>
            </w:r>
          </w:p>
        </w:tc>
        <w:tc>
          <w:tcPr>
            <w:tcW w:w="1182"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7,387</w:t>
            </w:r>
          </w:p>
        </w:tc>
        <w:tc>
          <w:tcPr>
            <w:tcW w:w="1184" w:type="dxa"/>
            <w:tcBorders>
              <w:top w:val="single" w:sz="4" w:space="0" w:color="000000"/>
              <w:left w:val="single" w:sz="4" w:space="0" w:color="000000"/>
              <w:bottom w:val="single" w:sz="4" w:space="0" w:color="000000"/>
              <w:right w:val="single" w:sz="4" w:space="0" w:color="000000"/>
            </w:tcBorders>
          </w:tcPr>
          <w:p w:rsidR="00744515" w:rsidRDefault="00744515" w:rsidP="008D0D46">
            <w:pPr>
              <w:widowControl w:val="0"/>
              <w:jc w:val="both"/>
              <w:rPr>
                <w:color w:val="000000"/>
                <w:sz w:val="20"/>
                <w:szCs w:val="20"/>
              </w:rPr>
            </w:pPr>
            <w:r>
              <w:rPr>
                <w:color w:val="000000"/>
                <w:sz w:val="20"/>
                <w:szCs w:val="20"/>
              </w:rPr>
              <w:t>1,669</w:t>
            </w:r>
          </w:p>
        </w:tc>
      </w:tr>
    </w:tbl>
    <w:p w:rsidR="008B0B8B" w:rsidRDefault="008B0B8B"/>
    <w:p w:rsidR="00272E25" w:rsidRDefault="00272E25">
      <w:pPr>
        <w:rPr>
          <w:b/>
          <w:sz w:val="28"/>
          <w:szCs w:val="28"/>
        </w:rPr>
      </w:pPr>
      <w:r w:rsidRPr="00272E25">
        <w:rPr>
          <w:b/>
          <w:sz w:val="28"/>
          <w:szCs w:val="28"/>
        </w:rPr>
        <w:t xml:space="preserve">References </w:t>
      </w:r>
    </w:p>
    <w:p w:rsidR="00272E25" w:rsidRPr="00C10DD0" w:rsidRDefault="00272E25">
      <w:pPr>
        <w:rPr>
          <w:color w:val="222222"/>
          <w:sz w:val="20"/>
          <w:szCs w:val="20"/>
          <w:shd w:val="clear" w:color="auto" w:fill="FFFFFF"/>
        </w:rPr>
      </w:pPr>
      <w:proofErr w:type="spellStart"/>
      <w:r w:rsidRPr="00C10DD0">
        <w:rPr>
          <w:color w:val="222222"/>
          <w:sz w:val="20"/>
          <w:szCs w:val="20"/>
          <w:shd w:val="clear" w:color="auto" w:fill="FFFFFF"/>
        </w:rPr>
        <w:t>Cantner</w:t>
      </w:r>
      <w:proofErr w:type="spellEnd"/>
      <w:r w:rsidRPr="00C10DD0">
        <w:rPr>
          <w:color w:val="222222"/>
          <w:sz w:val="20"/>
          <w:szCs w:val="20"/>
          <w:shd w:val="clear" w:color="auto" w:fill="FFFFFF"/>
        </w:rPr>
        <w:t xml:space="preserve">, K., Carey, S., &amp; </w:t>
      </w:r>
      <w:proofErr w:type="spellStart"/>
      <w:r w:rsidRPr="00C10DD0">
        <w:rPr>
          <w:color w:val="222222"/>
          <w:sz w:val="20"/>
          <w:szCs w:val="20"/>
          <w:shd w:val="clear" w:color="auto" w:fill="FFFFFF"/>
        </w:rPr>
        <w:t>Nomikou</w:t>
      </w:r>
      <w:proofErr w:type="spellEnd"/>
      <w:r w:rsidRPr="00C10DD0">
        <w:rPr>
          <w:color w:val="222222"/>
          <w:sz w:val="20"/>
          <w:szCs w:val="20"/>
          <w:shd w:val="clear" w:color="auto" w:fill="FFFFFF"/>
        </w:rPr>
        <w:t xml:space="preserve">, P. (2014). Integrated </w:t>
      </w:r>
      <w:proofErr w:type="spellStart"/>
      <w:r w:rsidRPr="00C10DD0">
        <w:rPr>
          <w:color w:val="222222"/>
          <w:sz w:val="20"/>
          <w:szCs w:val="20"/>
          <w:shd w:val="clear" w:color="auto" w:fill="FFFFFF"/>
        </w:rPr>
        <w:t>volcanologic</w:t>
      </w:r>
      <w:proofErr w:type="spellEnd"/>
      <w:r w:rsidRPr="00C10DD0">
        <w:rPr>
          <w:color w:val="222222"/>
          <w:sz w:val="20"/>
          <w:szCs w:val="20"/>
          <w:shd w:val="clear" w:color="auto" w:fill="FFFFFF"/>
        </w:rPr>
        <w:t xml:space="preserve"> and petrologic analysis of the</w:t>
      </w:r>
      <w:r w:rsidRPr="00C10DD0">
        <w:rPr>
          <w:color w:val="222222"/>
          <w:sz w:val="20"/>
          <w:szCs w:val="20"/>
        </w:rPr>
        <w:br/>
      </w:r>
      <w:r w:rsidRPr="00C10DD0">
        <w:rPr>
          <w:color w:val="222222"/>
          <w:sz w:val="20"/>
          <w:szCs w:val="20"/>
          <w:shd w:val="clear" w:color="auto" w:fill="FFFFFF"/>
        </w:rPr>
        <w:t xml:space="preserve">1650 AD eruption of </w:t>
      </w:r>
      <w:proofErr w:type="spellStart"/>
      <w:r w:rsidRPr="00C10DD0">
        <w:rPr>
          <w:color w:val="222222"/>
          <w:sz w:val="20"/>
          <w:szCs w:val="20"/>
          <w:shd w:val="clear" w:color="auto" w:fill="FFFFFF"/>
        </w:rPr>
        <w:t>Kolumbo</w:t>
      </w:r>
      <w:proofErr w:type="spellEnd"/>
      <w:r w:rsidRPr="00C10DD0">
        <w:rPr>
          <w:color w:val="222222"/>
          <w:sz w:val="20"/>
          <w:szCs w:val="20"/>
          <w:shd w:val="clear" w:color="auto" w:fill="FFFFFF"/>
        </w:rPr>
        <w:t xml:space="preserve"> submarine volcano, Greece. Journal of Volcanology and Geothermal</w:t>
      </w:r>
      <w:r w:rsidRPr="00C10DD0">
        <w:rPr>
          <w:color w:val="222222"/>
          <w:sz w:val="20"/>
          <w:szCs w:val="20"/>
        </w:rPr>
        <w:br/>
      </w:r>
      <w:r w:rsidRPr="00C10DD0">
        <w:rPr>
          <w:color w:val="222222"/>
          <w:sz w:val="20"/>
          <w:szCs w:val="20"/>
          <w:shd w:val="clear" w:color="auto" w:fill="FFFFFF"/>
        </w:rPr>
        <w:t>Research, 269, 28-43.</w:t>
      </w:r>
    </w:p>
    <w:p w:rsidR="00272E25" w:rsidRPr="00C10DD0" w:rsidRDefault="00272E25">
      <w:pPr>
        <w:rPr>
          <w:b/>
          <w:sz w:val="20"/>
          <w:szCs w:val="20"/>
        </w:rPr>
      </w:pPr>
    </w:p>
    <w:p w:rsidR="00272E25" w:rsidRPr="00C10DD0" w:rsidRDefault="00272E25">
      <w:pPr>
        <w:rPr>
          <w:color w:val="222222"/>
          <w:sz w:val="20"/>
          <w:szCs w:val="20"/>
          <w:shd w:val="clear" w:color="auto" w:fill="FFFFFF"/>
        </w:rPr>
      </w:pPr>
      <w:proofErr w:type="spellStart"/>
      <w:r w:rsidRPr="00C10DD0">
        <w:rPr>
          <w:color w:val="222222"/>
          <w:sz w:val="20"/>
          <w:szCs w:val="20"/>
          <w:shd w:val="clear" w:color="auto" w:fill="FFFFFF"/>
        </w:rPr>
        <w:t>Ganser</w:t>
      </w:r>
      <w:proofErr w:type="spellEnd"/>
      <w:r w:rsidRPr="00C10DD0">
        <w:rPr>
          <w:color w:val="222222"/>
          <w:sz w:val="20"/>
          <w:szCs w:val="20"/>
          <w:shd w:val="clear" w:color="auto" w:fill="FFFFFF"/>
        </w:rPr>
        <w:t xml:space="preserve">, G. H. (1993). A rational approach to drag prediction of spherical and </w:t>
      </w:r>
      <w:proofErr w:type="spellStart"/>
      <w:r w:rsidRPr="00C10DD0">
        <w:rPr>
          <w:color w:val="222222"/>
          <w:sz w:val="20"/>
          <w:szCs w:val="20"/>
          <w:shd w:val="clear" w:color="auto" w:fill="FFFFFF"/>
        </w:rPr>
        <w:t>nonspherical</w:t>
      </w:r>
      <w:proofErr w:type="spellEnd"/>
      <w:r w:rsidRPr="00C10DD0">
        <w:rPr>
          <w:color w:val="222222"/>
          <w:sz w:val="20"/>
          <w:szCs w:val="20"/>
          <w:shd w:val="clear" w:color="auto" w:fill="FFFFFF"/>
        </w:rPr>
        <w:t xml:space="preserve"> particles. </w:t>
      </w:r>
      <w:r w:rsidRPr="00C10DD0">
        <w:rPr>
          <w:i/>
          <w:iCs/>
          <w:color w:val="222222"/>
          <w:sz w:val="20"/>
          <w:szCs w:val="20"/>
          <w:shd w:val="clear" w:color="auto" w:fill="FFFFFF"/>
        </w:rPr>
        <w:t>Powder technology</w:t>
      </w:r>
      <w:r w:rsidRPr="00C10DD0">
        <w:rPr>
          <w:color w:val="222222"/>
          <w:sz w:val="20"/>
          <w:szCs w:val="20"/>
          <w:shd w:val="clear" w:color="auto" w:fill="FFFFFF"/>
        </w:rPr>
        <w:t>, </w:t>
      </w:r>
      <w:r w:rsidRPr="00C10DD0">
        <w:rPr>
          <w:i/>
          <w:iCs/>
          <w:color w:val="222222"/>
          <w:sz w:val="20"/>
          <w:szCs w:val="20"/>
          <w:shd w:val="clear" w:color="auto" w:fill="FFFFFF"/>
        </w:rPr>
        <w:t>77</w:t>
      </w:r>
      <w:r w:rsidRPr="00C10DD0">
        <w:rPr>
          <w:color w:val="222222"/>
          <w:sz w:val="20"/>
          <w:szCs w:val="20"/>
          <w:shd w:val="clear" w:color="auto" w:fill="FFFFFF"/>
        </w:rPr>
        <w:t>(2), 143-152.</w:t>
      </w:r>
    </w:p>
    <w:p w:rsidR="00272E25" w:rsidRPr="00C10DD0" w:rsidRDefault="00272E25">
      <w:pPr>
        <w:rPr>
          <w:color w:val="222222"/>
          <w:sz w:val="20"/>
          <w:szCs w:val="20"/>
          <w:shd w:val="clear" w:color="auto" w:fill="FFFFFF"/>
        </w:rPr>
      </w:pPr>
    </w:p>
    <w:p w:rsidR="00272E25" w:rsidRPr="00C10DD0" w:rsidRDefault="00272E25">
      <w:pPr>
        <w:rPr>
          <w:sz w:val="20"/>
          <w:szCs w:val="20"/>
        </w:rPr>
      </w:pPr>
      <w:r w:rsidRPr="00C10DD0">
        <w:rPr>
          <w:color w:val="222222"/>
          <w:sz w:val="20"/>
          <w:szCs w:val="20"/>
          <w:shd w:val="clear" w:color="auto" w:fill="FFFFFF"/>
        </w:rPr>
        <w:t xml:space="preserve">Jenkins, S. F., </w:t>
      </w:r>
      <w:proofErr w:type="spellStart"/>
      <w:r w:rsidRPr="00C10DD0">
        <w:rPr>
          <w:color w:val="222222"/>
          <w:sz w:val="20"/>
          <w:szCs w:val="20"/>
          <w:shd w:val="clear" w:color="auto" w:fill="FFFFFF"/>
        </w:rPr>
        <w:t>Barsotti</w:t>
      </w:r>
      <w:proofErr w:type="spellEnd"/>
      <w:r w:rsidRPr="00C10DD0">
        <w:rPr>
          <w:color w:val="222222"/>
          <w:sz w:val="20"/>
          <w:szCs w:val="20"/>
          <w:shd w:val="clear" w:color="auto" w:fill="FFFFFF"/>
        </w:rPr>
        <w:t xml:space="preserve">, S., Hincks, T. K., </w:t>
      </w:r>
      <w:proofErr w:type="spellStart"/>
      <w:r w:rsidRPr="00C10DD0">
        <w:rPr>
          <w:color w:val="222222"/>
          <w:sz w:val="20"/>
          <w:szCs w:val="20"/>
          <w:shd w:val="clear" w:color="auto" w:fill="FFFFFF"/>
        </w:rPr>
        <w:t>Neri</w:t>
      </w:r>
      <w:proofErr w:type="spellEnd"/>
      <w:r w:rsidRPr="00C10DD0">
        <w:rPr>
          <w:color w:val="222222"/>
          <w:sz w:val="20"/>
          <w:szCs w:val="20"/>
          <w:shd w:val="clear" w:color="auto" w:fill="FFFFFF"/>
        </w:rPr>
        <w:t xml:space="preserve">, A., Phillips, J. C., Sparks, R. S. J., ... &amp; </w:t>
      </w:r>
      <w:proofErr w:type="spellStart"/>
      <w:r w:rsidRPr="00C10DD0">
        <w:rPr>
          <w:color w:val="222222"/>
          <w:sz w:val="20"/>
          <w:szCs w:val="20"/>
          <w:shd w:val="clear" w:color="auto" w:fill="FFFFFF"/>
        </w:rPr>
        <w:t>Vougioukalakis</w:t>
      </w:r>
      <w:proofErr w:type="spellEnd"/>
      <w:r w:rsidRPr="00C10DD0">
        <w:rPr>
          <w:color w:val="222222"/>
          <w:sz w:val="20"/>
          <w:szCs w:val="20"/>
          <w:shd w:val="clear" w:color="auto" w:fill="FFFFFF"/>
        </w:rPr>
        <w:t>, G. (2015). Rapid emergency assessment of ash and gas hazard for future eruptions at Santorini Volcano, Greece. </w:t>
      </w:r>
      <w:r w:rsidRPr="00C10DD0">
        <w:rPr>
          <w:i/>
          <w:iCs/>
          <w:color w:val="222222"/>
          <w:sz w:val="20"/>
          <w:szCs w:val="20"/>
          <w:shd w:val="clear" w:color="auto" w:fill="FFFFFF"/>
        </w:rPr>
        <w:t>Journal of Applied Volcanology</w:t>
      </w:r>
      <w:r w:rsidRPr="00C10DD0">
        <w:rPr>
          <w:color w:val="222222"/>
          <w:sz w:val="20"/>
          <w:szCs w:val="20"/>
          <w:shd w:val="clear" w:color="auto" w:fill="FFFFFF"/>
        </w:rPr>
        <w:t>, </w:t>
      </w:r>
      <w:r w:rsidRPr="00C10DD0">
        <w:rPr>
          <w:i/>
          <w:iCs/>
          <w:color w:val="222222"/>
          <w:sz w:val="20"/>
          <w:szCs w:val="20"/>
          <w:shd w:val="clear" w:color="auto" w:fill="FFFFFF"/>
        </w:rPr>
        <w:t>4</w:t>
      </w:r>
      <w:r w:rsidRPr="00C10DD0">
        <w:rPr>
          <w:color w:val="222222"/>
          <w:sz w:val="20"/>
          <w:szCs w:val="20"/>
          <w:shd w:val="clear" w:color="auto" w:fill="FFFFFF"/>
        </w:rPr>
        <w:t>(1), 16.</w:t>
      </w:r>
    </w:p>
    <w:sectPr w:rsidR="00272E25" w:rsidRPr="00C10DD0">
      <w:headerReference w:type="default" r:id="rId11"/>
      <w:footerReference w:type="even" r:id="rId12"/>
      <w:footerReference w:type="default" r:id="rId13"/>
      <w:footerReference w:type="first" r:id="rId14"/>
      <w:pgSz w:w="11906" w:h="16838"/>
      <w:pgMar w:top="1417" w:right="1134" w:bottom="1134" w:left="1134" w:header="708" w:footer="708" w:gutter="0"/>
      <w:lnNumType w:countBy="1" w:distance="283" w:restart="continuous"/>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4F1" w:rsidRDefault="004904F1" w:rsidP="00744515">
      <w:pPr>
        <w:spacing w:after="0" w:line="240" w:lineRule="auto"/>
      </w:pPr>
      <w:r>
        <w:separator/>
      </w:r>
    </w:p>
  </w:endnote>
  <w:endnote w:type="continuationSeparator" w:id="0">
    <w:p w:rsidR="004904F1" w:rsidRDefault="004904F1" w:rsidP="0074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4FA" w:rsidRDefault="00880810">
    <w:pPr>
      <w:tabs>
        <w:tab w:val="center" w:pos="4819"/>
        <w:tab w:val="right" w:pos="9638"/>
      </w:tabs>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rsidR="003714FA" w:rsidRDefault="004904F1">
    <w:pPr>
      <w:tabs>
        <w:tab w:val="center" w:pos="4819"/>
        <w:tab w:val="right" w:pos="9638"/>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4FA" w:rsidRDefault="00880810">
    <w:pPr>
      <w:tabs>
        <w:tab w:val="center" w:pos="4819"/>
        <w:tab w:val="right" w:pos="9638"/>
      </w:tabs>
      <w:jc w:val="right"/>
      <w:rPr>
        <w:color w:val="000000"/>
      </w:rPr>
    </w:pPr>
    <w:r>
      <w:rPr>
        <w:color w:val="000000"/>
      </w:rPr>
      <w:fldChar w:fldCharType="begin"/>
    </w:r>
    <w:r>
      <w:rPr>
        <w:color w:val="000000"/>
      </w:rPr>
      <w:instrText xml:space="preserve"> PAGE </w:instrText>
    </w:r>
    <w:r>
      <w:rPr>
        <w:color w:val="000000"/>
      </w:rPr>
      <w:fldChar w:fldCharType="separate"/>
    </w:r>
    <w:r w:rsidR="003C2437">
      <w:rPr>
        <w:noProof/>
        <w:color w:val="000000"/>
      </w:rPr>
      <w:t>1</w:t>
    </w:r>
    <w:r>
      <w:rPr>
        <w:color w:val="000000"/>
      </w:rPr>
      <w:fldChar w:fldCharType="end"/>
    </w:r>
  </w:p>
  <w:p w:rsidR="003714FA" w:rsidRDefault="004904F1">
    <w:pPr>
      <w:tabs>
        <w:tab w:val="center" w:pos="4819"/>
        <w:tab w:val="right" w:pos="9638"/>
      </w:tabs>
      <w:ind w:right="360"/>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4FA" w:rsidRDefault="00880810">
    <w:pPr>
      <w:tabs>
        <w:tab w:val="center" w:pos="4819"/>
        <w:tab w:val="right" w:pos="9638"/>
      </w:tabs>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p w:rsidR="003714FA" w:rsidRDefault="004904F1">
    <w:pPr>
      <w:tabs>
        <w:tab w:val="center" w:pos="4819"/>
        <w:tab w:val="right" w:pos="9638"/>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4F1" w:rsidRDefault="004904F1" w:rsidP="00744515">
      <w:pPr>
        <w:spacing w:after="0" w:line="240" w:lineRule="auto"/>
      </w:pPr>
      <w:r>
        <w:separator/>
      </w:r>
    </w:p>
  </w:footnote>
  <w:footnote w:type="continuationSeparator" w:id="0">
    <w:p w:rsidR="004904F1" w:rsidRDefault="004904F1" w:rsidP="007445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4FA" w:rsidRDefault="004904F1">
    <w:pPr>
      <w:tabs>
        <w:tab w:val="center" w:pos="4819"/>
        <w:tab w:val="right" w:pos="9638"/>
      </w:tabs>
      <w:rPr>
        <w:i/>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515"/>
    <w:rsid w:val="00167B0E"/>
    <w:rsid w:val="00272E25"/>
    <w:rsid w:val="002C6E88"/>
    <w:rsid w:val="003C2437"/>
    <w:rsid w:val="003E3CDE"/>
    <w:rsid w:val="004904F1"/>
    <w:rsid w:val="00744515"/>
    <w:rsid w:val="007C04F3"/>
    <w:rsid w:val="00880810"/>
    <w:rsid w:val="008B0B8B"/>
    <w:rsid w:val="00C10DD0"/>
    <w:rsid w:val="00CE6EFD"/>
    <w:rsid w:val="00FB71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515"/>
    <w:pPr>
      <w:suppressAutoHyphens/>
      <w:spacing w:after="120" w:line="276"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744515"/>
    <w:pPr>
      <w:keepNext/>
      <w:keepLines/>
      <w:spacing w:before="200" w:line="360" w:lineRule="auto"/>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515"/>
    <w:rPr>
      <w:rFonts w:ascii="Times New Roman" w:eastAsia="Times New Roman" w:hAnsi="Times New Roman" w:cs="Times New Roman"/>
      <w:b/>
      <w:sz w:val="24"/>
      <w:szCs w:val="24"/>
      <w:lang w:val="en-US"/>
    </w:rPr>
  </w:style>
  <w:style w:type="character" w:styleId="LineNumber">
    <w:name w:val="line number"/>
    <w:basedOn w:val="DefaultParagraphFont"/>
    <w:uiPriority w:val="99"/>
    <w:semiHidden/>
    <w:unhideWhenUsed/>
    <w:rsid w:val="00744515"/>
  </w:style>
  <w:style w:type="paragraph" w:styleId="Header">
    <w:name w:val="header"/>
    <w:basedOn w:val="Normal"/>
    <w:link w:val="HeaderChar"/>
    <w:uiPriority w:val="99"/>
    <w:unhideWhenUsed/>
    <w:rsid w:val="00744515"/>
    <w:pPr>
      <w:tabs>
        <w:tab w:val="center" w:pos="4819"/>
        <w:tab w:val="right" w:pos="9638"/>
      </w:tabs>
      <w:spacing w:after="0" w:line="240" w:lineRule="auto"/>
    </w:pPr>
  </w:style>
  <w:style w:type="character" w:customStyle="1" w:styleId="HeaderChar">
    <w:name w:val="Header Char"/>
    <w:basedOn w:val="DefaultParagraphFont"/>
    <w:link w:val="Header"/>
    <w:uiPriority w:val="99"/>
    <w:rsid w:val="00744515"/>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515"/>
    <w:pPr>
      <w:suppressAutoHyphens/>
      <w:spacing w:after="120" w:line="276"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744515"/>
    <w:pPr>
      <w:keepNext/>
      <w:keepLines/>
      <w:spacing w:before="200" w:line="360" w:lineRule="auto"/>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4515"/>
    <w:rPr>
      <w:rFonts w:ascii="Times New Roman" w:eastAsia="Times New Roman" w:hAnsi="Times New Roman" w:cs="Times New Roman"/>
      <w:b/>
      <w:sz w:val="24"/>
      <w:szCs w:val="24"/>
      <w:lang w:val="en-US"/>
    </w:rPr>
  </w:style>
  <w:style w:type="character" w:styleId="LineNumber">
    <w:name w:val="line number"/>
    <w:basedOn w:val="DefaultParagraphFont"/>
    <w:uiPriority w:val="99"/>
    <w:semiHidden/>
    <w:unhideWhenUsed/>
    <w:rsid w:val="00744515"/>
  </w:style>
  <w:style w:type="paragraph" w:styleId="Header">
    <w:name w:val="header"/>
    <w:basedOn w:val="Normal"/>
    <w:link w:val="HeaderChar"/>
    <w:uiPriority w:val="99"/>
    <w:unhideWhenUsed/>
    <w:rsid w:val="00744515"/>
    <w:pPr>
      <w:tabs>
        <w:tab w:val="center" w:pos="4819"/>
        <w:tab w:val="right" w:pos="9638"/>
      </w:tabs>
      <w:spacing w:after="0" w:line="240" w:lineRule="auto"/>
    </w:pPr>
  </w:style>
  <w:style w:type="character" w:customStyle="1" w:styleId="HeaderChar">
    <w:name w:val="Header Char"/>
    <w:basedOn w:val="DefaultParagraphFont"/>
    <w:link w:val="Header"/>
    <w:uiPriority w:val="99"/>
    <w:rsid w:val="0074451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1038</Words>
  <Characters>5923</Characters>
  <Application>Microsoft Office Word</Application>
  <DocSecurity>0</DocSecurity>
  <Lines>49</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Riccardo</dc:creator>
  <cp:lastModifiedBy>Rufa Salvoro</cp:lastModifiedBy>
  <cp:revision>2</cp:revision>
  <dcterms:created xsi:type="dcterms:W3CDTF">2025-11-14T06:23:00Z</dcterms:created>
  <dcterms:modified xsi:type="dcterms:W3CDTF">2025-11-14T06:23:00Z</dcterms:modified>
</cp:coreProperties>
</file>