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505C" w14:textId="77777777" w:rsidR="00A31879" w:rsidRPr="00B74294" w:rsidRDefault="00A31879" w:rsidP="00A31879">
      <w:pPr>
        <w:spacing w:line="360" w:lineRule="auto"/>
        <w:jc w:val="center"/>
        <w:rPr>
          <w:rFonts w:ascii="Cambria" w:hAnsi="Cambria"/>
        </w:rPr>
      </w:pPr>
      <w:r w:rsidRPr="00B74294">
        <w:rPr>
          <w:rFonts w:ascii="Cambria" w:hAnsi="Cambria"/>
        </w:rPr>
        <w:t>Bulletin of Volcanology</w:t>
      </w:r>
    </w:p>
    <w:p w14:paraId="6756D593" w14:textId="77777777" w:rsidR="00A31879" w:rsidRPr="00B74294" w:rsidRDefault="00A31879" w:rsidP="00A31879">
      <w:pPr>
        <w:spacing w:line="360" w:lineRule="auto"/>
        <w:jc w:val="center"/>
        <w:rPr>
          <w:rFonts w:ascii="Cambria" w:hAnsi="Cambria"/>
        </w:rPr>
      </w:pPr>
      <w:r w:rsidRPr="00B74294">
        <w:rPr>
          <w:rFonts w:ascii="Cambria" w:hAnsi="Cambria"/>
        </w:rPr>
        <w:t>Supplementary material</w:t>
      </w:r>
    </w:p>
    <w:p w14:paraId="094C67C9" w14:textId="77777777" w:rsidR="00A31879" w:rsidRDefault="00A31879" w:rsidP="00A31879">
      <w:pPr>
        <w:spacing w:line="360" w:lineRule="auto"/>
        <w:jc w:val="both"/>
        <w:rPr>
          <w:rFonts w:ascii="Cambria" w:hAnsi="Cambria"/>
          <w:b/>
          <w:bCs/>
        </w:rPr>
      </w:pPr>
    </w:p>
    <w:p w14:paraId="53363567" w14:textId="77777777" w:rsidR="00A31879" w:rsidRPr="008C314B" w:rsidRDefault="00A31879" w:rsidP="00A31879">
      <w:pPr>
        <w:spacing w:line="360" w:lineRule="auto"/>
        <w:jc w:val="both"/>
        <w:rPr>
          <w:rFonts w:ascii="Cambria" w:hAnsi="Cambria"/>
          <w:b/>
          <w:bCs/>
        </w:rPr>
      </w:pPr>
      <w:r w:rsidRPr="008C314B">
        <w:rPr>
          <w:rFonts w:ascii="Cambria" w:hAnsi="Cambria"/>
          <w:b/>
          <w:bCs/>
        </w:rPr>
        <w:t>Probabilistic volcanic hazard assessment</w:t>
      </w:r>
      <w:r w:rsidRPr="008C314B" w:rsidDel="003756D9">
        <w:rPr>
          <w:rFonts w:ascii="Cambria" w:hAnsi="Cambria"/>
          <w:b/>
          <w:bCs/>
        </w:rPr>
        <w:t xml:space="preserve"> </w:t>
      </w:r>
      <w:r w:rsidRPr="008C314B">
        <w:rPr>
          <w:rFonts w:ascii="Cambria" w:hAnsi="Cambria"/>
          <w:b/>
          <w:bCs/>
        </w:rPr>
        <w:t>during quiescence: A scenario-based approach for Gede, West Java (Indonesia)</w:t>
      </w:r>
    </w:p>
    <w:p w14:paraId="61AB90C6" w14:textId="77777777" w:rsidR="00A31879" w:rsidRPr="008C314B" w:rsidRDefault="00A31879" w:rsidP="00A31879">
      <w:pPr>
        <w:spacing w:line="360" w:lineRule="auto"/>
        <w:rPr>
          <w:rFonts w:ascii="Cambria" w:hAnsi="Cambria"/>
          <w:i/>
          <w:iCs/>
        </w:rPr>
      </w:pPr>
    </w:p>
    <w:p w14:paraId="0DDDEC67" w14:textId="77777777" w:rsidR="00A31879" w:rsidRPr="008C314B" w:rsidRDefault="00A31879" w:rsidP="00A31879">
      <w:pPr>
        <w:spacing w:line="360" w:lineRule="auto"/>
        <w:rPr>
          <w:rFonts w:ascii="Cambria" w:hAnsi="Cambria"/>
          <w:i/>
          <w:iCs/>
        </w:rPr>
      </w:pPr>
      <w:r w:rsidRPr="008C314B">
        <w:rPr>
          <w:rFonts w:ascii="Cambria" w:hAnsi="Cambria"/>
          <w:i/>
          <w:iCs/>
        </w:rPr>
        <w:t xml:space="preserve">Eleanor </w:t>
      </w:r>
      <m:oMath>
        <m:sSup>
          <m:sSupPr>
            <m:ctrlPr>
              <w:rPr>
                <w:rFonts w:ascii="Cambria Math" w:hAnsi="Cambria Math"/>
                <w:i/>
                <w:iCs/>
              </w:rPr>
            </m:ctrlPr>
          </m:sSupPr>
          <m:e>
            <m:r>
              <w:rPr>
                <w:rFonts w:ascii="Cambria Math" w:hAnsi="Cambria Math"/>
              </w:rPr>
              <m:t>Tennant</m:t>
            </m:r>
          </m:e>
          <m:sup>
            <m:r>
              <w:rPr>
                <w:rFonts w:ascii="Cambria Math" w:hAnsi="Cambria Math"/>
              </w:rPr>
              <m:t>a</m:t>
            </m:r>
          </m:sup>
        </m:sSup>
      </m:oMath>
      <w:r w:rsidRPr="008C314B">
        <w:rPr>
          <w:rFonts w:ascii="Cambria" w:hAnsi="Cambria"/>
          <w:i/>
          <w:iCs/>
        </w:rPr>
        <w:t>(</w:t>
      </w:r>
      <w:r w:rsidRPr="008C314B">
        <w:rPr>
          <w:rFonts w:ascii="Times" w:hAnsi="Times"/>
          <w:i/>
          <w:iCs/>
          <w:color w:val="000000"/>
          <w:sz w:val="27"/>
          <w:szCs w:val="27"/>
        </w:rPr>
        <w:t>0000-0002-1159-121)</w:t>
      </w:r>
      <w:r w:rsidRPr="008C314B">
        <w:rPr>
          <w:rFonts w:ascii="Cambria" w:hAnsi="Cambria"/>
          <w:i/>
          <w:iCs/>
        </w:rPr>
        <w:t xml:space="preserve">, Susanna, F. </w:t>
      </w:r>
      <m:oMath>
        <m:sSup>
          <m:sSupPr>
            <m:ctrlPr>
              <w:rPr>
                <w:rFonts w:ascii="Cambria Math" w:hAnsi="Cambria Math"/>
                <w:i/>
                <w:iCs/>
              </w:rPr>
            </m:ctrlPr>
          </m:sSupPr>
          <m:e>
            <m:r>
              <w:rPr>
                <w:rFonts w:ascii="Cambria Math" w:hAnsi="Cambria Math"/>
              </w:rPr>
              <m:t xml:space="preserve">Jenkins </m:t>
            </m:r>
          </m:e>
          <m:sup>
            <m:r>
              <w:rPr>
                <w:rFonts w:ascii="Cambria Math" w:hAnsi="Cambria Math"/>
              </w:rPr>
              <m:t>a</m:t>
            </m:r>
          </m:sup>
        </m:sSup>
        <m:r>
          <w:rPr>
            <w:rFonts w:ascii="Cambria Math" w:hAnsi="Cambria Math"/>
          </w:rPr>
          <m:t xml:space="preserve"> </m:t>
        </m:r>
      </m:oMath>
      <w:r w:rsidRPr="008C314B">
        <w:rPr>
          <w:rFonts w:ascii="Times" w:hAnsi="Times"/>
          <w:i/>
          <w:iCs/>
          <w:color w:val="000000"/>
          <w:sz w:val="27"/>
          <w:szCs w:val="27"/>
        </w:rPr>
        <w:t>(0000-0002-7523-142)</w:t>
      </w:r>
      <w:r w:rsidRPr="008C314B">
        <w:rPr>
          <w:rFonts w:ascii="Cambria" w:hAnsi="Cambria"/>
          <w:i/>
          <w:iCs/>
        </w:rPr>
        <w:t xml:space="preserve">, Annie </w:t>
      </w:r>
      <m:oMath>
        <m:sSup>
          <m:sSupPr>
            <m:ctrlPr>
              <w:rPr>
                <w:rFonts w:ascii="Cambria Math" w:hAnsi="Cambria Math"/>
                <w:i/>
                <w:iCs/>
              </w:rPr>
            </m:ctrlPr>
          </m:sSupPr>
          <m:e>
            <m:r>
              <w:rPr>
                <w:rFonts w:ascii="Cambria Math" w:hAnsi="Cambria Math"/>
              </w:rPr>
              <m:t>Winson</m:t>
            </m:r>
          </m:e>
          <m:sup>
            <m:r>
              <w:rPr>
                <w:rFonts w:ascii="Cambria Math" w:hAnsi="Cambria Math"/>
              </w:rPr>
              <m:t>b</m:t>
            </m:r>
          </m:sup>
        </m:sSup>
      </m:oMath>
      <w:r w:rsidRPr="008C314B">
        <w:rPr>
          <w:rFonts w:ascii="Cambria" w:hAnsi="Cambria"/>
          <w:i/>
          <w:iCs/>
        </w:rPr>
        <w:t xml:space="preserve">(0000-0002-6420-1042), Christina </w:t>
      </w:r>
      <m:oMath>
        <m:sSup>
          <m:sSupPr>
            <m:ctrlPr>
              <w:rPr>
                <w:rFonts w:ascii="Cambria Math" w:hAnsi="Cambria Math"/>
                <w:i/>
                <w:iCs/>
              </w:rPr>
            </m:ctrlPr>
          </m:sSupPr>
          <m:e>
            <m:r>
              <w:rPr>
                <w:rFonts w:ascii="Cambria Math" w:hAnsi="Cambria Math"/>
              </w:rPr>
              <m:t>Widiwijayanti</m:t>
            </m:r>
          </m:e>
          <m:sup>
            <m:r>
              <w:rPr>
                <w:rFonts w:ascii="Cambria Math" w:hAnsi="Cambria Math"/>
              </w:rPr>
              <m:t>a</m:t>
            </m:r>
          </m:sup>
        </m:sSup>
      </m:oMath>
      <w:r w:rsidRPr="008C314B">
        <w:rPr>
          <w:rFonts w:ascii="Cambria" w:hAnsi="Cambria"/>
          <w:i/>
          <w:iCs/>
        </w:rPr>
        <w:t xml:space="preserve">(0000-0001-8505-5200), Heruningtyas D. </w:t>
      </w:r>
      <m:oMath>
        <m:sSup>
          <m:sSupPr>
            <m:ctrlPr>
              <w:rPr>
                <w:rFonts w:ascii="Cambria Math" w:hAnsi="Cambria Math"/>
                <w:i/>
                <w:iCs/>
              </w:rPr>
            </m:ctrlPr>
          </m:sSupPr>
          <m:e>
            <m:r>
              <w:rPr>
                <w:rFonts w:ascii="Cambria Math" w:hAnsi="Cambria Math"/>
              </w:rPr>
              <m:t>Purnamasari</m:t>
            </m:r>
          </m:e>
          <m:sup>
            <m:r>
              <w:rPr>
                <w:rFonts w:ascii="Cambria Math" w:hAnsi="Cambria Math"/>
              </w:rPr>
              <m:t>c</m:t>
            </m:r>
          </m:sup>
        </m:sSup>
      </m:oMath>
      <w:r w:rsidRPr="008C314B">
        <w:rPr>
          <w:rFonts w:ascii="Cambria" w:hAnsi="Cambria"/>
          <w:i/>
          <w:iCs/>
        </w:rPr>
        <w:t xml:space="preserve">, Nugraha </w:t>
      </w:r>
      <m:oMath>
        <m:sSup>
          <m:sSupPr>
            <m:ctrlPr>
              <w:rPr>
                <w:rFonts w:ascii="Cambria Math" w:hAnsi="Cambria Math"/>
                <w:i/>
                <w:iCs/>
              </w:rPr>
            </m:ctrlPr>
          </m:sSupPr>
          <m:e>
            <m:r>
              <w:rPr>
                <w:rFonts w:ascii="Cambria Math" w:hAnsi="Cambria Math"/>
              </w:rPr>
              <m:t>Kartadinata</m:t>
            </m:r>
          </m:e>
          <m:sup>
            <m:r>
              <w:rPr>
                <w:rFonts w:ascii="Cambria Math" w:hAnsi="Cambria Math"/>
              </w:rPr>
              <m:t>c</m:t>
            </m:r>
          </m:sup>
        </m:sSup>
      </m:oMath>
      <w:r w:rsidRPr="008C314B">
        <w:rPr>
          <w:rFonts w:ascii="Cambria" w:hAnsi="Cambria"/>
          <w:i/>
          <w:iCs/>
        </w:rPr>
        <w:t>, Wilfridus</w:t>
      </w:r>
      <m:oMath>
        <m:sSup>
          <m:sSupPr>
            <m:ctrlPr>
              <w:rPr>
                <w:rFonts w:ascii="Cambria Math" w:hAnsi="Cambria Math"/>
                <w:i/>
                <w:iCs/>
              </w:rPr>
            </m:ctrlPr>
          </m:sSupPr>
          <m:e>
            <m:r>
              <w:rPr>
                <w:rFonts w:ascii="Cambria Math" w:hAnsi="Cambria Math"/>
              </w:rPr>
              <m:t xml:space="preserve"> Banggur</m:t>
            </m:r>
          </m:e>
          <m:sup>
            <m:r>
              <w:rPr>
                <w:rFonts w:ascii="Cambria Math" w:hAnsi="Cambria Math"/>
              </w:rPr>
              <m:t>d</m:t>
            </m:r>
          </m:sup>
        </m:sSup>
      </m:oMath>
      <w:r w:rsidRPr="008C314B">
        <w:rPr>
          <w:rFonts w:ascii="Cambria" w:hAnsi="Cambria"/>
          <w:i/>
          <w:iCs/>
        </w:rPr>
        <w:t xml:space="preserve"> (0000-0002-7286-5260)</w:t>
      </w:r>
    </w:p>
    <w:p w14:paraId="15C2D12F" w14:textId="77777777" w:rsidR="00A31879" w:rsidRPr="00A42B02" w:rsidRDefault="00A31879" w:rsidP="00A31879">
      <w:pPr>
        <w:autoSpaceDE w:val="0"/>
        <w:autoSpaceDN w:val="0"/>
        <w:adjustRightInd w:val="0"/>
        <w:spacing w:line="360" w:lineRule="auto"/>
        <w:rPr>
          <w:rFonts w:ascii="Cambria" w:hAnsi="Cambria"/>
          <w:i/>
          <w:iCs/>
          <w:sz w:val="20"/>
          <w:szCs w:val="20"/>
        </w:rPr>
      </w:pPr>
      <w:proofErr w:type="gramStart"/>
      <w:r w:rsidRPr="00A42B02">
        <w:rPr>
          <w:rFonts w:ascii="Cambria" w:hAnsi="Cambria"/>
          <w:i/>
          <w:iCs/>
          <w:sz w:val="20"/>
          <w:szCs w:val="20"/>
        </w:rPr>
        <w:t>a</w:t>
      </w:r>
      <w:proofErr w:type="gramEnd"/>
      <w:r w:rsidRPr="00A42B02">
        <w:rPr>
          <w:rFonts w:ascii="Cambria" w:hAnsi="Cambria"/>
          <w:i/>
          <w:iCs/>
          <w:sz w:val="20"/>
          <w:szCs w:val="20"/>
        </w:rPr>
        <w:t xml:space="preserve"> Earth Observatory of Singapore and Asian School of the Environment, Nanyang Technological University, 639798, Singapore</w:t>
      </w:r>
    </w:p>
    <w:p w14:paraId="6DDFC087" w14:textId="77777777" w:rsidR="00A31879" w:rsidRPr="00A42B02" w:rsidRDefault="00A31879" w:rsidP="00A31879">
      <w:pPr>
        <w:autoSpaceDE w:val="0"/>
        <w:autoSpaceDN w:val="0"/>
        <w:adjustRightInd w:val="0"/>
        <w:spacing w:line="360" w:lineRule="auto"/>
        <w:rPr>
          <w:rFonts w:ascii="Cambria" w:hAnsi="Cambria"/>
          <w:i/>
          <w:iCs/>
          <w:sz w:val="20"/>
          <w:szCs w:val="20"/>
        </w:rPr>
      </w:pPr>
      <w:r w:rsidRPr="00A42B02">
        <w:rPr>
          <w:rFonts w:ascii="Cambria" w:hAnsi="Cambria"/>
          <w:i/>
          <w:iCs/>
          <w:sz w:val="20"/>
          <w:szCs w:val="20"/>
        </w:rPr>
        <w:t>b British Geological Survey, Keyworth, Nottingham NG12 5GG, United Kingdom</w:t>
      </w:r>
    </w:p>
    <w:p w14:paraId="3BE9EDAF" w14:textId="77777777" w:rsidR="00A31879" w:rsidRPr="00A42B02" w:rsidRDefault="00A31879" w:rsidP="00A31879">
      <w:pPr>
        <w:spacing w:line="360" w:lineRule="auto"/>
        <w:jc w:val="both"/>
        <w:rPr>
          <w:rFonts w:ascii="Cambria" w:hAnsi="Cambria"/>
          <w:i/>
          <w:iCs/>
          <w:sz w:val="20"/>
          <w:szCs w:val="20"/>
        </w:rPr>
      </w:pPr>
      <w:r w:rsidRPr="00A42B02">
        <w:rPr>
          <w:rFonts w:ascii="Cambria" w:hAnsi="Cambria"/>
          <w:i/>
          <w:iCs/>
          <w:sz w:val="20"/>
          <w:szCs w:val="20"/>
        </w:rPr>
        <w:t>c Center for Volcanology and Geological Hazard Mitigation, Bandung city, West Java 40122,</w:t>
      </w:r>
    </w:p>
    <w:p w14:paraId="185028F8" w14:textId="77777777" w:rsidR="00A31879" w:rsidRPr="00A42B02" w:rsidRDefault="00A31879" w:rsidP="00A31879">
      <w:pPr>
        <w:spacing w:line="360" w:lineRule="auto"/>
        <w:jc w:val="both"/>
        <w:rPr>
          <w:rFonts w:ascii="Cambria" w:hAnsi="Cambria"/>
          <w:i/>
          <w:iCs/>
          <w:sz w:val="20"/>
          <w:szCs w:val="20"/>
        </w:rPr>
      </w:pPr>
      <w:r w:rsidRPr="00A42B02">
        <w:rPr>
          <w:rFonts w:ascii="Cambria" w:hAnsi="Cambria"/>
          <w:i/>
          <w:iCs/>
          <w:sz w:val="20"/>
          <w:szCs w:val="20"/>
        </w:rPr>
        <w:t>d National Research and Innovation Agency, Jakarta, 10340</w:t>
      </w:r>
    </w:p>
    <w:p w14:paraId="56407621" w14:textId="77777777" w:rsidR="00A31879" w:rsidRPr="008C314B" w:rsidRDefault="00A31879" w:rsidP="00A31879">
      <w:pPr>
        <w:spacing w:line="360" w:lineRule="auto"/>
        <w:jc w:val="both"/>
        <w:rPr>
          <w:rFonts w:ascii="Cambria" w:hAnsi="Cambria"/>
          <w:i/>
          <w:iCs/>
        </w:rPr>
      </w:pPr>
    </w:p>
    <w:p w14:paraId="0200A722" w14:textId="77777777" w:rsidR="00A31879" w:rsidRPr="008C314B" w:rsidRDefault="00A31879" w:rsidP="00A31879">
      <w:pPr>
        <w:spacing w:line="360" w:lineRule="auto"/>
        <w:jc w:val="both"/>
        <w:rPr>
          <w:rFonts w:ascii="Cambria" w:hAnsi="Cambria"/>
          <w:i/>
          <w:iCs/>
        </w:rPr>
      </w:pPr>
      <w:r w:rsidRPr="008C314B">
        <w:rPr>
          <w:rFonts w:ascii="Cambria" w:hAnsi="Cambria"/>
          <w:i/>
          <w:iCs/>
        </w:rPr>
        <w:t>Correspondence to: Eleanor Tennant (</w:t>
      </w:r>
      <w:hyperlink r:id="rId4" w:history="1">
        <w:r w:rsidRPr="008E315C">
          <w:rPr>
            <w:rStyle w:val="Hyperlink"/>
            <w:rFonts w:ascii="Cambria" w:hAnsi="Cambria"/>
            <w:i/>
            <w:iCs/>
          </w:rPr>
          <w:t>eleanorm001@e.ntu.edu.sg</w:t>
        </w:r>
      </w:hyperlink>
      <w:r w:rsidRPr="008C314B">
        <w:rPr>
          <w:rFonts w:ascii="Cambria" w:hAnsi="Cambria"/>
          <w:i/>
          <w:iCs/>
        </w:rPr>
        <w:t>)</w:t>
      </w:r>
    </w:p>
    <w:p w14:paraId="67E1DF95" w14:textId="77777777" w:rsidR="00A31879" w:rsidRDefault="00A31879" w:rsidP="00F65D2A">
      <w:pPr>
        <w:rPr>
          <w:rFonts w:ascii="Cambria" w:hAnsi="Cambria"/>
          <w:u w:val="single"/>
        </w:rPr>
      </w:pPr>
    </w:p>
    <w:p w14:paraId="5C9A56EA" w14:textId="60C18B2C" w:rsidR="00F65D2A" w:rsidRPr="00EE40FB" w:rsidRDefault="00FE5615" w:rsidP="00F65D2A">
      <w:pPr>
        <w:rPr>
          <w:rFonts w:ascii="Cambria" w:hAnsi="Cambria"/>
          <w:u w:val="single"/>
        </w:rPr>
      </w:pPr>
      <w:r>
        <w:rPr>
          <w:rFonts w:ascii="Cambria" w:hAnsi="Cambria"/>
          <w:u w:val="single"/>
        </w:rPr>
        <w:t xml:space="preserve">Additional information for </w:t>
      </w:r>
      <w:r w:rsidR="00F65D2A" w:rsidRPr="00EE40FB">
        <w:rPr>
          <w:rFonts w:ascii="Cambria" w:hAnsi="Cambria"/>
          <w:u w:val="single"/>
        </w:rPr>
        <w:t>Tephra2 simulations</w:t>
      </w:r>
    </w:p>
    <w:p w14:paraId="280524E1" w14:textId="77777777" w:rsidR="00F65D2A" w:rsidRPr="00EE40FB" w:rsidRDefault="00F65D2A" w:rsidP="00F65D2A"/>
    <w:p w14:paraId="6864855B" w14:textId="77777777" w:rsidR="00F65D2A" w:rsidRPr="00EE40FB" w:rsidRDefault="00F65D2A" w:rsidP="00F65D2A">
      <w:pPr>
        <w:spacing w:line="360" w:lineRule="auto"/>
        <w:jc w:val="both"/>
        <w:rPr>
          <w:rFonts w:ascii="Cambria" w:hAnsi="Cambria"/>
        </w:rPr>
      </w:pPr>
      <w:r w:rsidRPr="00EE40FB">
        <w:rPr>
          <w:rFonts w:ascii="Cambria" w:hAnsi="Cambria"/>
        </w:rPr>
        <w:t xml:space="preserve">Plume heights for scenarios </w:t>
      </w:r>
      <w:proofErr w:type="spellStart"/>
      <w:r w:rsidRPr="00EE40FB">
        <w:rPr>
          <w:rFonts w:ascii="Cambria" w:hAnsi="Cambria"/>
          <w:i/>
          <w:iCs/>
        </w:rPr>
        <w:t>Cont</w:t>
      </w:r>
      <w:proofErr w:type="spellEnd"/>
      <w:r w:rsidRPr="00EE40FB">
        <w:rPr>
          <w:rFonts w:ascii="Cambria" w:hAnsi="Cambria"/>
          <w:i/>
          <w:iCs/>
        </w:rPr>
        <w:t>-exp</w:t>
      </w:r>
      <w:r w:rsidRPr="00EE40FB">
        <w:rPr>
          <w:rFonts w:ascii="Cambria" w:hAnsi="Cambria"/>
        </w:rPr>
        <w:t xml:space="preserve"> and </w:t>
      </w:r>
      <w:r w:rsidRPr="00EE40FB">
        <w:rPr>
          <w:rFonts w:ascii="Cambria" w:hAnsi="Cambria"/>
          <w:i/>
          <w:iCs/>
        </w:rPr>
        <w:t>Int-exp</w:t>
      </w:r>
      <w:r w:rsidRPr="00EE40FB">
        <w:rPr>
          <w:rFonts w:ascii="Cambria" w:hAnsi="Cambria"/>
        </w:rPr>
        <w:t xml:space="preserve"> and the lower bounds of </w:t>
      </w:r>
      <w:r w:rsidRPr="00EE40FB">
        <w:rPr>
          <w:rFonts w:ascii="Cambria" w:hAnsi="Cambria"/>
          <w:i/>
          <w:iCs/>
        </w:rPr>
        <w:t xml:space="preserve">Min-exp </w:t>
      </w:r>
      <w:r w:rsidRPr="00EE40FB">
        <w:rPr>
          <w:rFonts w:ascii="Cambria" w:hAnsi="Cambria"/>
        </w:rPr>
        <w:t xml:space="preserve">were informed by GVP bulletins for eruptions in the Gede plus analogue volcano dataset. For </w:t>
      </w:r>
      <w:proofErr w:type="spellStart"/>
      <w:r w:rsidRPr="00EE40FB">
        <w:rPr>
          <w:rFonts w:ascii="Cambria" w:hAnsi="Cambria"/>
          <w:i/>
          <w:iCs/>
        </w:rPr>
        <w:t>Cont</w:t>
      </w:r>
      <w:proofErr w:type="spellEnd"/>
      <w:r w:rsidRPr="00EE40FB">
        <w:rPr>
          <w:rFonts w:ascii="Cambria" w:hAnsi="Cambria"/>
          <w:i/>
          <w:iCs/>
        </w:rPr>
        <w:t>-exp</w:t>
      </w:r>
      <w:r w:rsidRPr="00EE40FB">
        <w:rPr>
          <w:rFonts w:ascii="Cambria" w:hAnsi="Cambria"/>
        </w:rPr>
        <w:t xml:space="preserve"> and </w:t>
      </w:r>
      <w:r w:rsidRPr="00EE40FB">
        <w:rPr>
          <w:rFonts w:ascii="Cambria" w:hAnsi="Cambria"/>
          <w:i/>
          <w:iCs/>
        </w:rPr>
        <w:t>Int-exp</w:t>
      </w:r>
      <w:r w:rsidRPr="00EE40FB">
        <w:rPr>
          <w:rFonts w:ascii="Cambria" w:hAnsi="Cambria"/>
        </w:rPr>
        <w:t xml:space="preserve"> the upper bounds of the plume height distributions were taken as the maximum reported height for the phase described in the bulletins. For the lower bounds we did not use the minimum reported heights since very low values were reported in some cases (c. 25m). To identify a lower bound for these scenarios we used the lower bound of the modal VEI (allowing each eruption to count only once), which are three and two for </w:t>
      </w:r>
      <w:proofErr w:type="spellStart"/>
      <w:r w:rsidRPr="00EE40FB">
        <w:rPr>
          <w:rFonts w:ascii="Cambria" w:hAnsi="Cambria"/>
          <w:i/>
          <w:iCs/>
        </w:rPr>
        <w:t>Cont</w:t>
      </w:r>
      <w:proofErr w:type="spellEnd"/>
      <w:r w:rsidRPr="00EE40FB">
        <w:rPr>
          <w:rFonts w:ascii="Cambria" w:hAnsi="Cambria"/>
          <w:i/>
          <w:iCs/>
        </w:rPr>
        <w:t>-exp</w:t>
      </w:r>
      <w:r w:rsidRPr="00EE40FB">
        <w:rPr>
          <w:rFonts w:ascii="Cambria" w:hAnsi="Cambria"/>
        </w:rPr>
        <w:t xml:space="preserve"> and </w:t>
      </w:r>
      <w:r w:rsidRPr="00EE40FB">
        <w:rPr>
          <w:rFonts w:ascii="Cambria" w:hAnsi="Cambria"/>
          <w:i/>
          <w:iCs/>
        </w:rPr>
        <w:t>Int-exp</w:t>
      </w:r>
      <w:r w:rsidRPr="00EE40FB">
        <w:rPr>
          <w:rFonts w:ascii="Cambria" w:hAnsi="Cambria"/>
        </w:rPr>
        <w:t xml:space="preserve"> respectively. This approach was also used for the lower limit for </w:t>
      </w:r>
      <w:r w:rsidRPr="00EE40FB">
        <w:rPr>
          <w:rFonts w:ascii="Cambria" w:hAnsi="Cambria"/>
          <w:i/>
          <w:iCs/>
        </w:rPr>
        <w:t>Min-exp</w:t>
      </w:r>
      <w:r w:rsidRPr="00EE40FB">
        <w:rPr>
          <w:rFonts w:ascii="Cambria" w:hAnsi="Cambria"/>
        </w:rPr>
        <w:t xml:space="preserve"> (modal VEI =2). The plume height range for </w:t>
      </w:r>
      <w:r w:rsidRPr="00EE40FB">
        <w:rPr>
          <w:rFonts w:ascii="Cambria" w:hAnsi="Cambria"/>
          <w:i/>
          <w:iCs/>
        </w:rPr>
        <w:t>Maj-exp</w:t>
      </w:r>
      <w:r w:rsidRPr="00EE40FB">
        <w:rPr>
          <w:rFonts w:ascii="Cambria" w:hAnsi="Cambria"/>
        </w:rPr>
        <w:t xml:space="preserve"> was defined in Bebbington and Jenkins., (2022), </w:t>
      </w:r>
      <w:r>
        <w:rPr>
          <w:rFonts w:ascii="Cambria" w:hAnsi="Cambria"/>
        </w:rPr>
        <w:t xml:space="preserve">(10-20 km) </w:t>
      </w:r>
      <w:r w:rsidRPr="00EE40FB">
        <w:rPr>
          <w:rFonts w:ascii="Cambria" w:hAnsi="Cambria"/>
        </w:rPr>
        <w:t xml:space="preserve">as was the upper limit for </w:t>
      </w:r>
      <w:r w:rsidRPr="00EE40FB">
        <w:rPr>
          <w:rFonts w:ascii="Cambria" w:hAnsi="Cambria"/>
          <w:i/>
          <w:iCs/>
        </w:rPr>
        <w:t>Min-exp</w:t>
      </w:r>
      <w:r>
        <w:rPr>
          <w:rFonts w:ascii="Cambria" w:hAnsi="Cambria"/>
          <w:i/>
          <w:iCs/>
        </w:rPr>
        <w:t xml:space="preserve"> </w:t>
      </w:r>
      <w:r w:rsidRPr="008E315C">
        <w:rPr>
          <w:rFonts w:ascii="Cambria" w:hAnsi="Cambria"/>
        </w:rPr>
        <w:t>(10 km)</w:t>
      </w:r>
      <w:r w:rsidRPr="00EE40FB">
        <w:rPr>
          <w:rFonts w:ascii="Cambria" w:hAnsi="Cambria"/>
          <w:i/>
          <w:iCs/>
        </w:rPr>
        <w:t xml:space="preserve"> </w:t>
      </w:r>
      <w:r w:rsidRPr="00EE40FB">
        <w:rPr>
          <w:rFonts w:ascii="Cambria" w:hAnsi="Cambria"/>
        </w:rPr>
        <w:t xml:space="preserve">and the lower limit for </w:t>
      </w:r>
      <w:r w:rsidRPr="00EE40FB">
        <w:rPr>
          <w:rFonts w:ascii="Cambria" w:hAnsi="Cambria"/>
          <w:i/>
          <w:iCs/>
        </w:rPr>
        <w:t>Pl-exp</w:t>
      </w:r>
      <w:r>
        <w:rPr>
          <w:rFonts w:ascii="Cambria" w:hAnsi="Cambria"/>
          <w:i/>
          <w:iCs/>
        </w:rPr>
        <w:t xml:space="preserve"> </w:t>
      </w:r>
      <w:r w:rsidRPr="008E315C">
        <w:rPr>
          <w:rFonts w:ascii="Cambria" w:hAnsi="Cambria"/>
        </w:rPr>
        <w:t>(20</w:t>
      </w:r>
      <w:r>
        <w:rPr>
          <w:rFonts w:ascii="Cambria" w:hAnsi="Cambria"/>
        </w:rPr>
        <w:t xml:space="preserve"> </w:t>
      </w:r>
      <w:r w:rsidRPr="008E315C">
        <w:rPr>
          <w:rFonts w:ascii="Cambria" w:hAnsi="Cambria"/>
        </w:rPr>
        <w:t>km)</w:t>
      </w:r>
      <w:r w:rsidRPr="00CC583A">
        <w:rPr>
          <w:rFonts w:ascii="Cambria" w:hAnsi="Cambria"/>
        </w:rPr>
        <w:t>.</w:t>
      </w:r>
      <w:r w:rsidRPr="00EE40FB">
        <w:rPr>
          <w:rFonts w:ascii="Cambria" w:hAnsi="Cambria"/>
        </w:rPr>
        <w:t xml:space="preserve"> </w:t>
      </w:r>
    </w:p>
    <w:p w14:paraId="735CE80B" w14:textId="77777777" w:rsidR="00F65D2A" w:rsidRPr="00EE40FB" w:rsidRDefault="00F65D2A" w:rsidP="00F65D2A">
      <w:pPr>
        <w:spacing w:line="360" w:lineRule="auto"/>
        <w:jc w:val="both"/>
        <w:rPr>
          <w:rFonts w:ascii="Cambria" w:hAnsi="Cambria"/>
        </w:rPr>
      </w:pPr>
    </w:p>
    <w:p w14:paraId="4E3EF517" w14:textId="77777777" w:rsidR="00F65D2A" w:rsidRPr="00EE40FB" w:rsidRDefault="00F65D2A" w:rsidP="00F65D2A">
      <w:pPr>
        <w:spacing w:line="360" w:lineRule="auto"/>
        <w:jc w:val="both"/>
        <w:rPr>
          <w:rFonts w:ascii="Cambria" w:hAnsi="Cambria"/>
        </w:rPr>
      </w:pPr>
    </w:p>
    <w:p w14:paraId="604D6060" w14:textId="77777777" w:rsidR="00F65D2A" w:rsidRPr="00EE40FB" w:rsidRDefault="00F65D2A" w:rsidP="00F65D2A">
      <w:pPr>
        <w:spacing w:line="360" w:lineRule="auto"/>
        <w:jc w:val="both"/>
        <w:rPr>
          <w:rFonts w:ascii="Cambria" w:hAnsi="Cambria"/>
        </w:rPr>
      </w:pPr>
      <w:r w:rsidRPr="00EE40FB">
        <w:rPr>
          <w:rFonts w:ascii="Cambria" w:hAnsi="Cambria"/>
        </w:rPr>
        <w:lastRenderedPageBreak/>
        <w:t xml:space="preserve">Information on the total erupted mass from eruptions at our analogue volcanoes is not available, therefore for eruption scenarios </w:t>
      </w:r>
      <w:r w:rsidRPr="00EE40FB">
        <w:rPr>
          <w:rFonts w:ascii="Cambria" w:hAnsi="Cambria"/>
          <w:i/>
          <w:iCs/>
        </w:rPr>
        <w:t xml:space="preserve">Min-exp - Pl-exp </w:t>
      </w:r>
      <w:r w:rsidRPr="00EE40FB">
        <w:rPr>
          <w:rFonts w:ascii="Cambria" w:hAnsi="Cambria"/>
        </w:rPr>
        <w:t>we used the column heights to calculate erupted volumes using the relationship developed by Mastin et al., (2009).  Volume was then converted to mass using a density of 935 kg/m</w:t>
      </w:r>
      <w:r>
        <w:rPr>
          <w:rFonts w:ascii="Cambria" w:hAnsi="Cambria"/>
          <w:vertAlign w:val="superscript"/>
        </w:rPr>
        <w:t>3</w:t>
      </w:r>
      <w:r w:rsidRPr="00EE40FB">
        <w:rPr>
          <w:rFonts w:ascii="Cambria" w:hAnsi="Cambria"/>
        </w:rPr>
        <w:t xml:space="preserve"> (Bear-Crozier et al., 2012). For our prolonged eruption scenarios, we used the Vulcanian setting within </w:t>
      </w:r>
      <w:proofErr w:type="spellStart"/>
      <w:r w:rsidRPr="00EE40FB">
        <w:rPr>
          <w:rFonts w:ascii="Cambria" w:hAnsi="Cambria"/>
        </w:rPr>
        <w:t>TephraProb</w:t>
      </w:r>
      <w:proofErr w:type="spellEnd"/>
      <w:r>
        <w:rPr>
          <w:rFonts w:ascii="Cambria" w:hAnsi="Cambria"/>
        </w:rPr>
        <w:t xml:space="preserve"> (</w:t>
      </w:r>
      <w:proofErr w:type="spellStart"/>
      <w:r>
        <w:rPr>
          <w:rFonts w:ascii="Cambria" w:hAnsi="Cambria"/>
        </w:rPr>
        <w:t>Biass</w:t>
      </w:r>
      <w:proofErr w:type="spellEnd"/>
      <w:r>
        <w:rPr>
          <w:rFonts w:ascii="Cambria" w:hAnsi="Cambria"/>
        </w:rPr>
        <w:t xml:space="preserve"> et al., 2016)</w:t>
      </w:r>
      <w:r w:rsidRPr="00EE40FB">
        <w:rPr>
          <w:rFonts w:ascii="Cambria" w:hAnsi="Cambria"/>
        </w:rPr>
        <w:t xml:space="preserve">, in doing so the erupted mass of each explosion is calculated from the sampled plume height using the thermal equation of Bonadonna et al., (2002). </w:t>
      </w:r>
    </w:p>
    <w:p w14:paraId="137727BB" w14:textId="77777777" w:rsidR="00F65D2A" w:rsidRPr="00EE40FB" w:rsidRDefault="00F65D2A" w:rsidP="00F65D2A">
      <w:pPr>
        <w:spacing w:line="360" w:lineRule="auto"/>
        <w:jc w:val="both"/>
        <w:rPr>
          <w:rFonts w:ascii="Cambria" w:hAnsi="Cambria"/>
        </w:rPr>
      </w:pPr>
    </w:p>
    <w:p w14:paraId="5D3BF724" w14:textId="504927CF" w:rsidR="00F65D2A" w:rsidRPr="00EE40FB" w:rsidRDefault="00F65D2A" w:rsidP="00F65D2A">
      <w:pPr>
        <w:spacing w:line="360" w:lineRule="auto"/>
        <w:jc w:val="both"/>
        <w:rPr>
          <w:rFonts w:ascii="Cambria" w:hAnsi="Cambria"/>
        </w:rPr>
      </w:pPr>
      <w:r>
        <w:rPr>
          <w:rFonts w:ascii="Cambria" w:hAnsi="Cambria"/>
        </w:rPr>
        <w:t>Total grain size distribution (</w:t>
      </w:r>
      <w:r w:rsidRPr="00EE40FB">
        <w:rPr>
          <w:rFonts w:ascii="Cambria" w:hAnsi="Cambria"/>
        </w:rPr>
        <w:t>TGSD</w:t>
      </w:r>
      <w:r>
        <w:rPr>
          <w:rFonts w:ascii="Cambria" w:hAnsi="Cambria"/>
        </w:rPr>
        <w:t xml:space="preserve">) </w:t>
      </w:r>
      <w:r w:rsidRPr="00EE40FB">
        <w:rPr>
          <w:rFonts w:ascii="Cambria" w:hAnsi="Cambria"/>
        </w:rPr>
        <w:t>is one of the most difficult eruption source parameters to constrain, requiring interpolation from widespread field data (Pioli et al., 2019). TGSD information is not available for any of our analogue volcanoes, we therefore expanded the search to look at eruptions globally with characteristics that fit with our eruptive scenarios for Gede (Table 1).</w:t>
      </w:r>
    </w:p>
    <w:p w14:paraId="6085017C" w14:textId="77777777" w:rsidR="00F65D2A" w:rsidRPr="00EE40FB" w:rsidRDefault="00F65D2A" w:rsidP="00F65D2A">
      <w:pPr>
        <w:spacing w:line="360" w:lineRule="auto"/>
        <w:jc w:val="both"/>
        <w:rPr>
          <w:rFonts w:ascii="Cambria" w:hAnsi="Cambria"/>
        </w:rPr>
      </w:pPr>
    </w:p>
    <w:p w14:paraId="6996D0FB" w14:textId="07A5279D" w:rsidR="00F65D2A" w:rsidRDefault="00F65D2A" w:rsidP="00F65D2A">
      <w:pPr>
        <w:spacing w:line="360" w:lineRule="auto"/>
        <w:jc w:val="both"/>
        <w:rPr>
          <w:rFonts w:ascii="Cambria" w:hAnsi="Cambria"/>
        </w:rPr>
      </w:pPr>
      <w:r w:rsidRPr="00EE40FB">
        <w:rPr>
          <w:rFonts w:ascii="Cambria" w:hAnsi="Cambria"/>
        </w:rPr>
        <w:t>Strombolian (</w:t>
      </w:r>
      <w:proofErr w:type="spellStart"/>
      <w:r w:rsidRPr="00EE40FB">
        <w:rPr>
          <w:rFonts w:ascii="Cambria" w:hAnsi="Cambria"/>
          <w:i/>
          <w:iCs/>
        </w:rPr>
        <w:t>Cont</w:t>
      </w:r>
      <w:proofErr w:type="spellEnd"/>
      <w:r w:rsidRPr="00EE40FB">
        <w:rPr>
          <w:rFonts w:ascii="Cambria" w:hAnsi="Cambria"/>
          <w:i/>
          <w:iCs/>
        </w:rPr>
        <w:t>-exp</w:t>
      </w:r>
      <w:r w:rsidRPr="00EE40FB">
        <w:rPr>
          <w:rFonts w:ascii="Cambria" w:hAnsi="Cambria"/>
        </w:rPr>
        <w:t>) or vulcanian (</w:t>
      </w:r>
      <w:r w:rsidRPr="00EE40FB">
        <w:rPr>
          <w:rFonts w:ascii="Cambria" w:hAnsi="Cambria"/>
          <w:i/>
          <w:iCs/>
        </w:rPr>
        <w:t>Int-exp</w:t>
      </w:r>
      <w:r w:rsidRPr="00EE40FB">
        <w:rPr>
          <w:rFonts w:ascii="Cambria" w:hAnsi="Cambria"/>
        </w:rPr>
        <w:t xml:space="preserve">) style eruptions consist of a series of discrete explosions that can last from days to years. In our analogue set, phase durations ranged from 1-850 and 1-1605 days for </w:t>
      </w:r>
      <w:proofErr w:type="spellStart"/>
      <w:r w:rsidRPr="00EE40FB">
        <w:rPr>
          <w:rFonts w:ascii="Cambria" w:hAnsi="Cambria"/>
          <w:i/>
          <w:iCs/>
        </w:rPr>
        <w:t>Cont</w:t>
      </w:r>
      <w:proofErr w:type="spellEnd"/>
      <w:r w:rsidRPr="00EE40FB">
        <w:rPr>
          <w:rFonts w:ascii="Cambria" w:hAnsi="Cambria"/>
          <w:i/>
          <w:iCs/>
        </w:rPr>
        <w:t xml:space="preserve">-exp </w:t>
      </w:r>
      <w:r w:rsidRPr="00EE40FB">
        <w:rPr>
          <w:rFonts w:ascii="Cambria" w:hAnsi="Cambria"/>
        </w:rPr>
        <w:t xml:space="preserve">and </w:t>
      </w:r>
      <w:r w:rsidRPr="00EE40FB">
        <w:rPr>
          <w:rFonts w:ascii="Cambria" w:hAnsi="Cambria"/>
          <w:i/>
          <w:iCs/>
        </w:rPr>
        <w:t xml:space="preserve">Int-exp </w:t>
      </w:r>
      <w:r w:rsidRPr="00EE40FB">
        <w:rPr>
          <w:rFonts w:ascii="Cambria" w:hAnsi="Cambria"/>
        </w:rPr>
        <w:t>respectively. For the eruption duration we used a uniform distribution bounded by the 25</w:t>
      </w:r>
      <w:r w:rsidRPr="00EE40FB">
        <w:rPr>
          <w:rFonts w:ascii="Cambria" w:hAnsi="Cambria"/>
          <w:vertAlign w:val="superscript"/>
        </w:rPr>
        <w:t>th</w:t>
      </w:r>
      <w:r w:rsidRPr="00EE40FB">
        <w:rPr>
          <w:rFonts w:ascii="Cambria" w:hAnsi="Cambria"/>
        </w:rPr>
        <w:t>-75</w:t>
      </w:r>
      <w:r w:rsidRPr="00EE40FB">
        <w:rPr>
          <w:rFonts w:ascii="Cambria" w:hAnsi="Cambria"/>
          <w:vertAlign w:val="superscript"/>
        </w:rPr>
        <w:t>th</w:t>
      </w:r>
      <w:r w:rsidRPr="00EE40FB">
        <w:rPr>
          <w:rFonts w:ascii="Cambria" w:hAnsi="Cambria"/>
        </w:rPr>
        <w:t xml:space="preserve"> percentile durations. For the repose interval between </w:t>
      </w:r>
      <w:r w:rsidR="003F4326" w:rsidRPr="00EE40FB">
        <w:rPr>
          <w:rFonts w:ascii="Cambria" w:hAnsi="Cambria"/>
        </w:rPr>
        <w:t>explosions,</w:t>
      </w:r>
      <w:r w:rsidRPr="00EE40FB">
        <w:rPr>
          <w:rFonts w:ascii="Cambria" w:hAnsi="Cambria"/>
        </w:rPr>
        <w:t xml:space="preserve"> we used a log-normal distribution between 20 mins – 1 hour for </w:t>
      </w:r>
      <w:proofErr w:type="spellStart"/>
      <w:r w:rsidRPr="00EE40FB">
        <w:rPr>
          <w:rFonts w:ascii="Cambria" w:hAnsi="Cambria"/>
          <w:i/>
          <w:iCs/>
        </w:rPr>
        <w:t>Cont</w:t>
      </w:r>
      <w:proofErr w:type="spellEnd"/>
      <w:r w:rsidRPr="00EE40FB">
        <w:rPr>
          <w:rFonts w:ascii="Cambria" w:hAnsi="Cambria"/>
          <w:i/>
          <w:iCs/>
        </w:rPr>
        <w:t xml:space="preserve">-exp </w:t>
      </w:r>
      <w:r w:rsidRPr="00EE40FB">
        <w:rPr>
          <w:rFonts w:ascii="Cambria" w:hAnsi="Cambria"/>
        </w:rPr>
        <w:t xml:space="preserve">and 1 hour-24 hours for </w:t>
      </w:r>
      <w:r w:rsidRPr="00EE40FB">
        <w:rPr>
          <w:rFonts w:ascii="Cambria" w:hAnsi="Cambria"/>
          <w:i/>
          <w:iCs/>
        </w:rPr>
        <w:t>Int-exp</w:t>
      </w:r>
      <w:r w:rsidRPr="00EE40FB">
        <w:rPr>
          <w:rFonts w:ascii="Cambria" w:hAnsi="Cambria"/>
        </w:rPr>
        <w:t xml:space="preserve">, which gives preference to the lower repose times (Sandri et al., 2014; and </w:t>
      </w:r>
      <w:proofErr w:type="spellStart"/>
      <w:r w:rsidRPr="00EE40FB">
        <w:rPr>
          <w:rFonts w:ascii="Cambria" w:hAnsi="Cambria"/>
        </w:rPr>
        <w:t>Biass</w:t>
      </w:r>
      <w:proofErr w:type="spellEnd"/>
      <w:r w:rsidRPr="00EE40FB">
        <w:rPr>
          <w:rFonts w:ascii="Cambria" w:hAnsi="Cambria"/>
        </w:rPr>
        <w:t xml:space="preserve"> et al., 2016).</w:t>
      </w:r>
    </w:p>
    <w:p w14:paraId="675A8DBB" w14:textId="77777777" w:rsidR="00F65D2A" w:rsidRDefault="00F65D2A" w:rsidP="00F65D2A">
      <w:pPr>
        <w:spacing w:line="360" w:lineRule="auto"/>
        <w:jc w:val="both"/>
        <w:rPr>
          <w:rFonts w:ascii="Cambria" w:hAnsi="Cambria"/>
        </w:rPr>
      </w:pPr>
    </w:p>
    <w:p w14:paraId="70CDA299" w14:textId="426FA63C" w:rsidR="00F65D2A" w:rsidRDefault="00F65D2A" w:rsidP="00F65D2A">
      <w:pPr>
        <w:suppressLineNumbers/>
        <w:spacing w:line="360" w:lineRule="auto"/>
        <w:rPr>
          <w:rFonts w:ascii="Cambria" w:hAnsi="Cambria"/>
        </w:rPr>
      </w:pPr>
      <w:r w:rsidRPr="00EE40FB">
        <w:rPr>
          <w:rFonts w:ascii="Cambria" w:hAnsi="Cambria"/>
        </w:rPr>
        <w:t xml:space="preserve">Table 1. Input parameters for tephra fall simulations conducted using Tephra2 run through the </w:t>
      </w:r>
      <w:proofErr w:type="spellStart"/>
      <w:r w:rsidRPr="00EE40FB">
        <w:rPr>
          <w:rFonts w:ascii="Cambria" w:hAnsi="Cambria"/>
        </w:rPr>
        <w:t>matlab</w:t>
      </w:r>
      <w:proofErr w:type="spellEnd"/>
      <w:r w:rsidRPr="00EE40FB">
        <w:rPr>
          <w:rFonts w:ascii="Cambria" w:hAnsi="Cambria"/>
        </w:rPr>
        <w:t xml:space="preserve"> probabilistic wrapper </w:t>
      </w:r>
      <w:proofErr w:type="spellStart"/>
      <w:r w:rsidRPr="00EE40FB">
        <w:rPr>
          <w:rFonts w:ascii="Cambria" w:hAnsi="Cambria"/>
        </w:rPr>
        <w:t>TephraProb</w:t>
      </w:r>
      <w:proofErr w:type="spellEnd"/>
      <w:r w:rsidRPr="00EE40FB">
        <w:rPr>
          <w:rFonts w:ascii="Cambria" w:hAnsi="Cambria"/>
        </w:rPr>
        <w:t xml:space="preserve"> (</w:t>
      </w:r>
      <w:proofErr w:type="spellStart"/>
      <w:r w:rsidRPr="00EE40FB">
        <w:rPr>
          <w:rFonts w:ascii="Cambria" w:hAnsi="Cambria"/>
        </w:rPr>
        <w:t>Biass</w:t>
      </w:r>
      <w:proofErr w:type="spellEnd"/>
      <w:r w:rsidRPr="00EE40FB">
        <w:rPr>
          <w:rFonts w:ascii="Cambria" w:hAnsi="Cambria"/>
        </w:rPr>
        <w:t xml:space="preserve"> et al., 2016). </w:t>
      </w:r>
    </w:p>
    <w:tbl>
      <w:tblPr>
        <w:tblStyle w:val="TableGrid"/>
        <w:tblpPr w:leftFromText="180" w:rightFromText="180" w:vertAnchor="text" w:horzAnchor="margin" w:tblpY="-9"/>
        <w:tblW w:w="9067" w:type="dxa"/>
        <w:tblLook w:val="04A0" w:firstRow="1" w:lastRow="0" w:firstColumn="1" w:lastColumn="0" w:noHBand="0" w:noVBand="1"/>
      </w:tblPr>
      <w:tblGrid>
        <w:gridCol w:w="1530"/>
        <w:gridCol w:w="1541"/>
        <w:gridCol w:w="1423"/>
        <w:gridCol w:w="1455"/>
        <w:gridCol w:w="1417"/>
        <w:gridCol w:w="1701"/>
      </w:tblGrid>
      <w:tr w:rsidR="00F65D2A" w:rsidRPr="00D4078B" w14:paraId="2D2DDF94" w14:textId="77777777" w:rsidTr="008E315C">
        <w:tc>
          <w:tcPr>
            <w:tcW w:w="1530" w:type="dxa"/>
            <w:tcBorders>
              <w:top w:val="single" w:sz="4" w:space="0" w:color="auto"/>
              <w:left w:val="nil"/>
              <w:bottom w:val="single" w:sz="4" w:space="0" w:color="auto"/>
              <w:right w:val="nil"/>
            </w:tcBorders>
            <w:vAlign w:val="center"/>
          </w:tcPr>
          <w:p w14:paraId="06FD6A0D" w14:textId="77777777" w:rsidR="00F65D2A" w:rsidRPr="00D4078B" w:rsidRDefault="00F65D2A" w:rsidP="008E315C">
            <w:pPr>
              <w:jc w:val="center"/>
              <w:rPr>
                <w:rFonts w:ascii="Cambria" w:hAnsi="Cambria"/>
                <w:sz w:val="16"/>
                <w:szCs w:val="16"/>
              </w:rPr>
            </w:pPr>
          </w:p>
        </w:tc>
        <w:tc>
          <w:tcPr>
            <w:tcW w:w="1541" w:type="dxa"/>
            <w:tcBorders>
              <w:top w:val="single" w:sz="4" w:space="0" w:color="auto"/>
              <w:left w:val="nil"/>
              <w:bottom w:val="single" w:sz="4" w:space="0" w:color="auto"/>
              <w:right w:val="nil"/>
            </w:tcBorders>
            <w:vAlign w:val="center"/>
          </w:tcPr>
          <w:p w14:paraId="42DA3A55" w14:textId="77777777" w:rsidR="00F65D2A" w:rsidRPr="00D4078B" w:rsidRDefault="00F65D2A" w:rsidP="008E315C">
            <w:pPr>
              <w:jc w:val="center"/>
              <w:rPr>
                <w:rFonts w:ascii="Cambria" w:hAnsi="Cambria"/>
                <w:sz w:val="16"/>
                <w:szCs w:val="16"/>
              </w:rPr>
            </w:pPr>
            <w:r w:rsidRPr="00D4078B">
              <w:rPr>
                <w:rFonts w:ascii="Cambria" w:hAnsi="Cambria"/>
                <w:sz w:val="16"/>
                <w:szCs w:val="16"/>
              </w:rPr>
              <w:t>Continuously explosive</w:t>
            </w:r>
          </w:p>
        </w:tc>
        <w:tc>
          <w:tcPr>
            <w:tcW w:w="1423" w:type="dxa"/>
            <w:tcBorders>
              <w:top w:val="single" w:sz="4" w:space="0" w:color="auto"/>
              <w:left w:val="nil"/>
              <w:bottom w:val="single" w:sz="4" w:space="0" w:color="auto"/>
              <w:right w:val="nil"/>
            </w:tcBorders>
            <w:vAlign w:val="center"/>
          </w:tcPr>
          <w:p w14:paraId="48FC9EE7" w14:textId="77777777" w:rsidR="00F65D2A" w:rsidRPr="00D4078B" w:rsidRDefault="00F65D2A" w:rsidP="008E315C">
            <w:pPr>
              <w:jc w:val="center"/>
              <w:rPr>
                <w:rFonts w:ascii="Cambria" w:hAnsi="Cambria"/>
                <w:sz w:val="16"/>
                <w:szCs w:val="16"/>
              </w:rPr>
            </w:pPr>
            <w:r w:rsidRPr="00D4078B">
              <w:rPr>
                <w:rFonts w:ascii="Cambria" w:hAnsi="Cambria"/>
                <w:sz w:val="16"/>
                <w:szCs w:val="16"/>
              </w:rPr>
              <w:t>Intermittently explosive</w:t>
            </w:r>
          </w:p>
        </w:tc>
        <w:tc>
          <w:tcPr>
            <w:tcW w:w="1455" w:type="dxa"/>
            <w:tcBorders>
              <w:top w:val="single" w:sz="4" w:space="0" w:color="auto"/>
              <w:left w:val="nil"/>
              <w:bottom w:val="single" w:sz="4" w:space="0" w:color="auto"/>
              <w:right w:val="nil"/>
            </w:tcBorders>
            <w:vAlign w:val="center"/>
          </w:tcPr>
          <w:p w14:paraId="1E68DD76" w14:textId="77777777" w:rsidR="00F65D2A" w:rsidRPr="00D4078B" w:rsidRDefault="00F65D2A" w:rsidP="008E315C">
            <w:pPr>
              <w:jc w:val="center"/>
              <w:rPr>
                <w:rFonts w:ascii="Cambria" w:hAnsi="Cambria"/>
                <w:sz w:val="16"/>
                <w:szCs w:val="16"/>
              </w:rPr>
            </w:pPr>
            <w:r w:rsidRPr="00D4078B">
              <w:rPr>
                <w:rFonts w:ascii="Cambria" w:hAnsi="Cambria"/>
                <w:sz w:val="16"/>
                <w:szCs w:val="16"/>
              </w:rPr>
              <w:t>Minor explosive</w:t>
            </w:r>
          </w:p>
        </w:tc>
        <w:tc>
          <w:tcPr>
            <w:tcW w:w="1417" w:type="dxa"/>
            <w:tcBorders>
              <w:top w:val="single" w:sz="4" w:space="0" w:color="auto"/>
              <w:left w:val="nil"/>
              <w:bottom w:val="single" w:sz="4" w:space="0" w:color="auto"/>
              <w:right w:val="nil"/>
            </w:tcBorders>
            <w:vAlign w:val="center"/>
          </w:tcPr>
          <w:p w14:paraId="3804ADAB" w14:textId="77777777" w:rsidR="00F65D2A" w:rsidRPr="00D4078B" w:rsidRDefault="00F65D2A" w:rsidP="008E315C">
            <w:pPr>
              <w:jc w:val="center"/>
              <w:rPr>
                <w:rFonts w:ascii="Cambria" w:hAnsi="Cambria"/>
                <w:sz w:val="16"/>
                <w:szCs w:val="16"/>
              </w:rPr>
            </w:pPr>
            <w:r w:rsidRPr="00D4078B">
              <w:rPr>
                <w:rFonts w:ascii="Cambria" w:hAnsi="Cambria"/>
                <w:sz w:val="16"/>
                <w:szCs w:val="16"/>
              </w:rPr>
              <w:t>Major explosive</w:t>
            </w:r>
          </w:p>
        </w:tc>
        <w:tc>
          <w:tcPr>
            <w:tcW w:w="1701" w:type="dxa"/>
            <w:tcBorders>
              <w:top w:val="single" w:sz="4" w:space="0" w:color="auto"/>
              <w:left w:val="nil"/>
              <w:bottom w:val="single" w:sz="4" w:space="0" w:color="auto"/>
              <w:right w:val="nil"/>
            </w:tcBorders>
            <w:vAlign w:val="center"/>
          </w:tcPr>
          <w:p w14:paraId="26873CA2" w14:textId="77777777" w:rsidR="00F65D2A" w:rsidRPr="00D4078B" w:rsidRDefault="00F65D2A" w:rsidP="008E315C">
            <w:pPr>
              <w:jc w:val="center"/>
              <w:rPr>
                <w:rFonts w:ascii="Cambria" w:hAnsi="Cambria"/>
                <w:sz w:val="16"/>
                <w:szCs w:val="16"/>
              </w:rPr>
            </w:pPr>
            <w:r w:rsidRPr="00D4078B">
              <w:rPr>
                <w:rFonts w:ascii="Cambria" w:hAnsi="Cambria"/>
                <w:sz w:val="16"/>
                <w:szCs w:val="16"/>
              </w:rPr>
              <w:t>Plinian explosive</w:t>
            </w:r>
          </w:p>
        </w:tc>
      </w:tr>
      <w:tr w:rsidR="00F65D2A" w:rsidRPr="00D4078B" w14:paraId="39B54F93" w14:textId="77777777" w:rsidTr="008E315C">
        <w:tc>
          <w:tcPr>
            <w:tcW w:w="1530" w:type="dxa"/>
            <w:tcBorders>
              <w:top w:val="single" w:sz="4" w:space="0" w:color="auto"/>
              <w:left w:val="nil"/>
              <w:bottom w:val="nil"/>
              <w:right w:val="nil"/>
            </w:tcBorders>
            <w:vAlign w:val="center"/>
          </w:tcPr>
          <w:p w14:paraId="53E70A9B" w14:textId="77777777" w:rsidR="00F65D2A" w:rsidRPr="00D4078B" w:rsidRDefault="00F65D2A" w:rsidP="008E315C">
            <w:pPr>
              <w:jc w:val="center"/>
              <w:rPr>
                <w:rFonts w:ascii="Cambria" w:hAnsi="Cambria"/>
                <w:sz w:val="16"/>
                <w:szCs w:val="16"/>
              </w:rPr>
            </w:pPr>
            <w:r w:rsidRPr="00D4078B">
              <w:rPr>
                <w:rFonts w:ascii="Cambria" w:hAnsi="Cambria"/>
                <w:sz w:val="16"/>
                <w:szCs w:val="16"/>
              </w:rPr>
              <w:t>Wind</w:t>
            </w:r>
          </w:p>
        </w:tc>
        <w:tc>
          <w:tcPr>
            <w:tcW w:w="7537" w:type="dxa"/>
            <w:gridSpan w:val="5"/>
            <w:tcBorders>
              <w:top w:val="single" w:sz="4" w:space="0" w:color="auto"/>
              <w:left w:val="nil"/>
              <w:bottom w:val="nil"/>
              <w:right w:val="nil"/>
            </w:tcBorders>
            <w:vAlign w:val="center"/>
          </w:tcPr>
          <w:p w14:paraId="618EADFB" w14:textId="77777777" w:rsidR="00F65D2A" w:rsidRPr="00D4078B" w:rsidRDefault="00F65D2A" w:rsidP="008E315C">
            <w:pPr>
              <w:jc w:val="center"/>
              <w:rPr>
                <w:rFonts w:ascii="Cambria" w:hAnsi="Cambria"/>
                <w:sz w:val="16"/>
                <w:szCs w:val="16"/>
              </w:rPr>
            </w:pPr>
            <w:r w:rsidRPr="00D4078B">
              <w:rPr>
                <w:rFonts w:ascii="Cambria" w:hAnsi="Cambria"/>
                <w:sz w:val="16"/>
                <w:szCs w:val="16"/>
              </w:rPr>
              <w:t>10 years (2014-2023) ECMWF ERA5</w:t>
            </w:r>
          </w:p>
        </w:tc>
      </w:tr>
      <w:tr w:rsidR="00F65D2A" w:rsidRPr="00D4078B" w14:paraId="1C8AE141" w14:textId="77777777" w:rsidTr="008E315C">
        <w:trPr>
          <w:trHeight w:val="359"/>
        </w:trPr>
        <w:tc>
          <w:tcPr>
            <w:tcW w:w="1530" w:type="dxa"/>
            <w:tcBorders>
              <w:top w:val="nil"/>
              <w:left w:val="nil"/>
              <w:bottom w:val="nil"/>
              <w:right w:val="nil"/>
            </w:tcBorders>
            <w:vAlign w:val="center"/>
          </w:tcPr>
          <w:p w14:paraId="7BBA88A0" w14:textId="77777777" w:rsidR="00F65D2A" w:rsidRPr="00D4078B" w:rsidRDefault="00F65D2A" w:rsidP="008E315C">
            <w:pPr>
              <w:jc w:val="center"/>
              <w:rPr>
                <w:rFonts w:ascii="Cambria" w:hAnsi="Cambria"/>
                <w:sz w:val="16"/>
                <w:szCs w:val="16"/>
              </w:rPr>
            </w:pPr>
            <w:r w:rsidRPr="00D4078B">
              <w:rPr>
                <w:rFonts w:ascii="Cambria" w:hAnsi="Cambria"/>
                <w:sz w:val="16"/>
                <w:szCs w:val="16"/>
              </w:rPr>
              <w:t>Grid</w:t>
            </w:r>
          </w:p>
        </w:tc>
        <w:tc>
          <w:tcPr>
            <w:tcW w:w="2964" w:type="dxa"/>
            <w:gridSpan w:val="2"/>
            <w:tcBorders>
              <w:top w:val="nil"/>
              <w:left w:val="nil"/>
              <w:bottom w:val="nil"/>
              <w:right w:val="nil"/>
            </w:tcBorders>
            <w:vAlign w:val="center"/>
          </w:tcPr>
          <w:p w14:paraId="3E18543E" w14:textId="77777777" w:rsidR="00F65D2A" w:rsidRPr="00D4078B" w:rsidRDefault="00F65D2A" w:rsidP="008E315C">
            <w:pPr>
              <w:jc w:val="center"/>
              <w:rPr>
                <w:rFonts w:ascii="Cambria" w:hAnsi="Cambria"/>
                <w:sz w:val="16"/>
                <w:szCs w:val="16"/>
              </w:rPr>
            </w:pPr>
            <w:r w:rsidRPr="00D4078B">
              <w:rPr>
                <w:rFonts w:ascii="Cambria" w:hAnsi="Cambria"/>
                <w:sz w:val="16"/>
                <w:szCs w:val="16"/>
              </w:rPr>
              <w:t>2 km x 2 km</w:t>
            </w:r>
          </w:p>
        </w:tc>
        <w:tc>
          <w:tcPr>
            <w:tcW w:w="4573" w:type="dxa"/>
            <w:gridSpan w:val="3"/>
            <w:tcBorders>
              <w:top w:val="nil"/>
              <w:left w:val="nil"/>
              <w:bottom w:val="nil"/>
              <w:right w:val="nil"/>
            </w:tcBorders>
            <w:vAlign w:val="center"/>
          </w:tcPr>
          <w:p w14:paraId="46649A93" w14:textId="77777777" w:rsidR="00F65D2A" w:rsidRPr="00D4078B" w:rsidRDefault="00F65D2A" w:rsidP="008E315C">
            <w:pPr>
              <w:jc w:val="center"/>
              <w:rPr>
                <w:rFonts w:ascii="Cambria" w:hAnsi="Cambria"/>
                <w:sz w:val="16"/>
                <w:szCs w:val="16"/>
              </w:rPr>
            </w:pPr>
            <w:r w:rsidRPr="00D4078B">
              <w:rPr>
                <w:rFonts w:ascii="Cambria" w:hAnsi="Cambria"/>
                <w:sz w:val="16"/>
                <w:szCs w:val="16"/>
              </w:rPr>
              <w:t>1 km x 1 km</w:t>
            </w:r>
          </w:p>
        </w:tc>
      </w:tr>
      <w:tr w:rsidR="00F65D2A" w:rsidRPr="00D4078B" w14:paraId="71D9ECE8" w14:textId="77777777" w:rsidTr="008E315C">
        <w:trPr>
          <w:trHeight w:val="359"/>
        </w:trPr>
        <w:tc>
          <w:tcPr>
            <w:tcW w:w="1530" w:type="dxa"/>
            <w:tcBorders>
              <w:top w:val="nil"/>
              <w:left w:val="nil"/>
              <w:bottom w:val="nil"/>
              <w:right w:val="nil"/>
            </w:tcBorders>
            <w:vAlign w:val="center"/>
          </w:tcPr>
          <w:p w14:paraId="16F04B04" w14:textId="77777777" w:rsidR="00F65D2A" w:rsidRPr="00D4078B" w:rsidRDefault="00F65D2A" w:rsidP="008E315C">
            <w:pPr>
              <w:jc w:val="center"/>
              <w:rPr>
                <w:rFonts w:ascii="Cambria" w:hAnsi="Cambria"/>
                <w:sz w:val="16"/>
                <w:szCs w:val="16"/>
              </w:rPr>
            </w:pPr>
            <w:r w:rsidRPr="00D4078B">
              <w:rPr>
                <w:rFonts w:ascii="Cambria" w:hAnsi="Cambria"/>
                <w:sz w:val="16"/>
                <w:szCs w:val="16"/>
              </w:rPr>
              <w:t>Number of simulations</w:t>
            </w:r>
          </w:p>
        </w:tc>
        <w:tc>
          <w:tcPr>
            <w:tcW w:w="2964" w:type="dxa"/>
            <w:gridSpan w:val="2"/>
            <w:tcBorders>
              <w:top w:val="nil"/>
              <w:left w:val="nil"/>
              <w:bottom w:val="nil"/>
              <w:right w:val="nil"/>
            </w:tcBorders>
            <w:vAlign w:val="center"/>
          </w:tcPr>
          <w:p w14:paraId="1B7A881C" w14:textId="77777777" w:rsidR="00F65D2A" w:rsidRPr="00D4078B" w:rsidRDefault="00F65D2A" w:rsidP="008E315C">
            <w:pPr>
              <w:jc w:val="center"/>
              <w:rPr>
                <w:rFonts w:ascii="Cambria" w:hAnsi="Cambria"/>
                <w:sz w:val="16"/>
                <w:szCs w:val="16"/>
              </w:rPr>
            </w:pPr>
            <w:r w:rsidRPr="00D4078B">
              <w:rPr>
                <w:rFonts w:ascii="Cambria" w:hAnsi="Cambria"/>
                <w:sz w:val="16"/>
                <w:szCs w:val="16"/>
              </w:rPr>
              <w:t>5,000</w:t>
            </w:r>
          </w:p>
          <w:p w14:paraId="46C461BA" w14:textId="77777777" w:rsidR="00F65D2A" w:rsidRPr="00D4078B" w:rsidRDefault="00F65D2A" w:rsidP="008E315C">
            <w:pPr>
              <w:jc w:val="center"/>
              <w:rPr>
                <w:rFonts w:ascii="Cambria" w:hAnsi="Cambria"/>
                <w:sz w:val="16"/>
                <w:szCs w:val="16"/>
              </w:rPr>
            </w:pPr>
            <w:r w:rsidRPr="00D4078B">
              <w:rPr>
                <w:rFonts w:ascii="Cambria" w:hAnsi="Cambria"/>
                <w:sz w:val="16"/>
                <w:szCs w:val="16"/>
              </w:rPr>
              <w:t>(1 season scenario produced a huge amount of data, 1.25TB)</w:t>
            </w:r>
          </w:p>
        </w:tc>
        <w:tc>
          <w:tcPr>
            <w:tcW w:w="4573" w:type="dxa"/>
            <w:gridSpan w:val="3"/>
            <w:tcBorders>
              <w:top w:val="nil"/>
              <w:left w:val="nil"/>
              <w:bottom w:val="nil"/>
              <w:right w:val="nil"/>
            </w:tcBorders>
            <w:vAlign w:val="center"/>
          </w:tcPr>
          <w:p w14:paraId="76E60850" w14:textId="77777777" w:rsidR="00F65D2A" w:rsidRPr="00D4078B" w:rsidRDefault="00F65D2A" w:rsidP="008E315C">
            <w:pPr>
              <w:jc w:val="center"/>
              <w:rPr>
                <w:rFonts w:ascii="Cambria" w:hAnsi="Cambria"/>
                <w:sz w:val="16"/>
                <w:szCs w:val="16"/>
              </w:rPr>
            </w:pPr>
            <w:r w:rsidRPr="00D4078B">
              <w:rPr>
                <w:rFonts w:ascii="Cambria" w:hAnsi="Cambria"/>
                <w:sz w:val="16"/>
                <w:szCs w:val="16"/>
              </w:rPr>
              <w:t>10,000</w:t>
            </w:r>
          </w:p>
        </w:tc>
      </w:tr>
      <w:tr w:rsidR="00F65D2A" w:rsidRPr="00D4078B" w14:paraId="7E9F60F1" w14:textId="77777777" w:rsidTr="008E315C">
        <w:trPr>
          <w:trHeight w:val="359"/>
        </w:trPr>
        <w:tc>
          <w:tcPr>
            <w:tcW w:w="1530" w:type="dxa"/>
            <w:tcBorders>
              <w:top w:val="nil"/>
              <w:left w:val="nil"/>
              <w:bottom w:val="nil"/>
              <w:right w:val="nil"/>
            </w:tcBorders>
            <w:vAlign w:val="center"/>
          </w:tcPr>
          <w:p w14:paraId="50626642" w14:textId="77777777" w:rsidR="00F65D2A" w:rsidRPr="00D4078B" w:rsidRDefault="00F65D2A" w:rsidP="008E315C">
            <w:pPr>
              <w:jc w:val="center"/>
              <w:rPr>
                <w:rFonts w:ascii="Cambria" w:hAnsi="Cambria"/>
                <w:sz w:val="16"/>
                <w:szCs w:val="16"/>
              </w:rPr>
            </w:pPr>
            <w:r w:rsidRPr="00D4078B">
              <w:rPr>
                <w:rFonts w:ascii="Cambria" w:hAnsi="Cambria"/>
                <w:sz w:val="16"/>
                <w:szCs w:val="16"/>
              </w:rPr>
              <w:t>Seasonality</w:t>
            </w:r>
          </w:p>
        </w:tc>
        <w:tc>
          <w:tcPr>
            <w:tcW w:w="7537" w:type="dxa"/>
            <w:gridSpan w:val="5"/>
            <w:tcBorders>
              <w:top w:val="nil"/>
              <w:left w:val="nil"/>
              <w:bottom w:val="nil"/>
              <w:right w:val="nil"/>
            </w:tcBorders>
            <w:vAlign w:val="center"/>
          </w:tcPr>
          <w:p w14:paraId="69F9D40E" w14:textId="77777777" w:rsidR="00F65D2A" w:rsidRPr="00D4078B" w:rsidRDefault="00F65D2A" w:rsidP="008E315C">
            <w:pPr>
              <w:jc w:val="center"/>
              <w:rPr>
                <w:rFonts w:ascii="Cambria" w:hAnsi="Cambria"/>
                <w:sz w:val="16"/>
                <w:szCs w:val="16"/>
              </w:rPr>
            </w:pPr>
            <w:r w:rsidRPr="00D4078B">
              <w:rPr>
                <w:rFonts w:ascii="Cambria" w:hAnsi="Cambria"/>
                <w:sz w:val="16"/>
                <w:szCs w:val="16"/>
              </w:rPr>
              <w:t>Dry season April-November</w:t>
            </w:r>
          </w:p>
          <w:p w14:paraId="30491460" w14:textId="77777777" w:rsidR="00F65D2A" w:rsidRPr="00D4078B" w:rsidRDefault="00F65D2A" w:rsidP="008E315C">
            <w:pPr>
              <w:jc w:val="center"/>
              <w:rPr>
                <w:rFonts w:ascii="Cambria" w:hAnsi="Cambria"/>
                <w:sz w:val="16"/>
                <w:szCs w:val="16"/>
              </w:rPr>
            </w:pPr>
            <w:r w:rsidRPr="00D4078B">
              <w:rPr>
                <w:rFonts w:ascii="Cambria" w:hAnsi="Cambria"/>
                <w:sz w:val="16"/>
                <w:szCs w:val="16"/>
              </w:rPr>
              <w:t>Rainy season December-March</w:t>
            </w:r>
          </w:p>
        </w:tc>
      </w:tr>
      <w:tr w:rsidR="00F65D2A" w:rsidRPr="00D4078B" w14:paraId="03D9604C" w14:textId="77777777" w:rsidTr="008E315C">
        <w:trPr>
          <w:trHeight w:val="723"/>
        </w:trPr>
        <w:tc>
          <w:tcPr>
            <w:tcW w:w="1530" w:type="dxa"/>
            <w:tcBorders>
              <w:top w:val="nil"/>
              <w:left w:val="nil"/>
              <w:bottom w:val="nil"/>
              <w:right w:val="nil"/>
            </w:tcBorders>
            <w:vAlign w:val="center"/>
          </w:tcPr>
          <w:p w14:paraId="4356F4FD"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Plume </w:t>
            </w:r>
            <w:proofErr w:type="spellStart"/>
            <w:r w:rsidRPr="00D4078B">
              <w:rPr>
                <w:rFonts w:ascii="Cambria" w:hAnsi="Cambria"/>
                <w:sz w:val="16"/>
                <w:szCs w:val="16"/>
              </w:rPr>
              <w:t>ht</w:t>
            </w:r>
            <w:proofErr w:type="spellEnd"/>
            <w:r w:rsidRPr="00D4078B">
              <w:rPr>
                <w:rFonts w:ascii="Cambria" w:hAnsi="Cambria"/>
                <w:sz w:val="16"/>
                <w:szCs w:val="16"/>
              </w:rPr>
              <w:t xml:space="preserve"> (m above vent)</w:t>
            </w:r>
          </w:p>
        </w:tc>
        <w:tc>
          <w:tcPr>
            <w:tcW w:w="1541" w:type="dxa"/>
            <w:tcBorders>
              <w:top w:val="nil"/>
              <w:left w:val="nil"/>
              <w:bottom w:val="nil"/>
              <w:right w:val="nil"/>
            </w:tcBorders>
            <w:vAlign w:val="center"/>
          </w:tcPr>
          <w:p w14:paraId="7A0155EA" w14:textId="77777777" w:rsidR="00F65D2A" w:rsidRPr="00D4078B" w:rsidRDefault="00F65D2A" w:rsidP="008E315C">
            <w:pPr>
              <w:jc w:val="center"/>
              <w:rPr>
                <w:rFonts w:ascii="Cambria" w:hAnsi="Cambria"/>
                <w:sz w:val="16"/>
                <w:szCs w:val="16"/>
              </w:rPr>
            </w:pPr>
            <w:r w:rsidRPr="00D4078B">
              <w:rPr>
                <w:rFonts w:ascii="Cambria" w:hAnsi="Cambria"/>
                <w:sz w:val="16"/>
                <w:szCs w:val="16"/>
              </w:rPr>
              <w:t>3,000- 7,000</w:t>
            </w:r>
          </w:p>
          <w:p w14:paraId="2049E134"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(analogues)</w:t>
            </w:r>
          </w:p>
        </w:tc>
        <w:tc>
          <w:tcPr>
            <w:tcW w:w="1423" w:type="dxa"/>
            <w:tcBorders>
              <w:top w:val="nil"/>
              <w:left w:val="nil"/>
              <w:bottom w:val="nil"/>
              <w:right w:val="nil"/>
            </w:tcBorders>
            <w:vAlign w:val="center"/>
          </w:tcPr>
          <w:p w14:paraId="4D5150A5"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1,000-8,000 </w:t>
            </w:r>
            <w:r w:rsidRPr="00D4078B">
              <w:rPr>
                <w:rFonts w:ascii="Cambria" w:hAnsi="Cambria"/>
                <w:i/>
                <w:iCs/>
                <w:color w:val="BFBFBF" w:themeColor="background1" w:themeShade="BF"/>
                <w:sz w:val="16"/>
                <w:szCs w:val="16"/>
              </w:rPr>
              <w:t>(analogues)</w:t>
            </w:r>
          </w:p>
        </w:tc>
        <w:tc>
          <w:tcPr>
            <w:tcW w:w="1455" w:type="dxa"/>
            <w:tcBorders>
              <w:top w:val="nil"/>
              <w:left w:val="nil"/>
              <w:bottom w:val="nil"/>
              <w:right w:val="nil"/>
            </w:tcBorders>
            <w:vAlign w:val="center"/>
          </w:tcPr>
          <w:p w14:paraId="438FB218" w14:textId="77777777" w:rsidR="00F65D2A" w:rsidRPr="00D4078B" w:rsidRDefault="00F65D2A" w:rsidP="008E315C">
            <w:pPr>
              <w:jc w:val="center"/>
              <w:rPr>
                <w:rFonts w:ascii="Cambria" w:hAnsi="Cambria"/>
                <w:sz w:val="16"/>
                <w:szCs w:val="16"/>
              </w:rPr>
            </w:pPr>
            <w:r w:rsidRPr="00D4078B">
              <w:rPr>
                <w:rFonts w:ascii="Cambria" w:hAnsi="Cambria"/>
                <w:sz w:val="16"/>
                <w:szCs w:val="16"/>
              </w:rPr>
              <w:t>1,000- 10,000</w:t>
            </w:r>
          </w:p>
          <w:p w14:paraId="7AB008A0"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(analogues and Bebbington &amp; Jenkins., 2022)</w:t>
            </w:r>
          </w:p>
        </w:tc>
        <w:tc>
          <w:tcPr>
            <w:tcW w:w="1417" w:type="dxa"/>
            <w:tcBorders>
              <w:top w:val="nil"/>
              <w:left w:val="nil"/>
              <w:bottom w:val="nil"/>
              <w:right w:val="nil"/>
            </w:tcBorders>
            <w:vAlign w:val="center"/>
          </w:tcPr>
          <w:p w14:paraId="4E47CE05"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10,000-20,000 </w:t>
            </w:r>
            <w:r w:rsidRPr="00D4078B">
              <w:rPr>
                <w:rFonts w:ascii="Cambria" w:hAnsi="Cambria"/>
                <w:i/>
                <w:iCs/>
                <w:color w:val="BFBFBF" w:themeColor="background1" w:themeShade="BF"/>
                <w:sz w:val="16"/>
                <w:szCs w:val="16"/>
              </w:rPr>
              <w:t>(Bebbington &amp; Jenkins., 2022)</w:t>
            </w:r>
          </w:p>
        </w:tc>
        <w:tc>
          <w:tcPr>
            <w:tcW w:w="1701" w:type="dxa"/>
            <w:tcBorders>
              <w:top w:val="nil"/>
              <w:left w:val="nil"/>
              <w:bottom w:val="nil"/>
              <w:right w:val="nil"/>
            </w:tcBorders>
            <w:vAlign w:val="center"/>
          </w:tcPr>
          <w:p w14:paraId="33B7853C" w14:textId="77777777" w:rsidR="00F65D2A" w:rsidRPr="00D4078B" w:rsidRDefault="00F65D2A" w:rsidP="008E315C">
            <w:pPr>
              <w:jc w:val="center"/>
              <w:rPr>
                <w:rFonts w:ascii="Cambria" w:hAnsi="Cambria"/>
                <w:sz w:val="16"/>
                <w:szCs w:val="16"/>
              </w:rPr>
            </w:pPr>
            <w:r w:rsidRPr="00D4078B">
              <w:rPr>
                <w:rFonts w:ascii="Cambria" w:hAnsi="Cambria"/>
                <w:sz w:val="16"/>
                <w:szCs w:val="16"/>
              </w:rPr>
              <w:t>20,000- 30,000</w:t>
            </w:r>
          </w:p>
          <w:p w14:paraId="227F2C76"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(Bebbington &amp; Jenkins., 2022)</w:t>
            </w:r>
          </w:p>
        </w:tc>
      </w:tr>
      <w:tr w:rsidR="00F65D2A" w:rsidRPr="00D4078B" w14:paraId="430CFDE5" w14:textId="77777777" w:rsidTr="008E315C">
        <w:tc>
          <w:tcPr>
            <w:tcW w:w="1530" w:type="dxa"/>
            <w:tcBorders>
              <w:top w:val="nil"/>
              <w:left w:val="nil"/>
              <w:bottom w:val="nil"/>
              <w:right w:val="nil"/>
            </w:tcBorders>
            <w:vAlign w:val="center"/>
          </w:tcPr>
          <w:p w14:paraId="454FE447" w14:textId="77777777" w:rsidR="00F65D2A" w:rsidRPr="00D4078B" w:rsidRDefault="00F65D2A" w:rsidP="008E315C">
            <w:pPr>
              <w:jc w:val="center"/>
              <w:rPr>
                <w:rFonts w:ascii="Cambria" w:hAnsi="Cambria"/>
                <w:sz w:val="16"/>
                <w:szCs w:val="16"/>
              </w:rPr>
            </w:pPr>
            <w:r w:rsidRPr="00D4078B">
              <w:rPr>
                <w:rFonts w:ascii="Cambria" w:hAnsi="Cambria"/>
                <w:sz w:val="16"/>
                <w:szCs w:val="16"/>
              </w:rPr>
              <w:t>Duration</w:t>
            </w:r>
          </w:p>
        </w:tc>
        <w:tc>
          <w:tcPr>
            <w:tcW w:w="1541" w:type="dxa"/>
            <w:tcBorders>
              <w:top w:val="nil"/>
              <w:left w:val="nil"/>
              <w:bottom w:val="nil"/>
              <w:right w:val="nil"/>
            </w:tcBorders>
            <w:vAlign w:val="center"/>
          </w:tcPr>
          <w:p w14:paraId="24F55920" w14:textId="77777777" w:rsidR="00F65D2A" w:rsidRPr="00D4078B" w:rsidRDefault="00F65D2A" w:rsidP="008E315C">
            <w:pPr>
              <w:jc w:val="center"/>
              <w:rPr>
                <w:rFonts w:ascii="Cambria" w:hAnsi="Cambria"/>
                <w:sz w:val="16"/>
                <w:szCs w:val="16"/>
              </w:rPr>
            </w:pPr>
            <w:r w:rsidRPr="00D4078B">
              <w:rPr>
                <w:rFonts w:ascii="Cambria" w:hAnsi="Cambria"/>
                <w:sz w:val="16"/>
                <w:szCs w:val="16"/>
              </w:rPr>
              <w:t>1-13 days</w:t>
            </w:r>
          </w:p>
          <w:p w14:paraId="7368F897" w14:textId="77777777" w:rsidR="00F65D2A" w:rsidRPr="00D4078B" w:rsidRDefault="00F65D2A" w:rsidP="008E315C">
            <w:pPr>
              <w:jc w:val="center"/>
              <w:rPr>
                <w:rFonts w:ascii="Cambria" w:hAnsi="Cambria"/>
                <w:i/>
                <w:iCs/>
                <w:color w:val="BFBFBF" w:themeColor="background1" w:themeShade="BF"/>
                <w:sz w:val="16"/>
                <w:szCs w:val="16"/>
              </w:rPr>
            </w:pPr>
            <w:r w:rsidRPr="00D4078B">
              <w:rPr>
                <w:rFonts w:ascii="Cambria" w:hAnsi="Cambria"/>
                <w:i/>
                <w:iCs/>
                <w:color w:val="BFBFBF" w:themeColor="background1" w:themeShade="BF"/>
                <w:sz w:val="16"/>
                <w:szCs w:val="16"/>
              </w:rPr>
              <w:t>(25</w:t>
            </w:r>
            <w:r w:rsidRPr="00D4078B">
              <w:rPr>
                <w:rFonts w:ascii="Cambria" w:hAnsi="Cambria"/>
                <w:i/>
                <w:iCs/>
                <w:color w:val="BFBFBF" w:themeColor="background1" w:themeShade="BF"/>
                <w:sz w:val="16"/>
                <w:szCs w:val="16"/>
                <w:vertAlign w:val="superscript"/>
              </w:rPr>
              <w:t>th</w:t>
            </w:r>
            <w:r w:rsidRPr="00D4078B">
              <w:rPr>
                <w:rFonts w:ascii="Cambria" w:hAnsi="Cambria"/>
                <w:i/>
                <w:iCs/>
                <w:color w:val="BFBFBF" w:themeColor="background1" w:themeShade="BF"/>
                <w:sz w:val="16"/>
                <w:szCs w:val="16"/>
              </w:rPr>
              <w:t>-75</w:t>
            </w:r>
            <w:r w:rsidRPr="00D4078B">
              <w:rPr>
                <w:rFonts w:ascii="Cambria" w:hAnsi="Cambria"/>
                <w:i/>
                <w:iCs/>
                <w:color w:val="BFBFBF" w:themeColor="background1" w:themeShade="BF"/>
                <w:sz w:val="16"/>
                <w:szCs w:val="16"/>
                <w:vertAlign w:val="superscript"/>
              </w:rPr>
              <w:t>th</w:t>
            </w:r>
            <w:r w:rsidRPr="00D4078B">
              <w:rPr>
                <w:rFonts w:ascii="Cambria" w:hAnsi="Cambria"/>
                <w:i/>
                <w:iCs/>
                <w:color w:val="BFBFBF" w:themeColor="background1" w:themeShade="BF"/>
                <w:sz w:val="16"/>
                <w:szCs w:val="16"/>
              </w:rPr>
              <w:t xml:space="preserve"> percentile from Gede &amp; analogues)</w:t>
            </w:r>
          </w:p>
          <w:p w14:paraId="1D159C23"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 xml:space="preserve">(uniform </w:t>
            </w:r>
            <w:proofErr w:type="spellStart"/>
            <w:r w:rsidRPr="00D4078B">
              <w:rPr>
                <w:rFonts w:ascii="Cambria" w:hAnsi="Cambria"/>
                <w:i/>
                <w:iCs/>
                <w:color w:val="BFBFBF" w:themeColor="background1" w:themeShade="BF"/>
                <w:sz w:val="16"/>
                <w:szCs w:val="16"/>
              </w:rPr>
              <w:t>dist</w:t>
            </w:r>
            <w:proofErr w:type="spellEnd"/>
            <w:r w:rsidRPr="00D4078B">
              <w:rPr>
                <w:rFonts w:ascii="Cambria" w:hAnsi="Cambria"/>
                <w:i/>
                <w:iCs/>
                <w:color w:val="BFBFBF" w:themeColor="background1" w:themeShade="BF"/>
                <w:sz w:val="16"/>
                <w:szCs w:val="16"/>
              </w:rPr>
              <w:t>)</w:t>
            </w:r>
          </w:p>
          <w:p w14:paraId="6113B81D" w14:textId="77777777" w:rsidR="00F65D2A" w:rsidRPr="00D4078B" w:rsidRDefault="00F65D2A" w:rsidP="008E315C">
            <w:pPr>
              <w:jc w:val="center"/>
              <w:rPr>
                <w:rFonts w:ascii="Cambria" w:hAnsi="Cambria"/>
                <w:sz w:val="16"/>
                <w:szCs w:val="16"/>
              </w:rPr>
            </w:pPr>
          </w:p>
        </w:tc>
        <w:tc>
          <w:tcPr>
            <w:tcW w:w="1423" w:type="dxa"/>
            <w:tcBorders>
              <w:top w:val="nil"/>
              <w:left w:val="nil"/>
              <w:bottom w:val="nil"/>
              <w:right w:val="nil"/>
            </w:tcBorders>
            <w:vAlign w:val="center"/>
          </w:tcPr>
          <w:p w14:paraId="4C8B22BA" w14:textId="77777777" w:rsidR="00F65D2A" w:rsidRPr="00D4078B" w:rsidRDefault="00F65D2A" w:rsidP="008E315C">
            <w:pPr>
              <w:jc w:val="center"/>
              <w:rPr>
                <w:rFonts w:ascii="Cambria" w:hAnsi="Cambria"/>
                <w:sz w:val="16"/>
                <w:szCs w:val="16"/>
              </w:rPr>
            </w:pPr>
            <w:r w:rsidRPr="00D4078B">
              <w:rPr>
                <w:rFonts w:ascii="Cambria" w:hAnsi="Cambria"/>
                <w:sz w:val="16"/>
                <w:szCs w:val="16"/>
              </w:rPr>
              <w:t>1-18 days</w:t>
            </w:r>
          </w:p>
          <w:p w14:paraId="10C00C85" w14:textId="77777777" w:rsidR="00F65D2A" w:rsidRPr="00D4078B" w:rsidRDefault="00F65D2A" w:rsidP="008E315C">
            <w:pPr>
              <w:jc w:val="center"/>
              <w:rPr>
                <w:rFonts w:ascii="Cambria" w:hAnsi="Cambria"/>
                <w:i/>
                <w:iCs/>
                <w:color w:val="BFBFBF" w:themeColor="background1" w:themeShade="BF"/>
                <w:sz w:val="16"/>
                <w:szCs w:val="16"/>
              </w:rPr>
            </w:pPr>
            <w:r w:rsidRPr="00D4078B">
              <w:rPr>
                <w:rFonts w:ascii="Cambria" w:hAnsi="Cambria"/>
                <w:i/>
                <w:iCs/>
                <w:color w:val="BFBFBF" w:themeColor="background1" w:themeShade="BF"/>
                <w:sz w:val="16"/>
                <w:szCs w:val="16"/>
              </w:rPr>
              <w:t>(25</w:t>
            </w:r>
            <w:r w:rsidRPr="00D4078B">
              <w:rPr>
                <w:rFonts w:ascii="Cambria" w:hAnsi="Cambria"/>
                <w:i/>
                <w:iCs/>
                <w:color w:val="BFBFBF" w:themeColor="background1" w:themeShade="BF"/>
                <w:sz w:val="16"/>
                <w:szCs w:val="16"/>
                <w:vertAlign w:val="superscript"/>
              </w:rPr>
              <w:t>th</w:t>
            </w:r>
            <w:r w:rsidRPr="00D4078B">
              <w:rPr>
                <w:rFonts w:ascii="Cambria" w:hAnsi="Cambria"/>
                <w:i/>
                <w:iCs/>
                <w:color w:val="BFBFBF" w:themeColor="background1" w:themeShade="BF"/>
                <w:sz w:val="16"/>
                <w:szCs w:val="16"/>
              </w:rPr>
              <w:t>-75</w:t>
            </w:r>
            <w:r w:rsidRPr="00D4078B">
              <w:rPr>
                <w:rFonts w:ascii="Cambria" w:hAnsi="Cambria"/>
                <w:i/>
                <w:iCs/>
                <w:color w:val="BFBFBF" w:themeColor="background1" w:themeShade="BF"/>
                <w:sz w:val="16"/>
                <w:szCs w:val="16"/>
                <w:vertAlign w:val="superscript"/>
              </w:rPr>
              <w:t>th</w:t>
            </w:r>
            <w:r w:rsidRPr="00D4078B">
              <w:rPr>
                <w:rFonts w:ascii="Cambria" w:hAnsi="Cambria"/>
                <w:i/>
                <w:iCs/>
                <w:color w:val="BFBFBF" w:themeColor="background1" w:themeShade="BF"/>
                <w:sz w:val="16"/>
                <w:szCs w:val="16"/>
              </w:rPr>
              <w:t xml:space="preserve"> percentile from Gede &amp; analogues)</w:t>
            </w:r>
          </w:p>
          <w:p w14:paraId="32AD00B7"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 xml:space="preserve">(uniform </w:t>
            </w:r>
            <w:proofErr w:type="spellStart"/>
            <w:r w:rsidRPr="00D4078B">
              <w:rPr>
                <w:rFonts w:ascii="Cambria" w:hAnsi="Cambria"/>
                <w:i/>
                <w:iCs/>
                <w:color w:val="BFBFBF" w:themeColor="background1" w:themeShade="BF"/>
                <w:sz w:val="16"/>
                <w:szCs w:val="16"/>
              </w:rPr>
              <w:t>dist</w:t>
            </w:r>
            <w:proofErr w:type="spellEnd"/>
            <w:r w:rsidRPr="00D4078B">
              <w:rPr>
                <w:rFonts w:ascii="Cambria" w:hAnsi="Cambria"/>
                <w:i/>
                <w:iCs/>
                <w:color w:val="BFBFBF" w:themeColor="background1" w:themeShade="BF"/>
                <w:sz w:val="16"/>
                <w:szCs w:val="16"/>
              </w:rPr>
              <w:t>)</w:t>
            </w:r>
          </w:p>
          <w:p w14:paraId="32014160" w14:textId="77777777" w:rsidR="00F65D2A" w:rsidRPr="00D4078B" w:rsidRDefault="00F65D2A" w:rsidP="008E315C">
            <w:pPr>
              <w:jc w:val="center"/>
              <w:rPr>
                <w:rFonts w:ascii="Cambria" w:hAnsi="Cambria"/>
                <w:sz w:val="16"/>
                <w:szCs w:val="16"/>
              </w:rPr>
            </w:pPr>
          </w:p>
        </w:tc>
        <w:tc>
          <w:tcPr>
            <w:tcW w:w="4573" w:type="dxa"/>
            <w:gridSpan w:val="3"/>
            <w:tcBorders>
              <w:top w:val="nil"/>
              <w:left w:val="nil"/>
              <w:bottom w:val="nil"/>
              <w:right w:val="nil"/>
            </w:tcBorders>
            <w:vAlign w:val="center"/>
          </w:tcPr>
          <w:p w14:paraId="7535D1FE" w14:textId="77777777" w:rsidR="00F65D2A" w:rsidRPr="00D4078B" w:rsidRDefault="00F65D2A" w:rsidP="008E315C">
            <w:pPr>
              <w:jc w:val="center"/>
              <w:rPr>
                <w:rFonts w:ascii="Cambria" w:hAnsi="Cambria"/>
                <w:sz w:val="16"/>
                <w:szCs w:val="16"/>
              </w:rPr>
            </w:pPr>
            <w:r w:rsidRPr="00D4078B">
              <w:rPr>
                <w:rFonts w:ascii="Cambria" w:hAnsi="Cambria"/>
                <w:sz w:val="16"/>
                <w:szCs w:val="16"/>
              </w:rPr>
              <w:t>1-6 hours</w:t>
            </w:r>
          </w:p>
          <w:p w14:paraId="2CC60079"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(Newhall &amp; Self., 1982)</w:t>
            </w:r>
          </w:p>
        </w:tc>
      </w:tr>
      <w:tr w:rsidR="00F65D2A" w:rsidRPr="00D4078B" w14:paraId="1BEE637F" w14:textId="77777777" w:rsidTr="008E315C">
        <w:tc>
          <w:tcPr>
            <w:tcW w:w="1530" w:type="dxa"/>
            <w:tcBorders>
              <w:top w:val="nil"/>
              <w:left w:val="nil"/>
              <w:bottom w:val="nil"/>
              <w:right w:val="nil"/>
            </w:tcBorders>
            <w:vAlign w:val="center"/>
          </w:tcPr>
          <w:p w14:paraId="64750F28" w14:textId="77777777" w:rsidR="00F65D2A" w:rsidRPr="00D4078B" w:rsidRDefault="00F65D2A" w:rsidP="008E315C">
            <w:pPr>
              <w:jc w:val="center"/>
              <w:rPr>
                <w:rFonts w:ascii="Cambria" w:hAnsi="Cambria"/>
                <w:sz w:val="16"/>
                <w:szCs w:val="16"/>
              </w:rPr>
            </w:pPr>
            <w:r w:rsidRPr="00D4078B">
              <w:rPr>
                <w:rFonts w:ascii="Cambria" w:hAnsi="Cambria"/>
                <w:sz w:val="16"/>
                <w:szCs w:val="16"/>
              </w:rPr>
              <w:t>Erupted mass</w:t>
            </w:r>
          </w:p>
        </w:tc>
        <w:tc>
          <w:tcPr>
            <w:tcW w:w="2964" w:type="dxa"/>
            <w:gridSpan w:val="2"/>
            <w:tcBorders>
              <w:top w:val="nil"/>
              <w:left w:val="nil"/>
              <w:bottom w:val="nil"/>
              <w:right w:val="nil"/>
            </w:tcBorders>
            <w:shd w:val="clear" w:color="auto" w:fill="E8E8E8" w:themeFill="background2"/>
            <w:vAlign w:val="center"/>
          </w:tcPr>
          <w:p w14:paraId="79D370FB" w14:textId="77777777" w:rsidR="00F65D2A" w:rsidRPr="00D4078B" w:rsidRDefault="00F65D2A" w:rsidP="008E315C">
            <w:pPr>
              <w:jc w:val="center"/>
              <w:rPr>
                <w:rFonts w:ascii="Cambria" w:hAnsi="Cambria"/>
                <w:i/>
                <w:iCs/>
                <w:sz w:val="16"/>
                <w:szCs w:val="16"/>
              </w:rPr>
            </w:pPr>
            <w:r w:rsidRPr="00D4078B">
              <w:rPr>
                <w:rFonts w:ascii="Cambria" w:hAnsi="Cambria"/>
                <w:i/>
                <w:iCs/>
                <w:color w:val="A6A6A6" w:themeColor="background1" w:themeShade="A6"/>
                <w:sz w:val="16"/>
                <w:szCs w:val="16"/>
              </w:rPr>
              <w:t xml:space="preserve">Calculated in </w:t>
            </w:r>
            <w:proofErr w:type="spellStart"/>
            <w:r w:rsidRPr="00D4078B">
              <w:rPr>
                <w:rFonts w:ascii="Cambria" w:hAnsi="Cambria"/>
                <w:i/>
                <w:iCs/>
                <w:color w:val="A6A6A6" w:themeColor="background1" w:themeShade="A6"/>
                <w:sz w:val="16"/>
                <w:szCs w:val="16"/>
              </w:rPr>
              <w:t>TephraProb</w:t>
            </w:r>
            <w:proofErr w:type="spellEnd"/>
            <w:r w:rsidRPr="00D4078B">
              <w:rPr>
                <w:rFonts w:ascii="Cambria" w:hAnsi="Cambria"/>
                <w:i/>
                <w:iCs/>
                <w:color w:val="A6A6A6" w:themeColor="background1" w:themeShade="A6"/>
                <w:sz w:val="16"/>
                <w:szCs w:val="16"/>
              </w:rPr>
              <w:t xml:space="preserve"> from plume height using the thermal equation of Bonadonna et al., (2002)</w:t>
            </w:r>
          </w:p>
        </w:tc>
        <w:tc>
          <w:tcPr>
            <w:tcW w:w="1455" w:type="dxa"/>
            <w:tcBorders>
              <w:top w:val="nil"/>
              <w:left w:val="nil"/>
              <w:bottom w:val="nil"/>
              <w:right w:val="nil"/>
            </w:tcBorders>
            <w:vAlign w:val="center"/>
          </w:tcPr>
          <w:p w14:paraId="3FA24C43" w14:textId="77777777" w:rsidR="00F65D2A" w:rsidRPr="00D4078B" w:rsidRDefault="00AF2E7B" w:rsidP="008E315C">
            <w:pPr>
              <w:jc w:val="center"/>
              <w:rPr>
                <w:rFonts w:ascii="Cambria" w:hAnsi="Cambria"/>
                <w:sz w:val="16"/>
                <w:szCs w:val="16"/>
              </w:rPr>
            </w:pPr>
            <m:oMath>
              <m:sSup>
                <m:sSupPr>
                  <m:ctrlPr>
                    <w:rPr>
                      <w:rFonts w:ascii="Cambria Math" w:hAnsi="Cambria Math"/>
                      <w:i/>
                      <w:sz w:val="16"/>
                      <w:szCs w:val="16"/>
                    </w:rPr>
                  </m:ctrlPr>
                </m:sSupPr>
                <m:e>
                  <m:r>
                    <w:rPr>
                      <w:rFonts w:ascii="Cambria Math" w:hAnsi="Cambria Math"/>
                      <w:sz w:val="16"/>
                      <w:szCs w:val="16"/>
                    </w:rPr>
                    <m:t>1.7 ×10</m:t>
                  </m:r>
                </m:e>
                <m:sup>
                  <m:r>
                    <w:rPr>
                      <w:rFonts w:ascii="Cambria Math" w:hAnsi="Cambria Math"/>
                      <w:sz w:val="16"/>
                      <w:szCs w:val="16"/>
                    </w:rPr>
                    <m:t>8</m:t>
                  </m:r>
                </m:sup>
              </m:sSup>
            </m:oMath>
            <w:r w:rsidR="00F65D2A" w:rsidRPr="00D4078B">
              <w:rPr>
                <w:rFonts w:ascii="Cambria" w:eastAsiaTheme="minorEastAsia" w:hAnsi="Cambria"/>
                <w:sz w:val="16"/>
                <w:szCs w:val="16"/>
              </w:rPr>
              <w:t xml:space="preserve"> -</w:t>
            </w:r>
            <w:r w:rsidR="00F65D2A" w:rsidRPr="00D4078B">
              <w:rPr>
                <w:rFonts w:ascii="Cambria Math" w:hAnsi="Cambria Math"/>
                <w:i/>
                <w:sz w:val="16"/>
                <w:szCs w:val="16"/>
              </w:rPr>
              <w:br/>
            </w:r>
            <m:oMathPara>
              <m:oMath>
                <m:sSup>
                  <m:sSupPr>
                    <m:ctrlPr>
                      <w:rPr>
                        <w:rFonts w:ascii="Cambria Math" w:hAnsi="Cambria Math"/>
                        <w:i/>
                        <w:sz w:val="16"/>
                        <w:szCs w:val="16"/>
                      </w:rPr>
                    </m:ctrlPr>
                  </m:sSupPr>
                  <m:e>
                    <m:r>
                      <w:rPr>
                        <w:rFonts w:ascii="Cambria Math" w:hAnsi="Cambria Math"/>
                        <w:sz w:val="16"/>
                        <w:szCs w:val="16"/>
                      </w:rPr>
                      <m:t>3.7 ×10</m:t>
                    </m:r>
                  </m:e>
                  <m:sup>
                    <m:r>
                      <w:rPr>
                        <w:rFonts w:ascii="Cambria Math" w:hAnsi="Cambria Math"/>
                        <w:sz w:val="16"/>
                        <w:szCs w:val="16"/>
                      </w:rPr>
                      <m:t>9</m:t>
                    </m:r>
                  </m:sup>
                </m:sSup>
                <m:r>
                  <w:rPr>
                    <w:rFonts w:ascii="Cambria Math" w:hAnsi="Cambria Math"/>
                    <w:sz w:val="16"/>
                    <w:szCs w:val="16"/>
                  </w:rPr>
                  <m:t xml:space="preserve"> </m:t>
                </m:r>
                <m:r>
                  <m:rPr>
                    <m:sty m:val="p"/>
                  </m:rPr>
                  <w:rPr>
                    <w:rFonts w:ascii="Cambria Math" w:hAnsi="Cambria Math"/>
                    <w:sz w:val="16"/>
                    <w:szCs w:val="16"/>
                  </w:rPr>
                  <m:t>kg</m:t>
                </m:r>
              </m:oMath>
            </m:oMathPara>
          </w:p>
        </w:tc>
        <w:tc>
          <w:tcPr>
            <w:tcW w:w="1417" w:type="dxa"/>
            <w:tcBorders>
              <w:top w:val="nil"/>
              <w:left w:val="nil"/>
              <w:bottom w:val="nil"/>
              <w:right w:val="nil"/>
            </w:tcBorders>
            <w:vAlign w:val="center"/>
          </w:tcPr>
          <w:p w14:paraId="50548293" w14:textId="77777777" w:rsidR="00F65D2A" w:rsidRPr="00D4078B" w:rsidRDefault="00AF2E7B" w:rsidP="008E315C">
            <w:pPr>
              <w:jc w:val="center"/>
              <w:rPr>
                <w:rFonts w:ascii="Cambria" w:hAnsi="Cambria"/>
                <w:sz w:val="16"/>
                <w:szCs w:val="16"/>
              </w:rPr>
            </w:pPr>
            <m:oMath>
              <m:sSup>
                <m:sSupPr>
                  <m:ctrlPr>
                    <w:rPr>
                      <w:rFonts w:ascii="Cambria Math" w:hAnsi="Cambria Math"/>
                      <w:i/>
                      <w:sz w:val="16"/>
                      <w:szCs w:val="16"/>
                    </w:rPr>
                  </m:ctrlPr>
                </m:sSupPr>
                <m:e>
                  <m:r>
                    <w:rPr>
                      <w:rFonts w:ascii="Cambria Math" w:hAnsi="Cambria Math"/>
                      <w:sz w:val="16"/>
                      <w:szCs w:val="16"/>
                    </w:rPr>
                    <m:t>3.7 ×10</m:t>
                  </m:r>
                </m:e>
                <m:sup>
                  <m:r>
                    <w:rPr>
                      <w:rFonts w:ascii="Cambria Math" w:hAnsi="Cambria Math"/>
                      <w:sz w:val="16"/>
                      <w:szCs w:val="16"/>
                    </w:rPr>
                    <m:t>9</m:t>
                  </m:r>
                </m:sup>
              </m:sSup>
            </m:oMath>
            <w:r w:rsidR="00F65D2A" w:rsidRPr="00D4078B">
              <w:rPr>
                <w:rFonts w:ascii="Cambria" w:eastAsiaTheme="minorEastAsia" w:hAnsi="Cambria"/>
                <w:sz w:val="16"/>
                <w:szCs w:val="16"/>
              </w:rPr>
              <w:t xml:space="preserve"> -</w:t>
            </w:r>
            <w:r w:rsidR="00F65D2A" w:rsidRPr="00D4078B">
              <w:rPr>
                <w:rFonts w:ascii="Cambria Math" w:hAnsi="Cambria Math"/>
                <w:i/>
                <w:sz w:val="16"/>
                <w:szCs w:val="16"/>
              </w:rPr>
              <w:br/>
            </w:r>
            <m:oMathPara>
              <m:oMath>
                <m:sSup>
                  <m:sSupPr>
                    <m:ctrlPr>
                      <w:rPr>
                        <w:rFonts w:ascii="Cambria Math" w:hAnsi="Cambria Math"/>
                        <w:i/>
                        <w:sz w:val="16"/>
                        <w:szCs w:val="16"/>
                      </w:rPr>
                    </m:ctrlPr>
                  </m:sSupPr>
                  <m:e>
                    <m:r>
                      <w:rPr>
                        <w:rFonts w:ascii="Cambria Math" w:hAnsi="Cambria Math"/>
                        <w:sz w:val="16"/>
                        <w:szCs w:val="16"/>
                      </w:rPr>
                      <m:t>1.2 ×10</m:t>
                    </m:r>
                  </m:e>
                  <m:sup>
                    <m:r>
                      <w:rPr>
                        <w:rFonts w:ascii="Cambria Math" w:hAnsi="Cambria Math"/>
                        <w:sz w:val="16"/>
                        <w:szCs w:val="16"/>
                      </w:rPr>
                      <m:t>11</m:t>
                    </m:r>
                  </m:sup>
                </m:sSup>
                <m:r>
                  <w:rPr>
                    <w:rFonts w:ascii="Cambria Math" w:hAnsi="Cambria Math"/>
                    <w:sz w:val="16"/>
                    <w:szCs w:val="16"/>
                  </w:rPr>
                  <m:t xml:space="preserve"> </m:t>
                </m:r>
                <m:r>
                  <m:rPr>
                    <m:sty m:val="p"/>
                  </m:rPr>
                  <w:rPr>
                    <w:rFonts w:ascii="Cambria Math" w:hAnsi="Cambria Math"/>
                    <w:sz w:val="16"/>
                    <w:szCs w:val="16"/>
                  </w:rPr>
                  <m:t>kg</m:t>
                </m:r>
              </m:oMath>
            </m:oMathPara>
          </w:p>
        </w:tc>
        <w:tc>
          <w:tcPr>
            <w:tcW w:w="1701" w:type="dxa"/>
            <w:tcBorders>
              <w:top w:val="nil"/>
              <w:left w:val="nil"/>
              <w:bottom w:val="nil"/>
              <w:right w:val="nil"/>
            </w:tcBorders>
            <w:vAlign w:val="center"/>
          </w:tcPr>
          <w:p w14:paraId="5522323E" w14:textId="77777777" w:rsidR="00F65D2A" w:rsidRPr="00D4078B" w:rsidRDefault="00AF2E7B" w:rsidP="008E315C">
            <w:pPr>
              <w:jc w:val="center"/>
              <w:rPr>
                <w:rFonts w:ascii="Cambria" w:hAnsi="Cambria"/>
                <w:sz w:val="16"/>
                <w:szCs w:val="16"/>
              </w:rPr>
            </w:pPr>
            <m:oMath>
              <m:sSup>
                <m:sSupPr>
                  <m:ctrlPr>
                    <w:rPr>
                      <w:rFonts w:ascii="Cambria Math" w:hAnsi="Cambria Math"/>
                      <w:i/>
                      <w:sz w:val="16"/>
                      <w:szCs w:val="16"/>
                    </w:rPr>
                  </m:ctrlPr>
                </m:sSupPr>
                <m:e>
                  <m:r>
                    <w:rPr>
                      <w:rFonts w:ascii="Cambria Math" w:hAnsi="Cambria Math"/>
                      <w:sz w:val="16"/>
                      <w:szCs w:val="16"/>
                    </w:rPr>
                    <m:t>1.2 ×10</m:t>
                  </m:r>
                </m:e>
                <m:sup>
                  <m:r>
                    <w:rPr>
                      <w:rFonts w:ascii="Cambria Math" w:hAnsi="Cambria Math"/>
                      <w:sz w:val="16"/>
                      <w:szCs w:val="16"/>
                    </w:rPr>
                    <m:t>11</m:t>
                  </m:r>
                </m:sup>
              </m:sSup>
            </m:oMath>
            <w:r w:rsidR="00F65D2A" w:rsidRPr="00D4078B">
              <w:rPr>
                <w:rFonts w:ascii="Cambria" w:eastAsiaTheme="minorEastAsia" w:hAnsi="Cambria"/>
                <w:sz w:val="16"/>
                <w:szCs w:val="16"/>
              </w:rPr>
              <w:t xml:space="preserve"> -</w:t>
            </w:r>
            <w:r w:rsidR="00F65D2A" w:rsidRPr="00D4078B">
              <w:rPr>
                <w:rFonts w:ascii="Cambria Math" w:hAnsi="Cambria Math"/>
                <w:i/>
                <w:sz w:val="16"/>
                <w:szCs w:val="16"/>
              </w:rPr>
              <w:br/>
            </w:r>
            <m:oMathPara>
              <m:oMath>
                <m:sSup>
                  <m:sSupPr>
                    <m:ctrlPr>
                      <w:rPr>
                        <w:rFonts w:ascii="Cambria Math" w:hAnsi="Cambria Math"/>
                        <w:i/>
                        <w:sz w:val="16"/>
                        <w:szCs w:val="16"/>
                      </w:rPr>
                    </m:ctrlPr>
                  </m:sSupPr>
                  <m:e>
                    <m:r>
                      <w:rPr>
                        <w:rFonts w:ascii="Cambria Math" w:hAnsi="Cambria Math"/>
                        <w:sz w:val="16"/>
                        <w:szCs w:val="16"/>
                      </w:rPr>
                      <m:t>3.9 ×10</m:t>
                    </m:r>
                  </m:e>
                  <m:sup>
                    <m:r>
                      <w:rPr>
                        <w:rFonts w:ascii="Cambria Math" w:hAnsi="Cambria Math"/>
                        <w:sz w:val="16"/>
                        <w:szCs w:val="16"/>
                      </w:rPr>
                      <m:t>12</m:t>
                    </m:r>
                  </m:sup>
                </m:sSup>
                <m:r>
                  <w:rPr>
                    <w:rFonts w:ascii="Cambria Math" w:hAnsi="Cambria Math"/>
                    <w:sz w:val="16"/>
                    <w:szCs w:val="16"/>
                  </w:rPr>
                  <m:t xml:space="preserve"> </m:t>
                </m:r>
                <m:r>
                  <m:rPr>
                    <m:sty m:val="p"/>
                  </m:rPr>
                  <w:rPr>
                    <w:rFonts w:ascii="Cambria Math" w:hAnsi="Cambria Math"/>
                    <w:sz w:val="16"/>
                    <w:szCs w:val="16"/>
                  </w:rPr>
                  <m:t>kg</m:t>
                </m:r>
              </m:oMath>
            </m:oMathPara>
          </w:p>
        </w:tc>
      </w:tr>
      <w:tr w:rsidR="00F65D2A" w:rsidRPr="00D4078B" w14:paraId="368EA196" w14:textId="77777777" w:rsidTr="008E315C">
        <w:tc>
          <w:tcPr>
            <w:tcW w:w="1530" w:type="dxa"/>
            <w:tcBorders>
              <w:top w:val="nil"/>
              <w:left w:val="nil"/>
              <w:bottom w:val="nil"/>
              <w:right w:val="nil"/>
            </w:tcBorders>
            <w:vAlign w:val="center"/>
          </w:tcPr>
          <w:p w14:paraId="236BB2FD" w14:textId="77777777" w:rsidR="00F65D2A" w:rsidRPr="00D4078B" w:rsidRDefault="00F65D2A" w:rsidP="008E315C">
            <w:pPr>
              <w:jc w:val="center"/>
              <w:rPr>
                <w:rFonts w:ascii="Cambria" w:hAnsi="Cambria"/>
                <w:sz w:val="16"/>
                <w:szCs w:val="16"/>
              </w:rPr>
            </w:pPr>
            <w:r w:rsidRPr="00D4078B">
              <w:rPr>
                <w:rFonts w:ascii="Cambria" w:hAnsi="Cambria"/>
                <w:sz w:val="16"/>
                <w:szCs w:val="16"/>
              </w:rPr>
              <w:t>Repose interval</w:t>
            </w:r>
          </w:p>
        </w:tc>
        <w:tc>
          <w:tcPr>
            <w:tcW w:w="1541" w:type="dxa"/>
            <w:tcBorders>
              <w:top w:val="nil"/>
              <w:left w:val="nil"/>
              <w:bottom w:val="nil"/>
              <w:right w:val="nil"/>
            </w:tcBorders>
            <w:vAlign w:val="center"/>
          </w:tcPr>
          <w:p w14:paraId="75BE620F" w14:textId="77777777" w:rsidR="00F65D2A" w:rsidRPr="00D4078B" w:rsidRDefault="00F65D2A" w:rsidP="008E315C">
            <w:pPr>
              <w:jc w:val="center"/>
              <w:rPr>
                <w:rFonts w:ascii="Cambria" w:hAnsi="Cambria"/>
                <w:sz w:val="16"/>
                <w:szCs w:val="16"/>
              </w:rPr>
            </w:pPr>
            <w:r w:rsidRPr="00D4078B">
              <w:rPr>
                <w:rFonts w:ascii="Cambria" w:hAnsi="Cambria"/>
                <w:sz w:val="16"/>
                <w:szCs w:val="16"/>
              </w:rPr>
              <w:t>20 mins-1 hour</w:t>
            </w:r>
          </w:p>
          <w:p w14:paraId="23C4C499" w14:textId="77777777" w:rsidR="00F65D2A" w:rsidRPr="00D4078B" w:rsidRDefault="00F65D2A" w:rsidP="008E315C">
            <w:pPr>
              <w:jc w:val="center"/>
              <w:rPr>
                <w:rFonts w:ascii="Cambria" w:hAnsi="Cambria"/>
                <w:sz w:val="16"/>
                <w:szCs w:val="16"/>
              </w:rPr>
            </w:pPr>
            <w:r w:rsidRPr="00D4078B">
              <w:rPr>
                <w:rFonts w:ascii="Cambria" w:hAnsi="Cambria"/>
                <w:sz w:val="16"/>
                <w:szCs w:val="16"/>
              </w:rPr>
              <w:t>(analogues)</w:t>
            </w:r>
          </w:p>
          <w:p w14:paraId="4EB6F1AE"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(lognormal </w:t>
            </w:r>
            <w:proofErr w:type="spellStart"/>
            <w:r w:rsidRPr="00D4078B">
              <w:rPr>
                <w:rFonts w:ascii="Cambria" w:hAnsi="Cambria"/>
                <w:sz w:val="16"/>
                <w:szCs w:val="16"/>
              </w:rPr>
              <w:t>dist</w:t>
            </w:r>
            <w:proofErr w:type="spellEnd"/>
            <w:r w:rsidRPr="00D4078B">
              <w:rPr>
                <w:rFonts w:ascii="Cambria" w:hAnsi="Cambria"/>
                <w:sz w:val="16"/>
                <w:szCs w:val="16"/>
              </w:rPr>
              <w:t>)</w:t>
            </w:r>
          </w:p>
        </w:tc>
        <w:tc>
          <w:tcPr>
            <w:tcW w:w="1423" w:type="dxa"/>
            <w:tcBorders>
              <w:top w:val="nil"/>
              <w:left w:val="nil"/>
              <w:bottom w:val="nil"/>
              <w:right w:val="nil"/>
            </w:tcBorders>
            <w:vAlign w:val="center"/>
          </w:tcPr>
          <w:p w14:paraId="5B6280B8" w14:textId="77777777" w:rsidR="00F65D2A" w:rsidRPr="00D4078B" w:rsidRDefault="00F65D2A" w:rsidP="008E315C">
            <w:pPr>
              <w:jc w:val="center"/>
              <w:rPr>
                <w:rFonts w:ascii="Cambria" w:hAnsi="Cambria"/>
                <w:sz w:val="16"/>
                <w:szCs w:val="16"/>
              </w:rPr>
            </w:pPr>
            <w:r w:rsidRPr="00D4078B">
              <w:rPr>
                <w:rFonts w:ascii="Cambria" w:hAnsi="Cambria"/>
                <w:sz w:val="16"/>
                <w:szCs w:val="16"/>
              </w:rPr>
              <w:t>1 hour- 24 hours (analogues)</w:t>
            </w:r>
          </w:p>
          <w:p w14:paraId="6CF0EAE2"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(lognormal </w:t>
            </w:r>
            <w:proofErr w:type="spellStart"/>
            <w:r w:rsidRPr="00D4078B">
              <w:rPr>
                <w:rFonts w:ascii="Cambria" w:hAnsi="Cambria"/>
                <w:sz w:val="16"/>
                <w:szCs w:val="16"/>
              </w:rPr>
              <w:t>dist</w:t>
            </w:r>
            <w:proofErr w:type="spellEnd"/>
            <w:r w:rsidRPr="00D4078B">
              <w:rPr>
                <w:rFonts w:ascii="Cambria" w:hAnsi="Cambria"/>
                <w:sz w:val="16"/>
                <w:szCs w:val="16"/>
              </w:rPr>
              <w:t>)</w:t>
            </w:r>
          </w:p>
          <w:p w14:paraId="716FCA59" w14:textId="77777777" w:rsidR="00F65D2A" w:rsidRPr="00D4078B" w:rsidRDefault="00F65D2A" w:rsidP="008E315C">
            <w:pPr>
              <w:jc w:val="center"/>
              <w:rPr>
                <w:rFonts w:ascii="Cambria" w:hAnsi="Cambria"/>
                <w:sz w:val="16"/>
                <w:szCs w:val="16"/>
              </w:rPr>
            </w:pPr>
          </w:p>
          <w:p w14:paraId="68B2A7E6" w14:textId="77777777" w:rsidR="00F65D2A" w:rsidRPr="00D4078B" w:rsidRDefault="00F65D2A" w:rsidP="008E315C">
            <w:pPr>
              <w:jc w:val="center"/>
              <w:rPr>
                <w:rFonts w:ascii="Cambria" w:hAnsi="Cambria"/>
                <w:sz w:val="16"/>
                <w:szCs w:val="16"/>
              </w:rPr>
            </w:pPr>
          </w:p>
        </w:tc>
        <w:tc>
          <w:tcPr>
            <w:tcW w:w="4573" w:type="dxa"/>
            <w:gridSpan w:val="3"/>
            <w:tcBorders>
              <w:top w:val="nil"/>
              <w:left w:val="nil"/>
              <w:bottom w:val="nil"/>
              <w:right w:val="nil"/>
            </w:tcBorders>
            <w:shd w:val="clear" w:color="auto" w:fill="E8E8E8" w:themeFill="background2"/>
            <w:vAlign w:val="center"/>
          </w:tcPr>
          <w:p w14:paraId="28E00E3A" w14:textId="77777777" w:rsidR="00F65D2A" w:rsidRPr="00D4078B" w:rsidRDefault="00F65D2A" w:rsidP="008E315C">
            <w:pPr>
              <w:jc w:val="center"/>
              <w:rPr>
                <w:rFonts w:ascii="Cambria" w:hAnsi="Cambria"/>
                <w:sz w:val="16"/>
                <w:szCs w:val="16"/>
                <w:highlight w:val="yellow"/>
              </w:rPr>
            </w:pPr>
          </w:p>
        </w:tc>
      </w:tr>
      <w:tr w:rsidR="00F65D2A" w:rsidRPr="00D4078B" w14:paraId="31EB15EC" w14:textId="77777777" w:rsidTr="008E315C">
        <w:trPr>
          <w:trHeight w:val="411"/>
        </w:trPr>
        <w:tc>
          <w:tcPr>
            <w:tcW w:w="1530" w:type="dxa"/>
            <w:tcBorders>
              <w:top w:val="nil"/>
              <w:left w:val="nil"/>
              <w:bottom w:val="nil"/>
              <w:right w:val="nil"/>
            </w:tcBorders>
            <w:vAlign w:val="center"/>
          </w:tcPr>
          <w:p w14:paraId="18D9BB28" w14:textId="77777777" w:rsidR="00F65D2A" w:rsidRPr="00D4078B" w:rsidRDefault="00F65D2A" w:rsidP="008E315C">
            <w:pPr>
              <w:jc w:val="center"/>
              <w:rPr>
                <w:rFonts w:ascii="Cambria" w:hAnsi="Cambria"/>
                <w:sz w:val="16"/>
                <w:szCs w:val="16"/>
              </w:rPr>
            </w:pPr>
            <w:r w:rsidRPr="00D4078B">
              <w:rPr>
                <w:rFonts w:ascii="Cambria" w:hAnsi="Cambria"/>
                <w:sz w:val="16"/>
                <w:szCs w:val="16"/>
              </w:rPr>
              <w:t>Particle size bounds</w:t>
            </w:r>
          </w:p>
        </w:tc>
        <w:tc>
          <w:tcPr>
            <w:tcW w:w="1541" w:type="dxa"/>
            <w:tcBorders>
              <w:top w:val="nil"/>
              <w:left w:val="nil"/>
              <w:bottom w:val="nil"/>
              <w:right w:val="nil"/>
            </w:tcBorders>
            <w:vAlign w:val="center"/>
          </w:tcPr>
          <w:p w14:paraId="73EDA1D4" w14:textId="77777777" w:rsidR="00F65D2A" w:rsidRPr="00D4078B" w:rsidRDefault="00F65D2A" w:rsidP="008E315C">
            <w:pPr>
              <w:jc w:val="center"/>
              <w:rPr>
                <w:rFonts w:ascii="Cambria" w:hAnsi="Cambria"/>
                <w:sz w:val="16"/>
                <w:szCs w:val="16"/>
              </w:rPr>
            </w:pPr>
            <w:r w:rsidRPr="00D4078B">
              <w:rPr>
                <w:rFonts w:ascii="Cambria" w:hAnsi="Cambria"/>
                <w:sz w:val="16"/>
                <w:szCs w:val="16"/>
              </w:rPr>
              <w:t>-3-5</w:t>
            </w:r>
          </w:p>
        </w:tc>
        <w:tc>
          <w:tcPr>
            <w:tcW w:w="1423" w:type="dxa"/>
            <w:tcBorders>
              <w:top w:val="nil"/>
              <w:left w:val="nil"/>
              <w:bottom w:val="nil"/>
              <w:right w:val="nil"/>
            </w:tcBorders>
            <w:vAlign w:val="center"/>
          </w:tcPr>
          <w:p w14:paraId="7E6639F9" w14:textId="77777777" w:rsidR="00F65D2A" w:rsidRPr="00D4078B" w:rsidRDefault="00F65D2A" w:rsidP="008E315C">
            <w:pPr>
              <w:jc w:val="center"/>
              <w:rPr>
                <w:rFonts w:ascii="Cambria" w:hAnsi="Cambria"/>
                <w:sz w:val="16"/>
                <w:szCs w:val="16"/>
              </w:rPr>
            </w:pPr>
            <w:r w:rsidRPr="00D4078B">
              <w:rPr>
                <w:rFonts w:ascii="Cambria" w:hAnsi="Cambria"/>
                <w:sz w:val="16"/>
                <w:szCs w:val="16"/>
              </w:rPr>
              <w:t>-2-8</w:t>
            </w:r>
          </w:p>
        </w:tc>
        <w:tc>
          <w:tcPr>
            <w:tcW w:w="1455" w:type="dxa"/>
            <w:tcBorders>
              <w:top w:val="nil"/>
              <w:left w:val="nil"/>
              <w:bottom w:val="nil"/>
              <w:right w:val="nil"/>
            </w:tcBorders>
            <w:vAlign w:val="center"/>
          </w:tcPr>
          <w:p w14:paraId="32CAFE51" w14:textId="77777777" w:rsidR="00F65D2A" w:rsidRPr="00D4078B" w:rsidRDefault="00F65D2A" w:rsidP="008E315C">
            <w:pPr>
              <w:jc w:val="center"/>
              <w:rPr>
                <w:rFonts w:ascii="Cambria" w:hAnsi="Cambria"/>
                <w:sz w:val="16"/>
                <w:szCs w:val="16"/>
              </w:rPr>
            </w:pPr>
            <w:r w:rsidRPr="00D4078B">
              <w:rPr>
                <w:rFonts w:ascii="Cambria" w:hAnsi="Cambria"/>
                <w:sz w:val="16"/>
                <w:szCs w:val="16"/>
              </w:rPr>
              <w:t>-2-8</w:t>
            </w:r>
          </w:p>
        </w:tc>
        <w:tc>
          <w:tcPr>
            <w:tcW w:w="1417" w:type="dxa"/>
            <w:tcBorders>
              <w:top w:val="nil"/>
              <w:left w:val="nil"/>
              <w:bottom w:val="nil"/>
              <w:right w:val="nil"/>
            </w:tcBorders>
            <w:vAlign w:val="center"/>
          </w:tcPr>
          <w:p w14:paraId="308B42D1" w14:textId="77777777" w:rsidR="00F65D2A" w:rsidRPr="00D4078B" w:rsidRDefault="00F65D2A" w:rsidP="008E315C">
            <w:pPr>
              <w:jc w:val="center"/>
              <w:rPr>
                <w:rFonts w:ascii="Cambria" w:hAnsi="Cambria"/>
                <w:sz w:val="16"/>
                <w:szCs w:val="16"/>
              </w:rPr>
            </w:pPr>
            <w:r w:rsidRPr="00D4078B">
              <w:rPr>
                <w:rFonts w:ascii="Cambria" w:hAnsi="Cambria"/>
                <w:sz w:val="16"/>
                <w:szCs w:val="16"/>
              </w:rPr>
              <w:t>-5-10</w:t>
            </w:r>
          </w:p>
        </w:tc>
        <w:tc>
          <w:tcPr>
            <w:tcW w:w="1701" w:type="dxa"/>
            <w:tcBorders>
              <w:top w:val="nil"/>
              <w:left w:val="nil"/>
              <w:bottom w:val="nil"/>
              <w:right w:val="nil"/>
            </w:tcBorders>
            <w:vAlign w:val="center"/>
          </w:tcPr>
          <w:p w14:paraId="698F1A26" w14:textId="77777777" w:rsidR="00F65D2A" w:rsidRPr="00D4078B" w:rsidRDefault="00F65D2A" w:rsidP="008E315C">
            <w:pPr>
              <w:jc w:val="center"/>
              <w:rPr>
                <w:rFonts w:ascii="Cambria" w:hAnsi="Cambria"/>
                <w:sz w:val="16"/>
                <w:szCs w:val="16"/>
              </w:rPr>
            </w:pPr>
            <w:r w:rsidRPr="00D4078B">
              <w:rPr>
                <w:rFonts w:ascii="Cambria" w:hAnsi="Cambria"/>
                <w:sz w:val="16"/>
                <w:szCs w:val="16"/>
              </w:rPr>
              <w:t>-4-4</w:t>
            </w:r>
          </w:p>
        </w:tc>
      </w:tr>
      <w:tr w:rsidR="00F65D2A" w:rsidRPr="00D4078B" w14:paraId="34C03C2D" w14:textId="77777777" w:rsidTr="008E315C">
        <w:tc>
          <w:tcPr>
            <w:tcW w:w="1530" w:type="dxa"/>
            <w:tcBorders>
              <w:top w:val="nil"/>
              <w:left w:val="nil"/>
              <w:bottom w:val="nil"/>
              <w:right w:val="nil"/>
            </w:tcBorders>
            <w:vAlign w:val="center"/>
          </w:tcPr>
          <w:p w14:paraId="22B4CAB7" w14:textId="77777777" w:rsidR="00F65D2A" w:rsidRPr="00D4078B" w:rsidRDefault="00F65D2A" w:rsidP="008E315C">
            <w:pPr>
              <w:jc w:val="center"/>
              <w:rPr>
                <w:rFonts w:ascii="Cambria" w:hAnsi="Cambria"/>
                <w:sz w:val="16"/>
                <w:szCs w:val="16"/>
              </w:rPr>
            </w:pPr>
            <w:r w:rsidRPr="00D4078B">
              <w:rPr>
                <w:rFonts w:ascii="Cambria" w:hAnsi="Cambria"/>
                <w:sz w:val="16"/>
                <w:szCs w:val="16"/>
              </w:rPr>
              <w:t>Median grain size</w:t>
            </w:r>
          </w:p>
        </w:tc>
        <w:tc>
          <w:tcPr>
            <w:tcW w:w="1541" w:type="dxa"/>
            <w:tcBorders>
              <w:top w:val="nil"/>
              <w:left w:val="nil"/>
              <w:bottom w:val="nil"/>
              <w:right w:val="nil"/>
            </w:tcBorders>
            <w:vAlign w:val="center"/>
          </w:tcPr>
          <w:p w14:paraId="0CD18901" w14:textId="77777777" w:rsidR="00F65D2A" w:rsidRPr="00D4078B" w:rsidRDefault="00F65D2A" w:rsidP="008E315C">
            <w:pPr>
              <w:jc w:val="center"/>
              <w:rPr>
                <w:rFonts w:ascii="Cambria" w:hAnsi="Cambria"/>
                <w:sz w:val="16"/>
                <w:szCs w:val="16"/>
              </w:rPr>
            </w:pPr>
            <w:r w:rsidRPr="00D4078B">
              <w:rPr>
                <w:rFonts w:ascii="Cambria" w:hAnsi="Cambria"/>
                <w:sz w:val="16"/>
                <w:szCs w:val="16"/>
              </w:rPr>
              <w:t>0.5</w:t>
            </w:r>
          </w:p>
          <w:p w14:paraId="5D819985" w14:textId="77777777" w:rsidR="00F65D2A" w:rsidRPr="00D4078B" w:rsidRDefault="00F65D2A" w:rsidP="008E315C">
            <w:pPr>
              <w:jc w:val="center"/>
              <w:rPr>
                <w:rFonts w:ascii="Cambria" w:hAnsi="Cambria"/>
                <w:sz w:val="16"/>
                <w:szCs w:val="16"/>
              </w:rPr>
            </w:pPr>
            <w:r w:rsidRPr="00D4078B">
              <w:rPr>
                <w:rFonts w:ascii="Cambria" w:hAnsi="Cambria"/>
                <w:sz w:val="16"/>
                <w:szCs w:val="16"/>
              </w:rPr>
              <w:t>-0.5-1.5</w:t>
            </w:r>
          </w:p>
        </w:tc>
        <w:tc>
          <w:tcPr>
            <w:tcW w:w="1423" w:type="dxa"/>
            <w:tcBorders>
              <w:top w:val="nil"/>
              <w:left w:val="nil"/>
              <w:bottom w:val="nil"/>
              <w:right w:val="nil"/>
            </w:tcBorders>
            <w:vAlign w:val="center"/>
          </w:tcPr>
          <w:p w14:paraId="4FEB58F5" w14:textId="77777777" w:rsidR="00F65D2A" w:rsidRPr="00D4078B" w:rsidRDefault="00F65D2A" w:rsidP="008E315C">
            <w:pPr>
              <w:jc w:val="center"/>
              <w:rPr>
                <w:rFonts w:ascii="Cambria" w:hAnsi="Cambria"/>
                <w:sz w:val="16"/>
                <w:szCs w:val="16"/>
              </w:rPr>
            </w:pPr>
            <w:r w:rsidRPr="00D4078B">
              <w:rPr>
                <w:rFonts w:ascii="Cambria" w:hAnsi="Cambria"/>
                <w:sz w:val="16"/>
                <w:szCs w:val="16"/>
              </w:rPr>
              <w:t>3</w:t>
            </w:r>
          </w:p>
          <w:p w14:paraId="12C0A073" w14:textId="77777777" w:rsidR="00F65D2A" w:rsidRPr="00D4078B" w:rsidRDefault="00F65D2A" w:rsidP="008E315C">
            <w:pPr>
              <w:jc w:val="center"/>
              <w:rPr>
                <w:rFonts w:ascii="Cambria" w:hAnsi="Cambria"/>
                <w:sz w:val="16"/>
                <w:szCs w:val="16"/>
              </w:rPr>
            </w:pPr>
            <w:r w:rsidRPr="00D4078B">
              <w:rPr>
                <w:rFonts w:ascii="Cambria" w:hAnsi="Cambria"/>
                <w:sz w:val="16"/>
                <w:szCs w:val="16"/>
              </w:rPr>
              <w:t>2-4</w:t>
            </w:r>
          </w:p>
          <w:p w14:paraId="02D80F68" w14:textId="77777777" w:rsidR="00F65D2A" w:rsidRPr="00D4078B" w:rsidRDefault="00F65D2A" w:rsidP="008E315C">
            <w:pPr>
              <w:jc w:val="center"/>
              <w:rPr>
                <w:rFonts w:ascii="Cambria" w:hAnsi="Cambria"/>
                <w:sz w:val="16"/>
                <w:szCs w:val="16"/>
              </w:rPr>
            </w:pPr>
          </w:p>
        </w:tc>
        <w:tc>
          <w:tcPr>
            <w:tcW w:w="1455" w:type="dxa"/>
            <w:tcBorders>
              <w:top w:val="nil"/>
              <w:left w:val="nil"/>
              <w:bottom w:val="nil"/>
              <w:right w:val="nil"/>
            </w:tcBorders>
            <w:vAlign w:val="center"/>
          </w:tcPr>
          <w:p w14:paraId="35D3C207" w14:textId="77777777" w:rsidR="00F65D2A" w:rsidRPr="00D4078B" w:rsidRDefault="00F65D2A" w:rsidP="008E315C">
            <w:pPr>
              <w:jc w:val="center"/>
              <w:rPr>
                <w:rFonts w:ascii="Cambria" w:hAnsi="Cambria"/>
                <w:sz w:val="16"/>
                <w:szCs w:val="16"/>
              </w:rPr>
            </w:pPr>
            <w:r w:rsidRPr="00D4078B">
              <w:rPr>
                <w:rFonts w:ascii="Cambria" w:hAnsi="Cambria"/>
                <w:sz w:val="16"/>
                <w:szCs w:val="16"/>
              </w:rPr>
              <w:t>3</w:t>
            </w:r>
          </w:p>
          <w:p w14:paraId="17C757B2" w14:textId="77777777" w:rsidR="00F65D2A" w:rsidRPr="00D4078B" w:rsidRDefault="00F65D2A" w:rsidP="008E315C">
            <w:pPr>
              <w:jc w:val="center"/>
              <w:rPr>
                <w:rFonts w:ascii="Cambria" w:hAnsi="Cambria"/>
                <w:sz w:val="16"/>
                <w:szCs w:val="16"/>
              </w:rPr>
            </w:pPr>
            <w:r w:rsidRPr="00D4078B">
              <w:rPr>
                <w:rFonts w:ascii="Cambria" w:hAnsi="Cambria"/>
                <w:sz w:val="16"/>
                <w:szCs w:val="16"/>
              </w:rPr>
              <w:t>2-4</w:t>
            </w:r>
          </w:p>
          <w:p w14:paraId="557C0747" w14:textId="77777777" w:rsidR="00F65D2A" w:rsidRPr="00D4078B" w:rsidRDefault="00F65D2A" w:rsidP="008E315C">
            <w:pPr>
              <w:jc w:val="center"/>
              <w:rPr>
                <w:rFonts w:ascii="Cambria" w:hAnsi="Cambria"/>
                <w:sz w:val="16"/>
                <w:szCs w:val="16"/>
              </w:rPr>
            </w:pPr>
          </w:p>
        </w:tc>
        <w:tc>
          <w:tcPr>
            <w:tcW w:w="1417" w:type="dxa"/>
            <w:tcBorders>
              <w:top w:val="nil"/>
              <w:left w:val="nil"/>
              <w:bottom w:val="nil"/>
              <w:right w:val="nil"/>
            </w:tcBorders>
            <w:vAlign w:val="center"/>
          </w:tcPr>
          <w:p w14:paraId="123010CD" w14:textId="77777777" w:rsidR="00F65D2A" w:rsidRPr="00D4078B" w:rsidRDefault="00F65D2A" w:rsidP="008E315C">
            <w:pPr>
              <w:jc w:val="center"/>
              <w:rPr>
                <w:rFonts w:ascii="Cambria" w:hAnsi="Cambria"/>
                <w:sz w:val="16"/>
                <w:szCs w:val="16"/>
              </w:rPr>
            </w:pPr>
            <w:r w:rsidRPr="00D4078B">
              <w:rPr>
                <w:rFonts w:ascii="Cambria" w:hAnsi="Cambria"/>
                <w:sz w:val="16"/>
                <w:szCs w:val="16"/>
              </w:rPr>
              <w:t>2.7</w:t>
            </w:r>
          </w:p>
          <w:p w14:paraId="5901526D" w14:textId="77777777" w:rsidR="00F65D2A" w:rsidRPr="00D4078B" w:rsidRDefault="00F65D2A" w:rsidP="008E315C">
            <w:pPr>
              <w:jc w:val="center"/>
              <w:rPr>
                <w:rFonts w:ascii="Cambria" w:hAnsi="Cambria"/>
                <w:sz w:val="16"/>
                <w:szCs w:val="16"/>
              </w:rPr>
            </w:pPr>
            <w:r w:rsidRPr="00D4078B">
              <w:rPr>
                <w:rFonts w:ascii="Cambria" w:hAnsi="Cambria"/>
                <w:sz w:val="16"/>
                <w:szCs w:val="16"/>
              </w:rPr>
              <w:t>1.7-3.7</w:t>
            </w:r>
          </w:p>
        </w:tc>
        <w:tc>
          <w:tcPr>
            <w:tcW w:w="1701" w:type="dxa"/>
            <w:tcBorders>
              <w:top w:val="nil"/>
              <w:left w:val="nil"/>
              <w:bottom w:val="nil"/>
              <w:right w:val="nil"/>
            </w:tcBorders>
            <w:vAlign w:val="center"/>
          </w:tcPr>
          <w:p w14:paraId="22C40427" w14:textId="77777777" w:rsidR="00F65D2A" w:rsidRPr="00D4078B" w:rsidRDefault="00F65D2A" w:rsidP="008E315C">
            <w:pPr>
              <w:jc w:val="center"/>
              <w:rPr>
                <w:rFonts w:ascii="Cambria" w:hAnsi="Cambria"/>
                <w:sz w:val="16"/>
                <w:szCs w:val="16"/>
              </w:rPr>
            </w:pPr>
            <w:r w:rsidRPr="00D4078B">
              <w:rPr>
                <w:rFonts w:ascii="Cambria" w:hAnsi="Cambria"/>
                <w:sz w:val="16"/>
                <w:szCs w:val="16"/>
              </w:rPr>
              <w:t>1.35</w:t>
            </w:r>
          </w:p>
          <w:p w14:paraId="54E01CDD" w14:textId="77777777" w:rsidR="00F65D2A" w:rsidRPr="00D4078B" w:rsidRDefault="00F65D2A" w:rsidP="008E315C">
            <w:pPr>
              <w:jc w:val="center"/>
              <w:rPr>
                <w:rFonts w:ascii="Cambria" w:hAnsi="Cambria"/>
                <w:sz w:val="16"/>
                <w:szCs w:val="16"/>
              </w:rPr>
            </w:pPr>
            <w:r w:rsidRPr="00D4078B">
              <w:rPr>
                <w:rFonts w:ascii="Cambria" w:hAnsi="Cambria"/>
                <w:sz w:val="16"/>
                <w:szCs w:val="16"/>
              </w:rPr>
              <w:t>0.35-2.35</w:t>
            </w:r>
          </w:p>
        </w:tc>
      </w:tr>
      <w:tr w:rsidR="00F65D2A" w:rsidRPr="00D4078B" w14:paraId="7E330350" w14:textId="77777777" w:rsidTr="008E315C">
        <w:tc>
          <w:tcPr>
            <w:tcW w:w="1530" w:type="dxa"/>
            <w:tcBorders>
              <w:top w:val="nil"/>
              <w:left w:val="nil"/>
              <w:bottom w:val="nil"/>
              <w:right w:val="nil"/>
            </w:tcBorders>
            <w:vAlign w:val="center"/>
          </w:tcPr>
          <w:p w14:paraId="4DD167C8" w14:textId="77777777" w:rsidR="00F65D2A" w:rsidRPr="00D4078B" w:rsidRDefault="00F65D2A" w:rsidP="008E315C">
            <w:pPr>
              <w:jc w:val="center"/>
              <w:rPr>
                <w:rFonts w:ascii="Cambria" w:hAnsi="Cambria"/>
                <w:sz w:val="16"/>
                <w:szCs w:val="16"/>
              </w:rPr>
            </w:pPr>
            <w:r w:rsidRPr="00D4078B">
              <w:rPr>
                <w:rFonts w:ascii="Cambria" w:hAnsi="Cambria"/>
                <w:sz w:val="16"/>
                <w:szCs w:val="16"/>
              </w:rPr>
              <w:t>Standard deviation</w:t>
            </w:r>
          </w:p>
        </w:tc>
        <w:tc>
          <w:tcPr>
            <w:tcW w:w="1541" w:type="dxa"/>
            <w:tcBorders>
              <w:top w:val="nil"/>
              <w:left w:val="nil"/>
              <w:bottom w:val="nil"/>
              <w:right w:val="nil"/>
            </w:tcBorders>
            <w:vAlign w:val="center"/>
          </w:tcPr>
          <w:p w14:paraId="758750E6" w14:textId="77777777" w:rsidR="00F65D2A" w:rsidRPr="00D4078B" w:rsidRDefault="00F65D2A" w:rsidP="008E315C">
            <w:pPr>
              <w:jc w:val="center"/>
              <w:rPr>
                <w:rFonts w:ascii="Cambria" w:hAnsi="Cambria"/>
                <w:sz w:val="16"/>
                <w:szCs w:val="16"/>
              </w:rPr>
            </w:pPr>
            <w:r w:rsidRPr="00D4078B">
              <w:rPr>
                <w:rFonts w:ascii="Cambria" w:hAnsi="Cambria"/>
                <w:sz w:val="16"/>
                <w:szCs w:val="16"/>
              </w:rPr>
              <w:t>3.7</w:t>
            </w:r>
          </w:p>
          <w:p w14:paraId="63378150" w14:textId="77777777" w:rsidR="00F65D2A" w:rsidRPr="00D4078B" w:rsidRDefault="00F65D2A" w:rsidP="008E315C">
            <w:pPr>
              <w:jc w:val="center"/>
              <w:rPr>
                <w:rFonts w:ascii="Cambria" w:hAnsi="Cambria"/>
                <w:sz w:val="16"/>
                <w:szCs w:val="16"/>
              </w:rPr>
            </w:pPr>
            <w:r w:rsidRPr="00D4078B">
              <w:rPr>
                <w:rFonts w:ascii="Cambria" w:hAnsi="Cambria"/>
                <w:sz w:val="16"/>
                <w:szCs w:val="16"/>
              </w:rPr>
              <w:t>2.7-4.7</w:t>
            </w:r>
          </w:p>
        </w:tc>
        <w:tc>
          <w:tcPr>
            <w:tcW w:w="1423" w:type="dxa"/>
            <w:tcBorders>
              <w:top w:val="nil"/>
              <w:left w:val="nil"/>
              <w:bottom w:val="nil"/>
              <w:right w:val="nil"/>
            </w:tcBorders>
            <w:vAlign w:val="center"/>
          </w:tcPr>
          <w:p w14:paraId="6368BA58" w14:textId="77777777" w:rsidR="00F65D2A" w:rsidRPr="00D4078B" w:rsidRDefault="00F65D2A" w:rsidP="008E315C">
            <w:pPr>
              <w:jc w:val="center"/>
              <w:rPr>
                <w:rFonts w:ascii="Cambria" w:hAnsi="Cambria"/>
                <w:sz w:val="16"/>
                <w:szCs w:val="16"/>
              </w:rPr>
            </w:pPr>
            <w:r w:rsidRPr="00D4078B">
              <w:rPr>
                <w:rFonts w:ascii="Cambria" w:hAnsi="Cambria"/>
                <w:sz w:val="16"/>
                <w:szCs w:val="16"/>
              </w:rPr>
              <w:t>2</w:t>
            </w:r>
          </w:p>
          <w:p w14:paraId="43C1AB78" w14:textId="77777777" w:rsidR="00F65D2A" w:rsidRPr="00D4078B" w:rsidRDefault="00F65D2A" w:rsidP="008E315C">
            <w:pPr>
              <w:jc w:val="center"/>
              <w:rPr>
                <w:rFonts w:ascii="Cambria" w:hAnsi="Cambria"/>
                <w:sz w:val="16"/>
                <w:szCs w:val="16"/>
              </w:rPr>
            </w:pPr>
            <w:r w:rsidRPr="00D4078B">
              <w:rPr>
                <w:rFonts w:ascii="Cambria" w:hAnsi="Cambria"/>
                <w:sz w:val="16"/>
                <w:szCs w:val="16"/>
              </w:rPr>
              <w:t>1-3</w:t>
            </w:r>
          </w:p>
        </w:tc>
        <w:tc>
          <w:tcPr>
            <w:tcW w:w="1455" w:type="dxa"/>
            <w:tcBorders>
              <w:top w:val="nil"/>
              <w:left w:val="nil"/>
              <w:bottom w:val="nil"/>
              <w:right w:val="nil"/>
            </w:tcBorders>
            <w:vAlign w:val="center"/>
          </w:tcPr>
          <w:p w14:paraId="77DBEAD7" w14:textId="77777777" w:rsidR="00F65D2A" w:rsidRPr="00D4078B" w:rsidRDefault="00F65D2A" w:rsidP="008E315C">
            <w:pPr>
              <w:jc w:val="center"/>
              <w:rPr>
                <w:rFonts w:ascii="Cambria" w:hAnsi="Cambria"/>
                <w:sz w:val="16"/>
                <w:szCs w:val="16"/>
              </w:rPr>
            </w:pPr>
            <w:r w:rsidRPr="00D4078B">
              <w:rPr>
                <w:rFonts w:ascii="Cambria" w:hAnsi="Cambria"/>
                <w:sz w:val="16"/>
                <w:szCs w:val="16"/>
              </w:rPr>
              <w:t>2</w:t>
            </w:r>
          </w:p>
          <w:p w14:paraId="4ACD288D" w14:textId="77777777" w:rsidR="00F65D2A" w:rsidRPr="00D4078B" w:rsidRDefault="00F65D2A" w:rsidP="008E315C">
            <w:pPr>
              <w:jc w:val="center"/>
              <w:rPr>
                <w:rFonts w:ascii="Cambria" w:hAnsi="Cambria"/>
                <w:sz w:val="16"/>
                <w:szCs w:val="16"/>
              </w:rPr>
            </w:pPr>
            <w:r w:rsidRPr="00D4078B">
              <w:rPr>
                <w:rFonts w:ascii="Cambria" w:hAnsi="Cambria"/>
                <w:sz w:val="16"/>
                <w:szCs w:val="16"/>
              </w:rPr>
              <w:t>1-3</w:t>
            </w:r>
          </w:p>
        </w:tc>
        <w:tc>
          <w:tcPr>
            <w:tcW w:w="1417" w:type="dxa"/>
            <w:tcBorders>
              <w:top w:val="nil"/>
              <w:left w:val="nil"/>
              <w:bottom w:val="nil"/>
              <w:right w:val="nil"/>
            </w:tcBorders>
            <w:vAlign w:val="center"/>
          </w:tcPr>
          <w:p w14:paraId="3B997906" w14:textId="77777777" w:rsidR="00F65D2A" w:rsidRPr="00D4078B" w:rsidRDefault="00F65D2A" w:rsidP="008E315C">
            <w:pPr>
              <w:jc w:val="center"/>
              <w:rPr>
                <w:rFonts w:ascii="Cambria" w:hAnsi="Cambria"/>
                <w:sz w:val="16"/>
                <w:szCs w:val="16"/>
              </w:rPr>
            </w:pPr>
            <w:r w:rsidRPr="00D4078B">
              <w:rPr>
                <w:rFonts w:ascii="Cambria" w:hAnsi="Cambria"/>
                <w:sz w:val="16"/>
                <w:szCs w:val="16"/>
              </w:rPr>
              <w:t>2.4</w:t>
            </w:r>
          </w:p>
          <w:p w14:paraId="09C49FD1" w14:textId="77777777" w:rsidR="00F65D2A" w:rsidRPr="00D4078B" w:rsidRDefault="00F65D2A" w:rsidP="008E315C">
            <w:pPr>
              <w:jc w:val="center"/>
              <w:rPr>
                <w:rFonts w:ascii="Cambria" w:hAnsi="Cambria"/>
                <w:sz w:val="16"/>
                <w:szCs w:val="16"/>
              </w:rPr>
            </w:pPr>
            <w:r w:rsidRPr="00D4078B">
              <w:rPr>
                <w:rFonts w:ascii="Cambria" w:hAnsi="Cambria"/>
                <w:sz w:val="16"/>
                <w:szCs w:val="16"/>
              </w:rPr>
              <w:t>1.4-3.4</w:t>
            </w:r>
          </w:p>
        </w:tc>
        <w:tc>
          <w:tcPr>
            <w:tcW w:w="1701" w:type="dxa"/>
            <w:tcBorders>
              <w:top w:val="nil"/>
              <w:left w:val="nil"/>
              <w:bottom w:val="nil"/>
              <w:right w:val="nil"/>
            </w:tcBorders>
            <w:vAlign w:val="center"/>
          </w:tcPr>
          <w:p w14:paraId="5733D716" w14:textId="77777777" w:rsidR="00F65D2A" w:rsidRPr="00D4078B" w:rsidRDefault="00F65D2A" w:rsidP="008E315C">
            <w:pPr>
              <w:jc w:val="center"/>
              <w:rPr>
                <w:rFonts w:ascii="Cambria" w:hAnsi="Cambria"/>
                <w:sz w:val="16"/>
                <w:szCs w:val="16"/>
              </w:rPr>
            </w:pPr>
            <w:r w:rsidRPr="00D4078B">
              <w:rPr>
                <w:rFonts w:ascii="Cambria" w:hAnsi="Cambria"/>
                <w:sz w:val="16"/>
                <w:szCs w:val="16"/>
              </w:rPr>
              <w:t>1.16</w:t>
            </w:r>
          </w:p>
          <w:p w14:paraId="7ACF4FBD" w14:textId="77777777" w:rsidR="00F65D2A" w:rsidRPr="00D4078B" w:rsidRDefault="00F65D2A" w:rsidP="008E315C">
            <w:pPr>
              <w:jc w:val="center"/>
              <w:rPr>
                <w:rFonts w:ascii="Cambria" w:hAnsi="Cambria"/>
                <w:sz w:val="16"/>
                <w:szCs w:val="16"/>
              </w:rPr>
            </w:pPr>
            <w:r w:rsidRPr="00D4078B">
              <w:rPr>
                <w:rFonts w:ascii="Cambria" w:hAnsi="Cambria"/>
                <w:sz w:val="16"/>
                <w:szCs w:val="16"/>
              </w:rPr>
              <w:t>0.16-2.16</w:t>
            </w:r>
          </w:p>
        </w:tc>
      </w:tr>
      <w:tr w:rsidR="00F65D2A" w:rsidRPr="00D4078B" w14:paraId="11D4E737" w14:textId="77777777" w:rsidTr="008E315C">
        <w:tc>
          <w:tcPr>
            <w:tcW w:w="1530" w:type="dxa"/>
            <w:tcBorders>
              <w:top w:val="nil"/>
              <w:left w:val="nil"/>
              <w:bottom w:val="nil"/>
              <w:right w:val="nil"/>
            </w:tcBorders>
            <w:vAlign w:val="center"/>
          </w:tcPr>
          <w:p w14:paraId="0613056F" w14:textId="77777777" w:rsidR="00F65D2A" w:rsidRPr="00D4078B" w:rsidRDefault="00F65D2A" w:rsidP="008E315C">
            <w:pPr>
              <w:jc w:val="center"/>
              <w:rPr>
                <w:rFonts w:ascii="Cambria" w:hAnsi="Cambria"/>
                <w:sz w:val="16"/>
                <w:szCs w:val="16"/>
              </w:rPr>
            </w:pPr>
          </w:p>
        </w:tc>
        <w:tc>
          <w:tcPr>
            <w:tcW w:w="1541" w:type="dxa"/>
            <w:tcBorders>
              <w:top w:val="nil"/>
              <w:left w:val="nil"/>
              <w:bottom w:val="nil"/>
              <w:right w:val="nil"/>
            </w:tcBorders>
            <w:vAlign w:val="center"/>
          </w:tcPr>
          <w:p w14:paraId="22C4200F"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Etna 2002 (Andronico et al., 2008)</w:t>
            </w:r>
          </w:p>
        </w:tc>
        <w:tc>
          <w:tcPr>
            <w:tcW w:w="1423" w:type="dxa"/>
            <w:tcBorders>
              <w:top w:val="nil"/>
              <w:left w:val="nil"/>
              <w:bottom w:val="nil"/>
              <w:right w:val="nil"/>
            </w:tcBorders>
            <w:vAlign w:val="center"/>
          </w:tcPr>
          <w:p w14:paraId="590EA3C8" w14:textId="77777777" w:rsidR="00F65D2A" w:rsidRPr="00D4078B" w:rsidRDefault="00F65D2A" w:rsidP="008E315C">
            <w:pPr>
              <w:jc w:val="center"/>
              <w:rPr>
                <w:rFonts w:ascii="Cambria" w:hAnsi="Cambria"/>
                <w:sz w:val="16"/>
                <w:szCs w:val="16"/>
              </w:rPr>
            </w:pPr>
            <w:proofErr w:type="spellStart"/>
            <w:r w:rsidRPr="00D4078B">
              <w:rPr>
                <w:rFonts w:ascii="Cambria" w:hAnsi="Cambria"/>
                <w:color w:val="ADADAD" w:themeColor="background2" w:themeShade="BF"/>
                <w:sz w:val="16"/>
                <w:szCs w:val="16"/>
              </w:rPr>
              <w:t>Souffriere</w:t>
            </w:r>
            <w:proofErr w:type="spellEnd"/>
            <w:r w:rsidRPr="00D4078B">
              <w:rPr>
                <w:rFonts w:ascii="Cambria" w:hAnsi="Cambria"/>
                <w:color w:val="ADADAD" w:themeColor="background2" w:themeShade="BF"/>
                <w:sz w:val="16"/>
                <w:szCs w:val="16"/>
              </w:rPr>
              <w:t xml:space="preserve"> St </w:t>
            </w:r>
            <w:r w:rsidRPr="00D4078B">
              <w:rPr>
                <w:rFonts w:ascii="Cambria" w:hAnsi="Cambria"/>
                <w:i/>
                <w:iCs/>
                <w:color w:val="ADADAD" w:themeColor="background2" w:themeShade="BF"/>
                <w:sz w:val="16"/>
                <w:szCs w:val="16"/>
              </w:rPr>
              <w:t>Vincent 1979 (Brazier et al., 1982)</w:t>
            </w:r>
          </w:p>
        </w:tc>
        <w:tc>
          <w:tcPr>
            <w:tcW w:w="1455" w:type="dxa"/>
            <w:tcBorders>
              <w:top w:val="nil"/>
              <w:left w:val="nil"/>
              <w:bottom w:val="nil"/>
              <w:right w:val="nil"/>
            </w:tcBorders>
            <w:vAlign w:val="center"/>
          </w:tcPr>
          <w:p w14:paraId="21AE22AC" w14:textId="77777777" w:rsidR="00F65D2A" w:rsidRPr="00D4078B" w:rsidRDefault="00F65D2A" w:rsidP="008E315C">
            <w:pPr>
              <w:jc w:val="center"/>
              <w:rPr>
                <w:rFonts w:ascii="Cambria" w:hAnsi="Cambria"/>
                <w:sz w:val="16"/>
                <w:szCs w:val="16"/>
              </w:rPr>
            </w:pPr>
            <w:proofErr w:type="spellStart"/>
            <w:r w:rsidRPr="00D4078B">
              <w:rPr>
                <w:rFonts w:ascii="Cambria" w:hAnsi="Cambria"/>
                <w:color w:val="ADADAD" w:themeColor="background2" w:themeShade="BF"/>
                <w:sz w:val="16"/>
                <w:szCs w:val="16"/>
              </w:rPr>
              <w:t>Souffriere</w:t>
            </w:r>
            <w:proofErr w:type="spellEnd"/>
            <w:r w:rsidRPr="00D4078B">
              <w:rPr>
                <w:rFonts w:ascii="Cambria" w:hAnsi="Cambria"/>
                <w:color w:val="ADADAD" w:themeColor="background2" w:themeShade="BF"/>
                <w:sz w:val="16"/>
                <w:szCs w:val="16"/>
              </w:rPr>
              <w:t xml:space="preserve"> St </w:t>
            </w:r>
            <w:r w:rsidRPr="00D4078B">
              <w:rPr>
                <w:rFonts w:ascii="Cambria" w:hAnsi="Cambria"/>
                <w:i/>
                <w:iCs/>
                <w:color w:val="ADADAD" w:themeColor="background2" w:themeShade="BF"/>
                <w:sz w:val="16"/>
                <w:szCs w:val="16"/>
              </w:rPr>
              <w:t>Vincent 1979 (Brazier et al., 1982)</w:t>
            </w:r>
          </w:p>
        </w:tc>
        <w:tc>
          <w:tcPr>
            <w:tcW w:w="1417" w:type="dxa"/>
            <w:tcBorders>
              <w:top w:val="nil"/>
              <w:left w:val="nil"/>
              <w:bottom w:val="nil"/>
              <w:right w:val="nil"/>
            </w:tcBorders>
            <w:vAlign w:val="center"/>
          </w:tcPr>
          <w:p w14:paraId="3074F35B" w14:textId="77777777" w:rsidR="00F65D2A" w:rsidRPr="00D4078B" w:rsidRDefault="00F65D2A" w:rsidP="008E315C">
            <w:pPr>
              <w:jc w:val="center"/>
              <w:rPr>
                <w:rFonts w:ascii="Cambria" w:hAnsi="Cambria"/>
                <w:sz w:val="16"/>
                <w:szCs w:val="16"/>
              </w:rPr>
            </w:pPr>
            <w:proofErr w:type="spellStart"/>
            <w:r w:rsidRPr="00D4078B">
              <w:rPr>
                <w:rFonts w:ascii="Cambria" w:hAnsi="Cambria"/>
                <w:i/>
                <w:iCs/>
                <w:color w:val="BFBFBF" w:themeColor="background1" w:themeShade="BF"/>
                <w:sz w:val="16"/>
                <w:szCs w:val="16"/>
              </w:rPr>
              <w:t>Chaiten</w:t>
            </w:r>
            <w:proofErr w:type="spellEnd"/>
            <w:r w:rsidRPr="00D4078B">
              <w:rPr>
                <w:rFonts w:ascii="Cambria" w:hAnsi="Cambria"/>
                <w:i/>
                <w:iCs/>
                <w:color w:val="BFBFBF" w:themeColor="background1" w:themeShade="BF"/>
                <w:sz w:val="16"/>
                <w:szCs w:val="16"/>
              </w:rPr>
              <w:t xml:space="preserve"> 2011 (Alfano et al., 2016)</w:t>
            </w:r>
          </w:p>
        </w:tc>
        <w:tc>
          <w:tcPr>
            <w:tcW w:w="1701" w:type="dxa"/>
            <w:tcBorders>
              <w:top w:val="nil"/>
              <w:left w:val="nil"/>
              <w:bottom w:val="nil"/>
              <w:right w:val="nil"/>
            </w:tcBorders>
            <w:vAlign w:val="center"/>
          </w:tcPr>
          <w:p w14:paraId="11A8BFDB"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Pinatubo 1991 (</w:t>
            </w:r>
            <w:proofErr w:type="spellStart"/>
            <w:r w:rsidRPr="00D4078B">
              <w:rPr>
                <w:rFonts w:ascii="Cambria" w:hAnsi="Cambria"/>
                <w:i/>
                <w:iCs/>
                <w:color w:val="BFBFBF" w:themeColor="background1" w:themeShade="BF"/>
                <w:sz w:val="16"/>
                <w:szCs w:val="16"/>
              </w:rPr>
              <w:t>Volentik</w:t>
            </w:r>
            <w:proofErr w:type="spellEnd"/>
            <w:r w:rsidRPr="00D4078B">
              <w:rPr>
                <w:rFonts w:ascii="Cambria" w:hAnsi="Cambria"/>
                <w:i/>
                <w:iCs/>
                <w:color w:val="BFBFBF" w:themeColor="background1" w:themeShade="BF"/>
                <w:sz w:val="16"/>
                <w:szCs w:val="16"/>
              </w:rPr>
              <w:t>, 2009)</w:t>
            </w:r>
          </w:p>
        </w:tc>
      </w:tr>
      <w:tr w:rsidR="00F65D2A" w:rsidRPr="00D4078B" w14:paraId="6D381BFC" w14:textId="77777777" w:rsidTr="008E315C">
        <w:tc>
          <w:tcPr>
            <w:tcW w:w="1530" w:type="dxa"/>
            <w:tcBorders>
              <w:top w:val="nil"/>
              <w:left w:val="nil"/>
              <w:bottom w:val="nil"/>
              <w:right w:val="nil"/>
            </w:tcBorders>
            <w:vAlign w:val="center"/>
          </w:tcPr>
          <w:p w14:paraId="2FB6D45E" w14:textId="77777777" w:rsidR="00F65D2A" w:rsidRPr="00D4078B" w:rsidRDefault="00F65D2A" w:rsidP="008E315C">
            <w:pPr>
              <w:jc w:val="center"/>
              <w:rPr>
                <w:rFonts w:ascii="Cambria" w:hAnsi="Cambria"/>
                <w:sz w:val="16"/>
                <w:szCs w:val="16"/>
              </w:rPr>
            </w:pPr>
            <w:r w:rsidRPr="00D4078B">
              <w:rPr>
                <w:rFonts w:ascii="Cambria" w:hAnsi="Cambria"/>
                <w:sz w:val="16"/>
                <w:szCs w:val="16"/>
              </w:rPr>
              <w:t>Aggregation</w:t>
            </w:r>
          </w:p>
        </w:tc>
        <w:tc>
          <w:tcPr>
            <w:tcW w:w="7537" w:type="dxa"/>
            <w:gridSpan w:val="5"/>
            <w:tcBorders>
              <w:top w:val="nil"/>
              <w:left w:val="nil"/>
              <w:bottom w:val="nil"/>
              <w:right w:val="nil"/>
            </w:tcBorders>
            <w:vAlign w:val="center"/>
          </w:tcPr>
          <w:p w14:paraId="13FDD425" w14:textId="77777777" w:rsidR="00F65D2A" w:rsidRPr="00D4078B" w:rsidRDefault="00F65D2A" w:rsidP="008E315C">
            <w:pPr>
              <w:jc w:val="center"/>
              <w:rPr>
                <w:rFonts w:ascii="Cambria" w:hAnsi="Cambria"/>
                <w:sz w:val="16"/>
                <w:szCs w:val="16"/>
              </w:rPr>
            </w:pPr>
            <w:r w:rsidRPr="00D4078B">
              <w:rPr>
                <w:rFonts w:ascii="Cambria" w:hAnsi="Cambria"/>
                <w:sz w:val="16"/>
                <w:szCs w:val="16"/>
              </w:rPr>
              <w:t>30-70% of particles &lt;63</w:t>
            </w:r>
            <w:r w:rsidRPr="00D4078B">
              <w:rPr>
                <w:rFonts w:ascii="Cambria" w:hAnsi="Cambria"/>
                <w:sz w:val="16"/>
                <w:szCs w:val="16"/>
              </w:rPr>
              <w:sym w:font="Symbol" w:char="F06D"/>
            </w:r>
            <w:r w:rsidRPr="00D4078B">
              <w:rPr>
                <w:rFonts w:ascii="Cambria" w:hAnsi="Cambria"/>
                <w:sz w:val="16"/>
                <w:szCs w:val="16"/>
              </w:rPr>
              <w:t>m</w:t>
            </w:r>
          </w:p>
          <w:p w14:paraId="0BC0598D"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Sparks et al., (1997) suggest that most particles &lt;63</w:t>
            </w:r>
            <w:r w:rsidRPr="00D4078B">
              <w:rPr>
                <w:rFonts w:ascii="Cambria" w:hAnsi="Cambria"/>
                <w:i/>
                <w:iCs/>
                <w:color w:val="BFBFBF" w:themeColor="background1" w:themeShade="BF"/>
                <w:sz w:val="16"/>
                <w:szCs w:val="16"/>
              </w:rPr>
              <w:sym w:font="Symbol" w:char="F06D"/>
            </w:r>
            <w:r w:rsidRPr="00D4078B">
              <w:rPr>
                <w:rFonts w:ascii="Cambria" w:hAnsi="Cambria"/>
                <w:i/>
                <w:iCs/>
                <w:color w:val="BFBFBF" w:themeColor="background1" w:themeShade="BF"/>
                <w:sz w:val="16"/>
                <w:szCs w:val="16"/>
              </w:rPr>
              <w:t>m fall as aggregates</w:t>
            </w:r>
          </w:p>
        </w:tc>
      </w:tr>
      <w:tr w:rsidR="00F65D2A" w:rsidRPr="00D4078B" w14:paraId="3FD86EDC" w14:textId="77777777" w:rsidTr="008E315C">
        <w:tc>
          <w:tcPr>
            <w:tcW w:w="1530" w:type="dxa"/>
            <w:tcBorders>
              <w:top w:val="nil"/>
              <w:left w:val="nil"/>
              <w:bottom w:val="nil"/>
              <w:right w:val="nil"/>
            </w:tcBorders>
            <w:vAlign w:val="center"/>
          </w:tcPr>
          <w:p w14:paraId="1C96815E" w14:textId="77777777" w:rsidR="00F65D2A" w:rsidRPr="00D4078B" w:rsidRDefault="00F65D2A" w:rsidP="008E315C">
            <w:pPr>
              <w:jc w:val="center"/>
              <w:rPr>
                <w:rFonts w:ascii="Cambria" w:hAnsi="Cambria"/>
                <w:sz w:val="16"/>
                <w:szCs w:val="16"/>
              </w:rPr>
            </w:pPr>
            <w:r w:rsidRPr="00D4078B">
              <w:rPr>
                <w:rFonts w:ascii="Cambria" w:hAnsi="Cambria"/>
                <w:sz w:val="16"/>
                <w:szCs w:val="16"/>
              </w:rPr>
              <w:t>Eddy constant</w:t>
            </w:r>
          </w:p>
        </w:tc>
        <w:tc>
          <w:tcPr>
            <w:tcW w:w="7537" w:type="dxa"/>
            <w:gridSpan w:val="5"/>
            <w:tcBorders>
              <w:top w:val="nil"/>
              <w:left w:val="nil"/>
              <w:bottom w:val="nil"/>
              <w:right w:val="nil"/>
            </w:tcBorders>
            <w:vAlign w:val="center"/>
          </w:tcPr>
          <w:p w14:paraId="54EDBF80"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0.04 </w:t>
            </w:r>
            <m:oMath>
              <m:sSup>
                <m:sSupPr>
                  <m:ctrlPr>
                    <w:rPr>
                      <w:rFonts w:ascii="Cambria Math" w:hAnsi="Cambria Math"/>
                      <w:sz w:val="16"/>
                      <w:szCs w:val="16"/>
                    </w:rPr>
                  </m:ctrlPr>
                </m:sSupPr>
                <m:e>
                  <m:r>
                    <m:rPr>
                      <m:sty m:val="p"/>
                    </m:rPr>
                    <w:rPr>
                      <w:rFonts w:ascii="Cambria Math" w:hAnsi="Cambria Math"/>
                      <w:sz w:val="16"/>
                      <w:szCs w:val="16"/>
                    </w:rPr>
                    <m:t>m</m:t>
                  </m:r>
                </m:e>
                <m:sup>
                  <m:r>
                    <m:rPr>
                      <m:sty m:val="p"/>
                    </m:rPr>
                    <w:rPr>
                      <w:rFonts w:ascii="Cambria Math" w:hAnsi="Cambria Math"/>
                      <w:sz w:val="16"/>
                      <w:szCs w:val="16"/>
                    </w:rPr>
                    <m:t>2</m:t>
                  </m:r>
                </m:sup>
              </m:sSup>
              <m:r>
                <m:rPr>
                  <m:sty m:val="p"/>
                </m:rPr>
                <w:rPr>
                  <w:rFonts w:ascii="Cambria Math" w:hAnsi="Cambria Math"/>
                  <w:sz w:val="16"/>
                  <w:szCs w:val="16"/>
                </w:rPr>
                <m:t>/s</m:t>
              </m:r>
            </m:oMath>
          </w:p>
        </w:tc>
      </w:tr>
      <w:tr w:rsidR="00F65D2A" w:rsidRPr="00D4078B" w14:paraId="0304DEB7" w14:textId="77777777" w:rsidTr="008E315C">
        <w:tc>
          <w:tcPr>
            <w:tcW w:w="1530" w:type="dxa"/>
            <w:tcBorders>
              <w:top w:val="nil"/>
              <w:left w:val="nil"/>
              <w:bottom w:val="nil"/>
              <w:right w:val="nil"/>
            </w:tcBorders>
            <w:vAlign w:val="center"/>
          </w:tcPr>
          <w:p w14:paraId="6D21D432" w14:textId="77777777" w:rsidR="00F65D2A" w:rsidRPr="00D4078B" w:rsidRDefault="00F65D2A" w:rsidP="008E315C">
            <w:pPr>
              <w:jc w:val="center"/>
              <w:rPr>
                <w:rFonts w:ascii="Cambria" w:hAnsi="Cambria"/>
                <w:sz w:val="16"/>
                <w:szCs w:val="16"/>
              </w:rPr>
            </w:pPr>
            <w:r w:rsidRPr="00D4078B">
              <w:rPr>
                <w:rFonts w:ascii="Cambria" w:hAnsi="Cambria"/>
                <w:sz w:val="16"/>
                <w:szCs w:val="16"/>
              </w:rPr>
              <w:t>Diffusion coefficient</w:t>
            </w:r>
          </w:p>
        </w:tc>
        <w:tc>
          <w:tcPr>
            <w:tcW w:w="2964" w:type="dxa"/>
            <w:gridSpan w:val="2"/>
            <w:tcBorders>
              <w:top w:val="nil"/>
              <w:left w:val="nil"/>
              <w:bottom w:val="nil"/>
              <w:right w:val="nil"/>
            </w:tcBorders>
            <w:vAlign w:val="center"/>
          </w:tcPr>
          <w:p w14:paraId="45D6800B" w14:textId="77777777" w:rsidR="00F65D2A" w:rsidRPr="00D4078B" w:rsidRDefault="00F65D2A" w:rsidP="008E315C">
            <w:pPr>
              <w:jc w:val="center"/>
              <w:rPr>
                <w:rFonts w:ascii="Cambria" w:hAnsi="Cambria"/>
                <w:sz w:val="16"/>
                <w:szCs w:val="16"/>
              </w:rPr>
            </w:pPr>
            <w:r w:rsidRPr="00D4078B">
              <w:rPr>
                <w:rFonts w:ascii="Cambria" w:hAnsi="Cambria"/>
                <w:sz w:val="16"/>
                <w:szCs w:val="16"/>
              </w:rPr>
              <w:t>4900</w:t>
            </w:r>
          </w:p>
          <w:p w14:paraId="50FB05D4" w14:textId="77777777" w:rsidR="00F65D2A" w:rsidRPr="00D4078B" w:rsidRDefault="00F65D2A" w:rsidP="008E315C">
            <w:pPr>
              <w:jc w:val="center"/>
              <w:rPr>
                <w:rFonts w:ascii="Cambria" w:hAnsi="Cambria"/>
                <w:sz w:val="16"/>
                <w:szCs w:val="16"/>
              </w:rPr>
            </w:pPr>
          </w:p>
        </w:tc>
        <w:tc>
          <w:tcPr>
            <w:tcW w:w="2872" w:type="dxa"/>
            <w:gridSpan w:val="2"/>
            <w:tcBorders>
              <w:top w:val="nil"/>
              <w:left w:val="nil"/>
              <w:bottom w:val="nil"/>
              <w:right w:val="nil"/>
            </w:tcBorders>
            <w:vAlign w:val="center"/>
          </w:tcPr>
          <w:p w14:paraId="491B7C11" w14:textId="77777777" w:rsidR="00F65D2A" w:rsidRPr="00D4078B" w:rsidRDefault="00F65D2A" w:rsidP="008E315C">
            <w:pPr>
              <w:jc w:val="center"/>
              <w:rPr>
                <w:rFonts w:ascii="Cambria" w:hAnsi="Cambria"/>
                <w:sz w:val="16"/>
                <w:szCs w:val="16"/>
              </w:rPr>
            </w:pPr>
            <w:r w:rsidRPr="00D4078B">
              <w:rPr>
                <w:rFonts w:ascii="Cambria" w:hAnsi="Cambria"/>
                <w:sz w:val="16"/>
                <w:szCs w:val="16"/>
              </w:rPr>
              <w:t>1636</w:t>
            </w:r>
          </w:p>
          <w:p w14:paraId="3E738127" w14:textId="77777777" w:rsidR="00F65D2A" w:rsidRPr="00D4078B" w:rsidRDefault="00F65D2A" w:rsidP="008E315C">
            <w:pPr>
              <w:jc w:val="center"/>
              <w:rPr>
                <w:rFonts w:ascii="Cambria" w:hAnsi="Cambria"/>
                <w:sz w:val="16"/>
                <w:szCs w:val="16"/>
              </w:rPr>
            </w:pPr>
          </w:p>
        </w:tc>
        <w:tc>
          <w:tcPr>
            <w:tcW w:w="1701" w:type="dxa"/>
            <w:tcBorders>
              <w:top w:val="nil"/>
              <w:left w:val="nil"/>
              <w:bottom w:val="nil"/>
              <w:right w:val="nil"/>
            </w:tcBorders>
            <w:vAlign w:val="center"/>
          </w:tcPr>
          <w:p w14:paraId="702E7B00" w14:textId="77777777" w:rsidR="00F65D2A" w:rsidRPr="00D4078B" w:rsidRDefault="00F65D2A" w:rsidP="008E315C">
            <w:pPr>
              <w:jc w:val="center"/>
              <w:rPr>
                <w:rFonts w:ascii="Cambria" w:hAnsi="Cambria"/>
                <w:sz w:val="16"/>
                <w:szCs w:val="16"/>
              </w:rPr>
            </w:pPr>
            <w:r w:rsidRPr="00D4078B">
              <w:rPr>
                <w:rFonts w:ascii="Cambria" w:hAnsi="Cambria"/>
                <w:sz w:val="16"/>
                <w:szCs w:val="16"/>
              </w:rPr>
              <w:t>3183</w:t>
            </w:r>
          </w:p>
          <w:p w14:paraId="423193EE" w14:textId="77777777" w:rsidR="00F65D2A" w:rsidRPr="00D4078B" w:rsidRDefault="00F65D2A" w:rsidP="008E315C">
            <w:pPr>
              <w:jc w:val="center"/>
              <w:rPr>
                <w:rFonts w:ascii="Cambria" w:hAnsi="Cambria"/>
                <w:sz w:val="16"/>
                <w:szCs w:val="16"/>
              </w:rPr>
            </w:pPr>
          </w:p>
        </w:tc>
      </w:tr>
      <w:tr w:rsidR="00F65D2A" w:rsidRPr="00D4078B" w14:paraId="4FD3DADB" w14:textId="77777777" w:rsidTr="008E315C">
        <w:tc>
          <w:tcPr>
            <w:tcW w:w="1530" w:type="dxa"/>
            <w:tcBorders>
              <w:top w:val="nil"/>
              <w:left w:val="nil"/>
              <w:bottom w:val="nil"/>
              <w:right w:val="nil"/>
            </w:tcBorders>
            <w:vAlign w:val="center"/>
          </w:tcPr>
          <w:p w14:paraId="6CE0D05E" w14:textId="77777777" w:rsidR="00F65D2A" w:rsidRPr="00D4078B" w:rsidRDefault="00F65D2A" w:rsidP="008E315C">
            <w:pPr>
              <w:jc w:val="center"/>
              <w:rPr>
                <w:rFonts w:ascii="Cambria" w:hAnsi="Cambria"/>
                <w:sz w:val="16"/>
                <w:szCs w:val="16"/>
              </w:rPr>
            </w:pPr>
            <w:r w:rsidRPr="00D4078B">
              <w:rPr>
                <w:rFonts w:ascii="Cambria" w:hAnsi="Cambria"/>
                <w:sz w:val="16"/>
                <w:szCs w:val="16"/>
              </w:rPr>
              <w:t>Fall time threshold</w:t>
            </w:r>
          </w:p>
        </w:tc>
        <w:tc>
          <w:tcPr>
            <w:tcW w:w="2964" w:type="dxa"/>
            <w:gridSpan w:val="2"/>
            <w:tcBorders>
              <w:top w:val="nil"/>
              <w:left w:val="nil"/>
              <w:bottom w:val="nil"/>
              <w:right w:val="nil"/>
            </w:tcBorders>
            <w:vAlign w:val="center"/>
          </w:tcPr>
          <w:p w14:paraId="07A6A7B5" w14:textId="77777777" w:rsidR="00F65D2A" w:rsidRPr="00D4078B" w:rsidRDefault="00F65D2A" w:rsidP="008E315C">
            <w:pPr>
              <w:jc w:val="center"/>
              <w:rPr>
                <w:rFonts w:ascii="Cambria" w:hAnsi="Cambria"/>
                <w:sz w:val="16"/>
                <w:szCs w:val="16"/>
              </w:rPr>
            </w:pPr>
            <w:r w:rsidRPr="00D4078B">
              <w:rPr>
                <w:rFonts w:ascii="Cambria" w:hAnsi="Cambria"/>
                <w:sz w:val="16"/>
                <w:szCs w:val="16"/>
              </w:rPr>
              <w:t>5000</w:t>
            </w:r>
          </w:p>
          <w:p w14:paraId="1F7C710B" w14:textId="77777777" w:rsidR="00F65D2A" w:rsidRPr="00D4078B" w:rsidRDefault="00F65D2A" w:rsidP="008E315C">
            <w:pPr>
              <w:jc w:val="center"/>
              <w:rPr>
                <w:rFonts w:ascii="Cambria" w:hAnsi="Cambria"/>
                <w:i/>
                <w:iCs/>
                <w:sz w:val="16"/>
                <w:szCs w:val="16"/>
              </w:rPr>
            </w:pPr>
            <w:r w:rsidRPr="00D4078B">
              <w:rPr>
                <w:rFonts w:ascii="Cambria" w:hAnsi="Cambria"/>
                <w:i/>
                <w:iCs/>
                <w:color w:val="BFBFBF" w:themeColor="background1" w:themeShade="BF"/>
                <w:sz w:val="16"/>
                <w:szCs w:val="16"/>
              </w:rPr>
              <w:t xml:space="preserve">(Fuego 1974, </w:t>
            </w:r>
            <w:proofErr w:type="spellStart"/>
            <w:r w:rsidRPr="00D4078B">
              <w:rPr>
                <w:rFonts w:ascii="Cambria" w:hAnsi="Cambria"/>
                <w:i/>
                <w:iCs/>
                <w:color w:val="BFBFBF" w:themeColor="background1" w:themeShade="BF"/>
                <w:sz w:val="16"/>
                <w:szCs w:val="16"/>
              </w:rPr>
              <w:t>Biass</w:t>
            </w:r>
            <w:proofErr w:type="spellEnd"/>
            <w:r w:rsidRPr="00D4078B">
              <w:rPr>
                <w:rFonts w:ascii="Cambria" w:hAnsi="Cambria"/>
                <w:i/>
                <w:iCs/>
                <w:color w:val="BFBFBF" w:themeColor="background1" w:themeShade="BF"/>
                <w:sz w:val="16"/>
                <w:szCs w:val="16"/>
              </w:rPr>
              <w:t xml:space="preserve"> et al., 2016)</w:t>
            </w:r>
          </w:p>
        </w:tc>
        <w:tc>
          <w:tcPr>
            <w:tcW w:w="2872" w:type="dxa"/>
            <w:gridSpan w:val="2"/>
            <w:tcBorders>
              <w:top w:val="nil"/>
              <w:left w:val="nil"/>
              <w:bottom w:val="nil"/>
              <w:right w:val="nil"/>
            </w:tcBorders>
            <w:vAlign w:val="center"/>
          </w:tcPr>
          <w:p w14:paraId="040985DF" w14:textId="77777777" w:rsidR="00F65D2A" w:rsidRPr="00D4078B" w:rsidRDefault="00F65D2A" w:rsidP="008E315C">
            <w:pPr>
              <w:jc w:val="center"/>
              <w:rPr>
                <w:rFonts w:ascii="Cambria" w:hAnsi="Cambria"/>
                <w:sz w:val="16"/>
                <w:szCs w:val="16"/>
              </w:rPr>
            </w:pPr>
            <w:r w:rsidRPr="00D4078B">
              <w:rPr>
                <w:rFonts w:ascii="Cambria" w:hAnsi="Cambria"/>
                <w:sz w:val="16"/>
                <w:szCs w:val="16"/>
              </w:rPr>
              <w:t>2044</w:t>
            </w:r>
          </w:p>
          <w:p w14:paraId="7C616B70"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 xml:space="preserve">(Cotopaxi layer 5, </w:t>
            </w:r>
            <w:proofErr w:type="spellStart"/>
            <w:r w:rsidRPr="00D4078B">
              <w:rPr>
                <w:rFonts w:ascii="Cambria" w:hAnsi="Cambria"/>
                <w:i/>
                <w:iCs/>
                <w:color w:val="BFBFBF" w:themeColor="background1" w:themeShade="BF"/>
                <w:sz w:val="16"/>
                <w:szCs w:val="16"/>
              </w:rPr>
              <w:t>Biass</w:t>
            </w:r>
            <w:proofErr w:type="spellEnd"/>
            <w:r w:rsidRPr="00D4078B">
              <w:rPr>
                <w:rFonts w:ascii="Cambria" w:hAnsi="Cambria"/>
                <w:i/>
                <w:iCs/>
                <w:color w:val="BFBFBF" w:themeColor="background1" w:themeShade="BF"/>
                <w:sz w:val="16"/>
                <w:szCs w:val="16"/>
              </w:rPr>
              <w:t xml:space="preserve"> &amp; Bonadonna, 2011)</w:t>
            </w:r>
          </w:p>
          <w:p w14:paraId="4063A711" w14:textId="77777777" w:rsidR="00F65D2A" w:rsidRPr="00D4078B" w:rsidRDefault="00F65D2A" w:rsidP="008E315C">
            <w:pPr>
              <w:jc w:val="center"/>
              <w:rPr>
                <w:rFonts w:ascii="Cambria" w:hAnsi="Cambria"/>
                <w:sz w:val="16"/>
                <w:szCs w:val="16"/>
              </w:rPr>
            </w:pPr>
          </w:p>
          <w:p w14:paraId="4A0D08EC" w14:textId="77777777" w:rsidR="00F65D2A" w:rsidRPr="00D4078B" w:rsidRDefault="00F65D2A" w:rsidP="008E315C">
            <w:pPr>
              <w:jc w:val="center"/>
              <w:rPr>
                <w:rFonts w:ascii="Cambria" w:hAnsi="Cambria"/>
                <w:sz w:val="16"/>
                <w:szCs w:val="16"/>
              </w:rPr>
            </w:pPr>
          </w:p>
        </w:tc>
        <w:tc>
          <w:tcPr>
            <w:tcW w:w="1701" w:type="dxa"/>
            <w:tcBorders>
              <w:top w:val="nil"/>
              <w:left w:val="nil"/>
              <w:bottom w:val="nil"/>
              <w:right w:val="nil"/>
            </w:tcBorders>
            <w:vAlign w:val="center"/>
          </w:tcPr>
          <w:p w14:paraId="711C2617" w14:textId="77777777" w:rsidR="00F65D2A" w:rsidRPr="00D4078B" w:rsidRDefault="00F65D2A" w:rsidP="008E315C">
            <w:pPr>
              <w:jc w:val="center"/>
              <w:rPr>
                <w:rFonts w:ascii="Cambria" w:hAnsi="Cambria"/>
                <w:sz w:val="16"/>
                <w:szCs w:val="16"/>
              </w:rPr>
            </w:pPr>
            <w:r w:rsidRPr="00D4078B">
              <w:rPr>
                <w:rFonts w:ascii="Cambria" w:hAnsi="Cambria"/>
                <w:sz w:val="16"/>
                <w:szCs w:val="16"/>
              </w:rPr>
              <w:t>5911</w:t>
            </w:r>
          </w:p>
          <w:p w14:paraId="5FEE30D2" w14:textId="77777777" w:rsidR="00F65D2A" w:rsidRPr="00D4078B" w:rsidRDefault="00F65D2A" w:rsidP="008E315C">
            <w:pPr>
              <w:jc w:val="center"/>
              <w:rPr>
                <w:rFonts w:ascii="Cambria" w:hAnsi="Cambria"/>
                <w:sz w:val="16"/>
                <w:szCs w:val="16"/>
              </w:rPr>
            </w:pPr>
            <w:r w:rsidRPr="00D4078B">
              <w:rPr>
                <w:rFonts w:ascii="Cambria" w:hAnsi="Cambria"/>
                <w:i/>
                <w:iCs/>
                <w:color w:val="BFBFBF" w:themeColor="background1" w:themeShade="BF"/>
                <w:sz w:val="16"/>
                <w:szCs w:val="16"/>
              </w:rPr>
              <w:t xml:space="preserve">(Cotopaxi layer 3, </w:t>
            </w:r>
            <w:proofErr w:type="spellStart"/>
            <w:r w:rsidRPr="00D4078B">
              <w:rPr>
                <w:rFonts w:ascii="Cambria" w:hAnsi="Cambria"/>
                <w:i/>
                <w:iCs/>
                <w:color w:val="BFBFBF" w:themeColor="background1" w:themeShade="BF"/>
                <w:sz w:val="16"/>
                <w:szCs w:val="16"/>
              </w:rPr>
              <w:t>Biass</w:t>
            </w:r>
            <w:proofErr w:type="spellEnd"/>
            <w:r w:rsidRPr="00D4078B">
              <w:rPr>
                <w:rFonts w:ascii="Cambria" w:hAnsi="Cambria"/>
                <w:i/>
                <w:iCs/>
                <w:color w:val="BFBFBF" w:themeColor="background1" w:themeShade="BF"/>
                <w:sz w:val="16"/>
                <w:szCs w:val="16"/>
              </w:rPr>
              <w:t xml:space="preserve"> &amp; Bonadonna, 2011)</w:t>
            </w:r>
          </w:p>
        </w:tc>
      </w:tr>
      <w:tr w:rsidR="00F65D2A" w:rsidRPr="00D4078B" w14:paraId="7746B268" w14:textId="77777777" w:rsidTr="008E315C">
        <w:tc>
          <w:tcPr>
            <w:tcW w:w="1530" w:type="dxa"/>
            <w:tcBorders>
              <w:top w:val="nil"/>
              <w:left w:val="nil"/>
              <w:bottom w:val="nil"/>
              <w:right w:val="nil"/>
            </w:tcBorders>
            <w:vAlign w:val="center"/>
          </w:tcPr>
          <w:p w14:paraId="0D7FD2FC" w14:textId="77777777" w:rsidR="00F65D2A" w:rsidRPr="00D4078B" w:rsidRDefault="00F65D2A" w:rsidP="008E315C">
            <w:pPr>
              <w:jc w:val="center"/>
              <w:rPr>
                <w:rFonts w:ascii="Cambria" w:hAnsi="Cambria"/>
                <w:sz w:val="16"/>
                <w:szCs w:val="16"/>
              </w:rPr>
            </w:pPr>
            <w:r w:rsidRPr="00D4078B">
              <w:rPr>
                <w:rFonts w:ascii="Cambria" w:hAnsi="Cambria"/>
                <w:sz w:val="16"/>
                <w:szCs w:val="16"/>
              </w:rPr>
              <w:t>Lithic density</w:t>
            </w:r>
          </w:p>
        </w:tc>
        <w:tc>
          <w:tcPr>
            <w:tcW w:w="7537" w:type="dxa"/>
            <w:gridSpan w:val="5"/>
            <w:tcBorders>
              <w:top w:val="nil"/>
              <w:left w:val="nil"/>
              <w:bottom w:val="nil"/>
              <w:right w:val="nil"/>
            </w:tcBorders>
            <w:vAlign w:val="center"/>
          </w:tcPr>
          <w:p w14:paraId="7BCDD5B3" w14:textId="77777777" w:rsidR="00F65D2A" w:rsidRPr="00D4078B" w:rsidRDefault="00F65D2A" w:rsidP="008E315C">
            <w:pPr>
              <w:jc w:val="center"/>
              <w:rPr>
                <w:rFonts w:ascii="Cambria" w:hAnsi="Cambria"/>
                <w:sz w:val="16"/>
                <w:szCs w:val="16"/>
              </w:rPr>
            </w:pPr>
            <w:r w:rsidRPr="00D4078B">
              <w:rPr>
                <w:rFonts w:ascii="Cambria" w:hAnsi="Cambria"/>
                <w:sz w:val="16"/>
                <w:szCs w:val="16"/>
              </w:rPr>
              <w:t>2300 kg/</w:t>
            </w:r>
            <m:oMath>
              <m:sSup>
                <m:sSupPr>
                  <m:ctrlPr>
                    <w:rPr>
                      <w:rFonts w:ascii="Cambria Math" w:hAnsi="Cambria Math"/>
                      <w:sz w:val="16"/>
                      <w:szCs w:val="16"/>
                    </w:rPr>
                  </m:ctrlPr>
                </m:sSupPr>
                <m:e>
                  <m:r>
                    <m:rPr>
                      <m:sty m:val="p"/>
                    </m:rPr>
                    <w:rPr>
                      <w:rFonts w:ascii="Cambria Math" w:hAnsi="Cambria Math"/>
                      <w:sz w:val="16"/>
                      <w:szCs w:val="16"/>
                    </w:rPr>
                    <m:t>m</m:t>
                  </m:r>
                </m:e>
                <m:sup>
                  <m:r>
                    <m:rPr>
                      <m:sty m:val="p"/>
                    </m:rPr>
                    <w:rPr>
                      <w:rFonts w:ascii="Cambria Math" w:hAnsi="Cambria Math"/>
                      <w:sz w:val="16"/>
                      <w:szCs w:val="16"/>
                    </w:rPr>
                    <m:t>3</m:t>
                  </m:r>
                </m:sup>
              </m:sSup>
            </m:oMath>
          </w:p>
          <w:p w14:paraId="228C3129" w14:textId="77777777" w:rsidR="00F65D2A" w:rsidRPr="00D4078B" w:rsidRDefault="00F65D2A" w:rsidP="008E315C">
            <w:pPr>
              <w:jc w:val="center"/>
              <w:rPr>
                <w:rFonts w:ascii="Cambria" w:hAnsi="Cambria"/>
                <w:sz w:val="16"/>
                <w:szCs w:val="16"/>
              </w:rPr>
            </w:pPr>
            <w:r w:rsidRPr="00D4078B">
              <w:rPr>
                <w:rFonts w:ascii="Cambria" w:hAnsi="Cambria"/>
                <w:i/>
                <w:iCs/>
                <w:color w:val="ADADAD" w:themeColor="background2" w:themeShade="BF"/>
                <w:sz w:val="16"/>
                <w:szCs w:val="16"/>
              </w:rPr>
              <w:t>(Fieldwork at Gede, Bear-Crozier et al., 2012</w:t>
            </w:r>
          </w:p>
        </w:tc>
      </w:tr>
      <w:tr w:rsidR="00F65D2A" w:rsidRPr="00D4078B" w14:paraId="323FCC55" w14:textId="77777777" w:rsidTr="008E315C">
        <w:tc>
          <w:tcPr>
            <w:tcW w:w="1530" w:type="dxa"/>
            <w:tcBorders>
              <w:top w:val="nil"/>
              <w:left w:val="nil"/>
              <w:bottom w:val="nil"/>
              <w:right w:val="nil"/>
            </w:tcBorders>
            <w:vAlign w:val="center"/>
          </w:tcPr>
          <w:p w14:paraId="6E3728AE" w14:textId="77777777" w:rsidR="00F65D2A" w:rsidRPr="00D4078B" w:rsidRDefault="00F65D2A" w:rsidP="008E315C">
            <w:pPr>
              <w:jc w:val="center"/>
              <w:rPr>
                <w:rFonts w:ascii="Cambria" w:hAnsi="Cambria"/>
                <w:sz w:val="16"/>
                <w:szCs w:val="16"/>
              </w:rPr>
            </w:pPr>
            <w:r w:rsidRPr="00D4078B">
              <w:rPr>
                <w:rFonts w:ascii="Cambria" w:hAnsi="Cambria"/>
                <w:sz w:val="16"/>
                <w:szCs w:val="16"/>
              </w:rPr>
              <w:t>Pumice density</w:t>
            </w:r>
          </w:p>
        </w:tc>
        <w:tc>
          <w:tcPr>
            <w:tcW w:w="7537" w:type="dxa"/>
            <w:gridSpan w:val="5"/>
            <w:tcBorders>
              <w:top w:val="nil"/>
              <w:left w:val="nil"/>
              <w:bottom w:val="nil"/>
              <w:right w:val="nil"/>
            </w:tcBorders>
            <w:vAlign w:val="center"/>
          </w:tcPr>
          <w:p w14:paraId="55208070" w14:textId="77777777" w:rsidR="00F65D2A" w:rsidRPr="00D4078B" w:rsidRDefault="00F65D2A" w:rsidP="008E315C">
            <w:pPr>
              <w:jc w:val="center"/>
              <w:rPr>
                <w:rFonts w:ascii="Cambria" w:hAnsi="Cambria"/>
                <w:sz w:val="16"/>
                <w:szCs w:val="16"/>
              </w:rPr>
            </w:pPr>
            <w:r w:rsidRPr="00D4078B">
              <w:rPr>
                <w:rFonts w:ascii="Cambria" w:hAnsi="Cambria"/>
                <w:sz w:val="16"/>
                <w:szCs w:val="16"/>
              </w:rPr>
              <w:t>935 kg/</w:t>
            </w:r>
            <m:oMath>
              <m:sSup>
                <m:sSupPr>
                  <m:ctrlPr>
                    <w:rPr>
                      <w:rFonts w:ascii="Cambria Math" w:hAnsi="Cambria Math"/>
                      <w:sz w:val="16"/>
                      <w:szCs w:val="16"/>
                    </w:rPr>
                  </m:ctrlPr>
                </m:sSupPr>
                <m:e>
                  <m:r>
                    <m:rPr>
                      <m:sty m:val="p"/>
                    </m:rPr>
                    <w:rPr>
                      <w:rFonts w:ascii="Cambria Math" w:hAnsi="Cambria Math"/>
                      <w:sz w:val="16"/>
                      <w:szCs w:val="16"/>
                    </w:rPr>
                    <m:t>m</m:t>
                  </m:r>
                </m:e>
                <m:sup>
                  <m:r>
                    <m:rPr>
                      <m:sty m:val="p"/>
                    </m:rPr>
                    <w:rPr>
                      <w:rFonts w:ascii="Cambria Math" w:hAnsi="Cambria Math"/>
                      <w:sz w:val="16"/>
                      <w:szCs w:val="16"/>
                    </w:rPr>
                    <m:t>3</m:t>
                  </m:r>
                </m:sup>
              </m:sSup>
            </m:oMath>
          </w:p>
          <w:p w14:paraId="5AEC31D0" w14:textId="77777777" w:rsidR="00F65D2A" w:rsidRPr="00D4078B" w:rsidRDefault="00F65D2A" w:rsidP="008E315C">
            <w:pPr>
              <w:jc w:val="center"/>
              <w:rPr>
                <w:rFonts w:ascii="Cambria" w:hAnsi="Cambria"/>
                <w:sz w:val="16"/>
                <w:szCs w:val="16"/>
              </w:rPr>
            </w:pPr>
            <w:r w:rsidRPr="00D4078B">
              <w:rPr>
                <w:rFonts w:ascii="Cambria" w:hAnsi="Cambria"/>
                <w:color w:val="ADADAD" w:themeColor="background2" w:themeShade="BF"/>
                <w:sz w:val="16"/>
                <w:szCs w:val="16"/>
              </w:rPr>
              <w:t>(Fieldwork at Gede, Bear-Crozier et al., 2012)</w:t>
            </w:r>
          </w:p>
        </w:tc>
      </w:tr>
      <w:tr w:rsidR="00F65D2A" w:rsidRPr="00D4078B" w14:paraId="639260E6" w14:textId="77777777" w:rsidTr="008E315C">
        <w:tc>
          <w:tcPr>
            <w:tcW w:w="1530" w:type="dxa"/>
            <w:tcBorders>
              <w:top w:val="nil"/>
              <w:left w:val="nil"/>
              <w:bottom w:val="nil"/>
              <w:right w:val="nil"/>
            </w:tcBorders>
            <w:vAlign w:val="center"/>
          </w:tcPr>
          <w:p w14:paraId="548EB590" w14:textId="77777777" w:rsidR="00F65D2A" w:rsidRPr="00D4078B" w:rsidRDefault="00F65D2A" w:rsidP="008E315C">
            <w:pPr>
              <w:jc w:val="center"/>
              <w:rPr>
                <w:rFonts w:ascii="Cambria" w:hAnsi="Cambria"/>
                <w:sz w:val="16"/>
                <w:szCs w:val="16"/>
                <w:highlight w:val="yellow"/>
              </w:rPr>
            </w:pPr>
            <w:r w:rsidRPr="00D4078B">
              <w:rPr>
                <w:rFonts w:ascii="Cambria" w:hAnsi="Cambria"/>
                <w:sz w:val="16"/>
                <w:szCs w:val="16"/>
              </w:rPr>
              <w:t>Column steps</w:t>
            </w:r>
          </w:p>
        </w:tc>
        <w:tc>
          <w:tcPr>
            <w:tcW w:w="7537" w:type="dxa"/>
            <w:gridSpan w:val="5"/>
            <w:tcBorders>
              <w:top w:val="nil"/>
              <w:left w:val="nil"/>
              <w:bottom w:val="nil"/>
              <w:right w:val="nil"/>
            </w:tcBorders>
            <w:vAlign w:val="center"/>
          </w:tcPr>
          <w:p w14:paraId="01D8499B" w14:textId="77777777" w:rsidR="00F65D2A" w:rsidRPr="00D4078B" w:rsidRDefault="00F65D2A" w:rsidP="008E315C">
            <w:pPr>
              <w:jc w:val="center"/>
              <w:rPr>
                <w:rFonts w:ascii="Cambria" w:hAnsi="Cambria"/>
                <w:sz w:val="16"/>
                <w:szCs w:val="16"/>
              </w:rPr>
            </w:pPr>
            <w:r w:rsidRPr="00D4078B">
              <w:rPr>
                <w:rFonts w:ascii="Cambria" w:hAnsi="Cambria"/>
                <w:sz w:val="16"/>
                <w:szCs w:val="16"/>
              </w:rPr>
              <w:t>150</w:t>
            </w:r>
          </w:p>
          <w:p w14:paraId="618C6F30" w14:textId="77777777" w:rsidR="00F65D2A" w:rsidRPr="00D4078B" w:rsidRDefault="00F65D2A" w:rsidP="008E315C">
            <w:pPr>
              <w:jc w:val="center"/>
              <w:rPr>
                <w:rFonts w:ascii="Cambria" w:hAnsi="Cambria"/>
                <w:i/>
                <w:iCs/>
                <w:sz w:val="16"/>
                <w:szCs w:val="16"/>
              </w:rPr>
            </w:pPr>
            <w:r w:rsidRPr="00D4078B">
              <w:rPr>
                <w:rFonts w:ascii="Cambria" w:hAnsi="Cambria"/>
                <w:i/>
                <w:iCs/>
                <w:color w:val="BFBFBF" w:themeColor="background1" w:themeShade="BF"/>
                <w:sz w:val="16"/>
                <w:szCs w:val="16"/>
              </w:rPr>
              <w:t>Reflects a maximum distance between vertical point sources of 200m</w:t>
            </w:r>
          </w:p>
        </w:tc>
      </w:tr>
      <w:tr w:rsidR="00F65D2A" w:rsidRPr="00D4078B" w14:paraId="3FA3834B" w14:textId="77777777" w:rsidTr="008E315C">
        <w:tc>
          <w:tcPr>
            <w:tcW w:w="1530" w:type="dxa"/>
            <w:tcBorders>
              <w:top w:val="nil"/>
              <w:left w:val="nil"/>
              <w:bottom w:val="nil"/>
              <w:right w:val="nil"/>
            </w:tcBorders>
            <w:vAlign w:val="center"/>
          </w:tcPr>
          <w:p w14:paraId="019C4DF2" w14:textId="77777777" w:rsidR="00F65D2A" w:rsidRPr="00D4078B" w:rsidRDefault="00F65D2A" w:rsidP="008E315C">
            <w:pPr>
              <w:jc w:val="center"/>
              <w:rPr>
                <w:rFonts w:ascii="Cambria" w:hAnsi="Cambria"/>
                <w:sz w:val="16"/>
                <w:szCs w:val="16"/>
                <w:highlight w:val="yellow"/>
              </w:rPr>
            </w:pPr>
            <w:r w:rsidRPr="00D4078B">
              <w:rPr>
                <w:rFonts w:ascii="Cambria" w:hAnsi="Cambria"/>
                <w:sz w:val="16"/>
                <w:szCs w:val="16"/>
              </w:rPr>
              <w:t>Particle steps</w:t>
            </w:r>
          </w:p>
        </w:tc>
        <w:tc>
          <w:tcPr>
            <w:tcW w:w="7537" w:type="dxa"/>
            <w:gridSpan w:val="5"/>
            <w:tcBorders>
              <w:top w:val="nil"/>
              <w:left w:val="nil"/>
              <w:bottom w:val="nil"/>
              <w:right w:val="nil"/>
            </w:tcBorders>
            <w:vAlign w:val="center"/>
          </w:tcPr>
          <w:p w14:paraId="6466F017" w14:textId="77777777" w:rsidR="00F65D2A" w:rsidRPr="00D4078B" w:rsidRDefault="00F65D2A" w:rsidP="008E315C">
            <w:pPr>
              <w:jc w:val="center"/>
              <w:rPr>
                <w:rFonts w:ascii="Cambria" w:hAnsi="Cambria"/>
                <w:sz w:val="16"/>
                <w:szCs w:val="16"/>
              </w:rPr>
            </w:pPr>
            <w:r w:rsidRPr="00D4078B">
              <w:rPr>
                <w:rFonts w:ascii="Cambria" w:hAnsi="Cambria"/>
                <w:sz w:val="16"/>
                <w:szCs w:val="16"/>
              </w:rPr>
              <w:t>20</w:t>
            </w:r>
          </w:p>
          <w:p w14:paraId="5C157E84" w14:textId="77777777" w:rsidR="00F65D2A" w:rsidRPr="00D4078B" w:rsidRDefault="00F65D2A" w:rsidP="008E315C">
            <w:pPr>
              <w:jc w:val="center"/>
              <w:rPr>
                <w:rFonts w:ascii="Cambria" w:hAnsi="Cambria"/>
                <w:i/>
                <w:iCs/>
                <w:sz w:val="16"/>
                <w:szCs w:val="16"/>
              </w:rPr>
            </w:pPr>
            <w:r w:rsidRPr="00D4078B">
              <w:rPr>
                <w:rFonts w:ascii="Cambria" w:hAnsi="Cambria"/>
                <w:i/>
                <w:iCs/>
                <w:color w:val="BFBFBF" w:themeColor="background1" w:themeShade="BF"/>
                <w:sz w:val="16"/>
                <w:szCs w:val="16"/>
              </w:rPr>
              <w:t>Reflects a maximum bin width of 0.75 phi, in line with the work of Bonadonna et al ., 2002</w:t>
            </w:r>
          </w:p>
        </w:tc>
      </w:tr>
      <w:tr w:rsidR="00F65D2A" w:rsidRPr="00D4078B" w14:paraId="3899FDA6" w14:textId="77777777" w:rsidTr="008E315C">
        <w:tc>
          <w:tcPr>
            <w:tcW w:w="1530" w:type="dxa"/>
            <w:tcBorders>
              <w:top w:val="nil"/>
              <w:left w:val="nil"/>
              <w:bottom w:val="single" w:sz="4" w:space="0" w:color="auto"/>
              <w:right w:val="nil"/>
            </w:tcBorders>
            <w:vAlign w:val="center"/>
          </w:tcPr>
          <w:p w14:paraId="7EF098F4" w14:textId="77777777" w:rsidR="00F65D2A" w:rsidRPr="00D4078B" w:rsidRDefault="00F65D2A" w:rsidP="008E315C">
            <w:pPr>
              <w:jc w:val="center"/>
              <w:rPr>
                <w:rFonts w:ascii="Cambria" w:hAnsi="Cambria"/>
                <w:sz w:val="16"/>
                <w:szCs w:val="16"/>
              </w:rPr>
            </w:pPr>
            <w:r w:rsidRPr="00D4078B">
              <w:rPr>
                <w:rFonts w:ascii="Cambria" w:hAnsi="Cambria"/>
                <w:sz w:val="16"/>
                <w:szCs w:val="16"/>
              </w:rPr>
              <w:t>Plume model</w:t>
            </w:r>
          </w:p>
        </w:tc>
        <w:tc>
          <w:tcPr>
            <w:tcW w:w="2964" w:type="dxa"/>
            <w:gridSpan w:val="2"/>
            <w:tcBorders>
              <w:top w:val="nil"/>
              <w:left w:val="nil"/>
              <w:bottom w:val="single" w:sz="4" w:space="0" w:color="auto"/>
              <w:right w:val="nil"/>
            </w:tcBorders>
            <w:vAlign w:val="center"/>
          </w:tcPr>
          <w:p w14:paraId="6F28B822"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Beta distribution </w:t>
            </w:r>
            <w:r w:rsidRPr="00D4078B">
              <w:rPr>
                <w:rFonts w:ascii="Cambria" w:hAnsi="Cambria"/>
                <w:sz w:val="16"/>
                <w:szCs w:val="16"/>
              </w:rPr>
              <w:sym w:font="Symbol" w:char="F061"/>
            </w:r>
            <w:r w:rsidRPr="00D4078B">
              <w:rPr>
                <w:rFonts w:ascii="Cambria" w:hAnsi="Cambria"/>
                <w:sz w:val="16"/>
                <w:szCs w:val="16"/>
              </w:rPr>
              <w:t xml:space="preserve"> = 1, </w:t>
            </w:r>
            <w:r w:rsidRPr="00D4078B">
              <w:rPr>
                <w:rFonts w:ascii="Cambria" w:hAnsi="Cambria"/>
                <w:sz w:val="16"/>
                <w:szCs w:val="16"/>
              </w:rPr>
              <w:sym w:font="Symbol" w:char="F062"/>
            </w:r>
            <w:r w:rsidRPr="00D4078B">
              <w:rPr>
                <w:rFonts w:ascii="Cambria" w:hAnsi="Cambria"/>
                <w:sz w:val="16"/>
                <w:szCs w:val="16"/>
              </w:rPr>
              <w:t xml:space="preserve"> = 1</w:t>
            </w:r>
          </w:p>
          <w:p w14:paraId="082CD4FC" w14:textId="77777777" w:rsidR="00F65D2A" w:rsidRPr="00D4078B" w:rsidRDefault="00F65D2A" w:rsidP="008E315C">
            <w:pPr>
              <w:jc w:val="center"/>
              <w:rPr>
                <w:rFonts w:ascii="Cambria" w:hAnsi="Cambria"/>
                <w:i/>
                <w:iCs/>
                <w:sz w:val="16"/>
                <w:szCs w:val="16"/>
              </w:rPr>
            </w:pPr>
            <w:r w:rsidRPr="00D4078B">
              <w:rPr>
                <w:rFonts w:ascii="Cambria" w:hAnsi="Cambria"/>
                <w:i/>
                <w:iCs/>
                <w:color w:val="D9D9D9" w:themeColor="background1" w:themeShade="D9"/>
                <w:sz w:val="16"/>
                <w:szCs w:val="16"/>
              </w:rPr>
              <w:t>Uniform mass distribution, after Bonadonna et al., (2002)</w:t>
            </w:r>
          </w:p>
        </w:tc>
        <w:tc>
          <w:tcPr>
            <w:tcW w:w="4573" w:type="dxa"/>
            <w:gridSpan w:val="3"/>
            <w:tcBorders>
              <w:top w:val="nil"/>
              <w:left w:val="nil"/>
              <w:bottom w:val="single" w:sz="4" w:space="0" w:color="auto"/>
              <w:right w:val="nil"/>
            </w:tcBorders>
            <w:vAlign w:val="center"/>
          </w:tcPr>
          <w:p w14:paraId="3AF378ED" w14:textId="77777777" w:rsidR="00F65D2A" w:rsidRPr="00D4078B" w:rsidRDefault="00F65D2A" w:rsidP="008E315C">
            <w:pPr>
              <w:jc w:val="center"/>
              <w:rPr>
                <w:rFonts w:ascii="Cambria" w:hAnsi="Cambria"/>
                <w:sz w:val="16"/>
                <w:szCs w:val="16"/>
              </w:rPr>
            </w:pPr>
            <w:r w:rsidRPr="00D4078B">
              <w:rPr>
                <w:rFonts w:ascii="Cambria" w:hAnsi="Cambria"/>
                <w:sz w:val="16"/>
                <w:szCs w:val="16"/>
              </w:rPr>
              <w:t xml:space="preserve">Beta distribution </w:t>
            </w:r>
            <w:r w:rsidRPr="00D4078B">
              <w:rPr>
                <w:rFonts w:ascii="Cambria" w:hAnsi="Cambria"/>
                <w:sz w:val="16"/>
                <w:szCs w:val="16"/>
              </w:rPr>
              <w:sym w:font="Symbol" w:char="F061"/>
            </w:r>
            <w:r w:rsidRPr="00D4078B">
              <w:rPr>
                <w:rFonts w:ascii="Cambria" w:hAnsi="Cambria"/>
                <w:sz w:val="16"/>
                <w:szCs w:val="16"/>
              </w:rPr>
              <w:t xml:space="preserve"> = 3, </w:t>
            </w:r>
            <w:r w:rsidRPr="00D4078B">
              <w:rPr>
                <w:rFonts w:ascii="Cambria" w:hAnsi="Cambria"/>
                <w:sz w:val="16"/>
                <w:szCs w:val="16"/>
              </w:rPr>
              <w:sym w:font="Symbol" w:char="F062"/>
            </w:r>
            <w:r w:rsidRPr="00D4078B">
              <w:rPr>
                <w:rFonts w:ascii="Cambria" w:hAnsi="Cambria"/>
                <w:sz w:val="16"/>
                <w:szCs w:val="16"/>
              </w:rPr>
              <w:t xml:space="preserve"> = 1.5</w:t>
            </w:r>
          </w:p>
          <w:p w14:paraId="2972EA79" w14:textId="77777777" w:rsidR="00F65D2A" w:rsidRPr="00D4078B" w:rsidRDefault="00F65D2A" w:rsidP="008E315C">
            <w:pPr>
              <w:jc w:val="center"/>
              <w:rPr>
                <w:rFonts w:ascii="Cambria" w:hAnsi="Cambria"/>
                <w:i/>
                <w:iCs/>
                <w:sz w:val="16"/>
                <w:szCs w:val="16"/>
              </w:rPr>
            </w:pPr>
            <w:r w:rsidRPr="00D4078B">
              <w:rPr>
                <w:rFonts w:ascii="Cambria" w:hAnsi="Cambria"/>
                <w:i/>
                <w:iCs/>
                <w:color w:val="D9D9D9" w:themeColor="background1" w:themeShade="D9"/>
                <w:sz w:val="16"/>
                <w:szCs w:val="16"/>
              </w:rPr>
              <w:t>The majority of mass is released at around 80% the total height</w:t>
            </w:r>
          </w:p>
        </w:tc>
      </w:tr>
    </w:tbl>
    <w:p w14:paraId="4A94D070" w14:textId="77777777" w:rsidR="007E770A" w:rsidRDefault="007E770A" w:rsidP="007E770A">
      <w:pPr>
        <w:pStyle w:val="p1"/>
        <w:spacing w:line="360" w:lineRule="auto"/>
        <w:jc w:val="both"/>
        <w:rPr>
          <w:rFonts w:ascii="Cambria" w:hAnsi="Cambria"/>
          <w:color w:val="000000" w:themeColor="text1"/>
          <w:sz w:val="20"/>
          <w:szCs w:val="20"/>
        </w:rPr>
      </w:pPr>
    </w:p>
    <w:p w14:paraId="281E2CBB" w14:textId="47E8D734"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lastRenderedPageBreak/>
        <w:t xml:space="preserve">Alfano F, Bonadonna C, Watt S, Connor CB, </w:t>
      </w:r>
      <w:proofErr w:type="spellStart"/>
      <w:r w:rsidRPr="00766169">
        <w:rPr>
          <w:rFonts w:ascii="Cambria" w:hAnsi="Cambria"/>
          <w:color w:val="000000" w:themeColor="text1"/>
          <w:sz w:val="20"/>
          <w:szCs w:val="20"/>
        </w:rPr>
        <w:t>Volentik</w:t>
      </w:r>
      <w:proofErr w:type="spellEnd"/>
      <w:r w:rsidRPr="00766169">
        <w:rPr>
          <w:rFonts w:ascii="Cambria" w:hAnsi="Cambria"/>
          <w:color w:val="000000" w:themeColor="text1"/>
          <w:sz w:val="20"/>
          <w:szCs w:val="20"/>
        </w:rPr>
        <w:t xml:space="preserve"> A, Pyle DM (2016) Reconstruction of total grain size distribution of the climactic phase of a long-lasting eruption: the example of the 2008–2013 </w:t>
      </w:r>
      <w:proofErr w:type="spellStart"/>
      <w:r w:rsidRPr="00766169">
        <w:rPr>
          <w:rFonts w:ascii="Cambria" w:hAnsi="Cambria"/>
          <w:color w:val="000000" w:themeColor="text1"/>
          <w:sz w:val="20"/>
          <w:szCs w:val="20"/>
        </w:rPr>
        <w:t>Chaitén</w:t>
      </w:r>
      <w:proofErr w:type="spellEnd"/>
      <w:r w:rsidRPr="00766169">
        <w:rPr>
          <w:rFonts w:ascii="Cambria" w:hAnsi="Cambria"/>
          <w:color w:val="000000" w:themeColor="text1"/>
          <w:sz w:val="20"/>
          <w:szCs w:val="20"/>
        </w:rPr>
        <w:t xml:space="preserve"> eruption. Bull </w:t>
      </w:r>
      <w:proofErr w:type="spellStart"/>
      <w:r w:rsidRPr="00766169">
        <w:rPr>
          <w:rFonts w:ascii="Cambria" w:hAnsi="Cambria"/>
          <w:color w:val="000000" w:themeColor="text1"/>
          <w:sz w:val="20"/>
          <w:szCs w:val="20"/>
        </w:rPr>
        <w:t>Volcanol</w:t>
      </w:r>
      <w:proofErr w:type="spellEnd"/>
      <w:r w:rsidRPr="00766169">
        <w:rPr>
          <w:rFonts w:ascii="Cambria" w:hAnsi="Cambria"/>
          <w:color w:val="000000" w:themeColor="text1"/>
          <w:sz w:val="20"/>
          <w:szCs w:val="20"/>
        </w:rPr>
        <w:t xml:space="preserve"> 78(7): 46. https://doi.org/10.1007/s00445-016-1040-5</w:t>
      </w:r>
    </w:p>
    <w:p w14:paraId="28A6D4BB"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Andronico D, Scollo S, Caruso S, Cristaldi A (2008) The 2002–03 Etna explosive activity: Tephra dispersal and features of the deposits. J Geophys Res 113(B4): 1-16. https://doi.org/10.1029/2007JB005126</w:t>
      </w:r>
    </w:p>
    <w:p w14:paraId="233BD8C3"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Bebbington MS, Jenkins SF (2022) Intra-Eruption Forecasting Using Analogue Volcano and Eruption Sets. J Geophys Res Solid Earth </w:t>
      </w:r>
      <w:r w:rsidRPr="00766169">
        <w:rPr>
          <w:rStyle w:val="s1"/>
          <w:rFonts w:ascii="Cambria" w:eastAsiaTheme="majorEastAsia" w:hAnsi="Cambria"/>
          <w:color w:val="000000" w:themeColor="text1"/>
          <w:sz w:val="20"/>
          <w:szCs w:val="20"/>
        </w:rPr>
        <w:t>127</w:t>
      </w:r>
      <w:r w:rsidRPr="00766169">
        <w:rPr>
          <w:rFonts w:ascii="Cambria" w:hAnsi="Cambria"/>
          <w:color w:val="000000" w:themeColor="text1"/>
          <w:sz w:val="20"/>
          <w:szCs w:val="20"/>
        </w:rPr>
        <w:t xml:space="preserve">(6):1–26. </w:t>
      </w:r>
      <w:hyperlink r:id="rId5" w:history="1">
        <w:r w:rsidRPr="00766169">
          <w:rPr>
            <w:rStyle w:val="Hyperlink"/>
            <w:rFonts w:ascii="Cambria" w:hAnsi="Cambria"/>
            <w:color w:val="000000" w:themeColor="text1"/>
            <w:sz w:val="20"/>
            <w:szCs w:val="20"/>
            <w:u w:val="none"/>
          </w:rPr>
          <w:t>https://doi.org/10.1029/2022JB024343</w:t>
        </w:r>
      </w:hyperlink>
    </w:p>
    <w:p w14:paraId="49F7679D"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Bear-Crozier AN, </w:t>
      </w:r>
      <w:proofErr w:type="spellStart"/>
      <w:r w:rsidRPr="00766169">
        <w:rPr>
          <w:rFonts w:ascii="Cambria" w:hAnsi="Cambria"/>
          <w:color w:val="000000" w:themeColor="text1"/>
          <w:sz w:val="20"/>
          <w:szCs w:val="20"/>
        </w:rPr>
        <w:t>Kartadinata</w:t>
      </w:r>
      <w:proofErr w:type="spellEnd"/>
      <w:r w:rsidRPr="00766169">
        <w:rPr>
          <w:rFonts w:ascii="Cambria" w:hAnsi="Cambria"/>
          <w:color w:val="000000" w:themeColor="text1"/>
          <w:sz w:val="20"/>
          <w:szCs w:val="20"/>
        </w:rPr>
        <w:t xml:space="preserve"> N, </w:t>
      </w:r>
      <w:proofErr w:type="spellStart"/>
      <w:r w:rsidRPr="00766169">
        <w:rPr>
          <w:rFonts w:ascii="Cambria" w:hAnsi="Cambria"/>
          <w:color w:val="000000" w:themeColor="text1"/>
          <w:sz w:val="20"/>
          <w:szCs w:val="20"/>
        </w:rPr>
        <w:t>Heriwaseso</w:t>
      </w:r>
      <w:proofErr w:type="spellEnd"/>
      <w:r w:rsidRPr="00766169">
        <w:rPr>
          <w:rFonts w:ascii="Cambria" w:hAnsi="Cambria"/>
          <w:color w:val="000000" w:themeColor="text1"/>
          <w:sz w:val="20"/>
          <w:szCs w:val="20"/>
        </w:rPr>
        <w:t xml:space="preserve"> A, Nielsen O (2012) Development of python-FALL3D: A modified procedure for modelling volcanic ash dispersal in the Asia-Pacific region. Nat Hazards </w:t>
      </w:r>
      <w:r w:rsidRPr="00766169">
        <w:rPr>
          <w:rStyle w:val="s1"/>
          <w:rFonts w:ascii="Cambria" w:eastAsiaTheme="majorEastAsia" w:hAnsi="Cambria"/>
          <w:color w:val="000000" w:themeColor="text1"/>
          <w:sz w:val="20"/>
          <w:szCs w:val="20"/>
        </w:rPr>
        <w:t>64</w:t>
      </w:r>
      <w:r w:rsidRPr="00766169">
        <w:rPr>
          <w:rFonts w:ascii="Cambria" w:hAnsi="Cambria"/>
          <w:color w:val="000000" w:themeColor="text1"/>
          <w:sz w:val="20"/>
          <w:szCs w:val="20"/>
        </w:rPr>
        <w:t xml:space="preserve">(1): 821–838. </w:t>
      </w:r>
      <w:hyperlink r:id="rId6" w:history="1">
        <w:r w:rsidRPr="00766169">
          <w:rPr>
            <w:rStyle w:val="Hyperlink"/>
            <w:rFonts w:ascii="Cambria" w:hAnsi="Cambria"/>
            <w:color w:val="000000" w:themeColor="text1"/>
            <w:sz w:val="20"/>
            <w:szCs w:val="20"/>
            <w:u w:val="none"/>
          </w:rPr>
          <w:t>https://doi.org/10.1007/s11069-012-0273-7</w:t>
        </w:r>
      </w:hyperlink>
    </w:p>
    <w:p w14:paraId="334EC369" w14:textId="77777777" w:rsidR="007E770A" w:rsidRPr="00766169" w:rsidRDefault="007E770A" w:rsidP="007E770A">
      <w:pPr>
        <w:pStyle w:val="p1"/>
        <w:spacing w:line="360" w:lineRule="auto"/>
        <w:jc w:val="both"/>
        <w:rPr>
          <w:rFonts w:ascii="Cambria" w:hAnsi="Cambria"/>
          <w:color w:val="000000" w:themeColor="text1"/>
          <w:sz w:val="20"/>
          <w:szCs w:val="20"/>
        </w:rPr>
      </w:pPr>
      <w:proofErr w:type="spellStart"/>
      <w:r w:rsidRPr="00766169">
        <w:rPr>
          <w:rFonts w:ascii="Cambria" w:hAnsi="Cambria"/>
          <w:color w:val="000000" w:themeColor="text1"/>
          <w:sz w:val="20"/>
          <w:szCs w:val="20"/>
        </w:rPr>
        <w:t>Biass</w:t>
      </w:r>
      <w:proofErr w:type="spellEnd"/>
      <w:r w:rsidRPr="00766169">
        <w:rPr>
          <w:rFonts w:ascii="Cambria" w:hAnsi="Cambria"/>
          <w:color w:val="000000" w:themeColor="text1"/>
          <w:sz w:val="20"/>
          <w:szCs w:val="20"/>
        </w:rPr>
        <w:t xml:space="preserve"> S, Bonadonna C, Connor L, et al. (2016) </w:t>
      </w:r>
      <w:proofErr w:type="spellStart"/>
      <w:r w:rsidRPr="00766169">
        <w:rPr>
          <w:rFonts w:ascii="Cambria" w:hAnsi="Cambria"/>
          <w:color w:val="000000" w:themeColor="text1"/>
          <w:sz w:val="20"/>
          <w:szCs w:val="20"/>
        </w:rPr>
        <w:t>TephraProb</w:t>
      </w:r>
      <w:proofErr w:type="spellEnd"/>
      <w:r w:rsidRPr="00766169">
        <w:rPr>
          <w:rFonts w:ascii="Cambria" w:hAnsi="Cambria"/>
          <w:color w:val="000000" w:themeColor="text1"/>
          <w:sz w:val="20"/>
          <w:szCs w:val="20"/>
        </w:rPr>
        <w:t xml:space="preserve">: a </w:t>
      </w:r>
      <w:proofErr w:type="spellStart"/>
      <w:r w:rsidRPr="00766169">
        <w:rPr>
          <w:rFonts w:ascii="Cambria" w:hAnsi="Cambria"/>
          <w:color w:val="000000" w:themeColor="text1"/>
          <w:sz w:val="20"/>
          <w:szCs w:val="20"/>
        </w:rPr>
        <w:t>Matlab</w:t>
      </w:r>
      <w:proofErr w:type="spellEnd"/>
      <w:r w:rsidRPr="00766169">
        <w:rPr>
          <w:rFonts w:ascii="Cambria" w:hAnsi="Cambria"/>
          <w:color w:val="000000" w:themeColor="text1"/>
          <w:sz w:val="20"/>
          <w:szCs w:val="20"/>
        </w:rPr>
        <w:t xml:space="preserve"> package for probabilistic hazard assessments of tephra fallout. J Appl </w:t>
      </w:r>
      <w:proofErr w:type="spellStart"/>
      <w:r w:rsidRPr="00766169">
        <w:rPr>
          <w:rFonts w:ascii="Cambria" w:hAnsi="Cambria"/>
          <w:color w:val="000000" w:themeColor="text1"/>
          <w:sz w:val="20"/>
          <w:szCs w:val="20"/>
        </w:rPr>
        <w:t>Volcanol</w:t>
      </w:r>
      <w:proofErr w:type="spellEnd"/>
      <w:r w:rsidRPr="00766169">
        <w:rPr>
          <w:rFonts w:ascii="Cambria" w:hAnsi="Cambria"/>
          <w:color w:val="000000" w:themeColor="text1"/>
          <w:sz w:val="20"/>
          <w:szCs w:val="20"/>
        </w:rPr>
        <w:t xml:space="preserve"> </w:t>
      </w:r>
      <w:r w:rsidRPr="00766169">
        <w:rPr>
          <w:rStyle w:val="s1"/>
          <w:rFonts w:ascii="Cambria" w:eastAsiaTheme="majorEastAsia" w:hAnsi="Cambria"/>
          <w:color w:val="000000" w:themeColor="text1"/>
          <w:sz w:val="20"/>
          <w:szCs w:val="20"/>
        </w:rPr>
        <w:t>5</w:t>
      </w:r>
      <w:r w:rsidRPr="00766169">
        <w:rPr>
          <w:rFonts w:ascii="Cambria" w:hAnsi="Cambria"/>
          <w:color w:val="000000" w:themeColor="text1"/>
          <w:sz w:val="20"/>
          <w:szCs w:val="20"/>
        </w:rPr>
        <w:t xml:space="preserve">:1–16. </w:t>
      </w:r>
      <w:hyperlink r:id="rId7" w:history="1">
        <w:r w:rsidRPr="00766169">
          <w:rPr>
            <w:rStyle w:val="Hyperlink"/>
            <w:rFonts w:ascii="Cambria" w:hAnsi="Cambria"/>
            <w:color w:val="000000" w:themeColor="text1"/>
            <w:sz w:val="20"/>
            <w:szCs w:val="20"/>
            <w:u w:val="none"/>
          </w:rPr>
          <w:t>https://doi.org/10.1186/s13617-016-0050-5</w:t>
        </w:r>
      </w:hyperlink>
    </w:p>
    <w:p w14:paraId="6FAB50A8" w14:textId="77777777" w:rsidR="007E770A" w:rsidRPr="00766169" w:rsidRDefault="007E770A" w:rsidP="007E770A">
      <w:pPr>
        <w:pStyle w:val="p1"/>
        <w:spacing w:line="360" w:lineRule="auto"/>
        <w:jc w:val="both"/>
        <w:rPr>
          <w:rFonts w:ascii="Cambria" w:hAnsi="Cambria"/>
          <w:color w:val="000000" w:themeColor="text1"/>
          <w:sz w:val="20"/>
          <w:szCs w:val="20"/>
        </w:rPr>
      </w:pPr>
      <w:proofErr w:type="spellStart"/>
      <w:r w:rsidRPr="00766169">
        <w:rPr>
          <w:rFonts w:ascii="Cambria" w:hAnsi="Cambria"/>
          <w:color w:val="000000" w:themeColor="text1"/>
          <w:sz w:val="20"/>
          <w:szCs w:val="20"/>
        </w:rPr>
        <w:t>Biass</w:t>
      </w:r>
      <w:proofErr w:type="spellEnd"/>
      <w:r w:rsidRPr="00766169">
        <w:rPr>
          <w:rFonts w:ascii="Cambria" w:hAnsi="Cambria"/>
          <w:color w:val="000000" w:themeColor="text1"/>
          <w:sz w:val="20"/>
          <w:szCs w:val="20"/>
        </w:rPr>
        <w:t xml:space="preserve"> S, Bonadonna C (2011) A quantitative uncertainty assessment of eruptive parameters derived from tephra deposits: the example of two large eruptions of Cotopaxi volcano, Ecuador. Bull </w:t>
      </w:r>
      <w:proofErr w:type="spellStart"/>
      <w:r w:rsidRPr="00766169">
        <w:rPr>
          <w:rFonts w:ascii="Cambria" w:hAnsi="Cambria"/>
          <w:color w:val="000000" w:themeColor="text1"/>
          <w:sz w:val="20"/>
          <w:szCs w:val="20"/>
        </w:rPr>
        <w:t>Volcanol</w:t>
      </w:r>
      <w:proofErr w:type="spellEnd"/>
      <w:r w:rsidRPr="00766169">
        <w:rPr>
          <w:rFonts w:ascii="Cambria" w:hAnsi="Cambria"/>
          <w:color w:val="000000" w:themeColor="text1"/>
          <w:sz w:val="20"/>
          <w:szCs w:val="20"/>
        </w:rPr>
        <w:t xml:space="preserve"> 73(1): 73–90. https://doi.org/10.1007/s00445-010-0404-5</w:t>
      </w:r>
    </w:p>
    <w:p w14:paraId="1A42421B"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Bonadonna C, Macedonio G, Sparks RSJ (2002) Numerical modelling of tephra fallout associated with dome collapses and Vulcanian explosions: application to hazard assessment </w:t>
      </w:r>
      <w:proofErr w:type="gramStart"/>
      <w:r w:rsidRPr="00766169">
        <w:rPr>
          <w:rFonts w:ascii="Cambria" w:hAnsi="Cambria"/>
          <w:color w:val="000000" w:themeColor="text1"/>
          <w:sz w:val="20"/>
          <w:szCs w:val="20"/>
        </w:rPr>
        <w:t>on</w:t>
      </w:r>
      <w:proofErr w:type="gramEnd"/>
      <w:r w:rsidRPr="00766169">
        <w:rPr>
          <w:rFonts w:ascii="Cambria" w:hAnsi="Cambria"/>
          <w:color w:val="000000" w:themeColor="text1"/>
          <w:sz w:val="20"/>
          <w:szCs w:val="20"/>
        </w:rPr>
        <w:t xml:space="preserve"> Montserrat. In: Druitt TH, </w:t>
      </w:r>
      <w:proofErr w:type="spellStart"/>
      <w:r w:rsidRPr="00766169">
        <w:rPr>
          <w:rFonts w:ascii="Cambria" w:hAnsi="Cambria"/>
          <w:color w:val="000000" w:themeColor="text1"/>
          <w:sz w:val="20"/>
          <w:szCs w:val="20"/>
        </w:rPr>
        <w:t>Kokelaar</w:t>
      </w:r>
      <w:proofErr w:type="spellEnd"/>
      <w:r w:rsidRPr="00766169">
        <w:rPr>
          <w:rFonts w:ascii="Cambria" w:hAnsi="Cambria"/>
          <w:color w:val="000000" w:themeColor="text1"/>
          <w:sz w:val="20"/>
          <w:szCs w:val="20"/>
        </w:rPr>
        <w:t xml:space="preserve"> BP (eds) The eruption of </w:t>
      </w:r>
      <w:proofErr w:type="spellStart"/>
      <w:r w:rsidRPr="00766169">
        <w:rPr>
          <w:rFonts w:ascii="Cambria" w:hAnsi="Cambria"/>
          <w:color w:val="000000" w:themeColor="text1"/>
          <w:sz w:val="20"/>
          <w:szCs w:val="20"/>
        </w:rPr>
        <w:t>Soufrière</w:t>
      </w:r>
      <w:proofErr w:type="spellEnd"/>
      <w:r w:rsidRPr="00766169">
        <w:rPr>
          <w:rFonts w:ascii="Cambria" w:hAnsi="Cambria"/>
          <w:color w:val="000000" w:themeColor="text1"/>
          <w:sz w:val="20"/>
          <w:szCs w:val="20"/>
        </w:rPr>
        <w:t xml:space="preserve"> Hills Volcano, Montserrat, from 1995 to 1999. Geol Soc Lond Mem 21: 517–537. https://doi.org/10.1144/GSL.MEM.2002.021.01.23</w:t>
      </w:r>
    </w:p>
    <w:p w14:paraId="7AEED00F"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Brazier S, Davis AN, Sigurdsson H, Sparks RSJ (1982) Fall-out and deposition of volcanic ash during the 1979 explosive eruption of the </w:t>
      </w:r>
      <w:proofErr w:type="spellStart"/>
      <w:r w:rsidRPr="00766169">
        <w:rPr>
          <w:rFonts w:ascii="Cambria" w:hAnsi="Cambria"/>
          <w:color w:val="000000" w:themeColor="text1"/>
          <w:sz w:val="20"/>
          <w:szCs w:val="20"/>
        </w:rPr>
        <w:t>Soufrière</w:t>
      </w:r>
      <w:proofErr w:type="spellEnd"/>
      <w:r w:rsidRPr="00766169">
        <w:rPr>
          <w:rFonts w:ascii="Cambria" w:hAnsi="Cambria"/>
          <w:color w:val="000000" w:themeColor="text1"/>
          <w:sz w:val="20"/>
          <w:szCs w:val="20"/>
        </w:rPr>
        <w:t xml:space="preserve"> of St. Vincent. J </w:t>
      </w:r>
      <w:proofErr w:type="spellStart"/>
      <w:r w:rsidRPr="00766169">
        <w:rPr>
          <w:rFonts w:ascii="Cambria" w:hAnsi="Cambria"/>
          <w:color w:val="000000" w:themeColor="text1"/>
          <w:sz w:val="20"/>
          <w:szCs w:val="20"/>
        </w:rPr>
        <w:t>Volcanol</w:t>
      </w:r>
      <w:proofErr w:type="spellEnd"/>
      <w:r w:rsidRPr="00766169">
        <w:rPr>
          <w:rFonts w:ascii="Cambria" w:hAnsi="Cambria"/>
          <w:color w:val="000000" w:themeColor="text1"/>
          <w:sz w:val="20"/>
          <w:szCs w:val="20"/>
        </w:rPr>
        <w:t xml:space="preserve"> Geotherm Res 14(3-4): 335–359. https://doi.org/10.1016/0377-0273(82)90069-5</w:t>
      </w:r>
    </w:p>
    <w:p w14:paraId="3823AAF4"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Mastin LG, Guffanti M, Ewert JW, Spiegel J (2009) Preliminary Spreadsheet of Eruption Source Parameters for Volcanoes of the World. At: </w:t>
      </w:r>
      <w:hyperlink r:id="rId8" w:history="1">
        <w:r w:rsidRPr="00766169">
          <w:rPr>
            <w:rStyle w:val="Hyperlink"/>
            <w:rFonts w:ascii="Cambria" w:hAnsi="Cambria"/>
            <w:color w:val="000000" w:themeColor="text1"/>
            <w:sz w:val="20"/>
            <w:szCs w:val="20"/>
            <w:u w:val="none"/>
          </w:rPr>
          <w:t>http://pubs.usgs.gov/of/2009/1133/</w:t>
        </w:r>
      </w:hyperlink>
      <w:r w:rsidRPr="00766169">
        <w:rPr>
          <w:rFonts w:ascii="Cambria" w:hAnsi="Cambria"/>
          <w:color w:val="000000" w:themeColor="text1"/>
          <w:sz w:val="20"/>
          <w:szCs w:val="20"/>
        </w:rPr>
        <w:t>. Last Accessed: 15 July 2024</w:t>
      </w:r>
    </w:p>
    <w:p w14:paraId="4B621FAB" w14:textId="77777777" w:rsidR="007E770A" w:rsidRPr="00766169" w:rsidRDefault="007E770A"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 xml:space="preserve">Newhall CG, Self S (1982) The Volcanic Explosivity Index (VEI): An estimate of explosive magnitude for historical volcanism. J Geophys Res 87(C2): 1231–1238. </w:t>
      </w:r>
      <w:hyperlink r:id="rId9" w:history="1">
        <w:r w:rsidRPr="00766169">
          <w:rPr>
            <w:rStyle w:val="Hyperlink"/>
            <w:rFonts w:ascii="Cambria" w:hAnsi="Cambria"/>
            <w:color w:val="000000" w:themeColor="text1"/>
            <w:sz w:val="20"/>
            <w:szCs w:val="20"/>
            <w:u w:val="none"/>
          </w:rPr>
          <w:t>https://doi.org/10.1029/JC087iC02p01231</w:t>
        </w:r>
      </w:hyperlink>
    </w:p>
    <w:p w14:paraId="3B3F9F54" w14:textId="77777777" w:rsidR="007E770A" w:rsidRPr="00766169" w:rsidRDefault="007E770A" w:rsidP="007E770A">
      <w:pPr>
        <w:pStyle w:val="p1"/>
        <w:spacing w:line="360" w:lineRule="auto"/>
        <w:jc w:val="both"/>
      </w:pPr>
      <w:r w:rsidRPr="00766169">
        <w:rPr>
          <w:rFonts w:ascii="Cambria" w:hAnsi="Cambria"/>
          <w:color w:val="000000" w:themeColor="text1"/>
          <w:sz w:val="20"/>
          <w:szCs w:val="20"/>
        </w:rPr>
        <w:t xml:space="preserve">Pioli L, Bonadonna C, </w:t>
      </w:r>
      <w:proofErr w:type="spellStart"/>
      <w:r w:rsidRPr="00766169">
        <w:rPr>
          <w:rFonts w:ascii="Cambria" w:hAnsi="Cambria"/>
          <w:color w:val="000000" w:themeColor="text1"/>
          <w:sz w:val="20"/>
          <w:szCs w:val="20"/>
        </w:rPr>
        <w:t>Pistolesi</w:t>
      </w:r>
      <w:proofErr w:type="spellEnd"/>
      <w:r w:rsidRPr="00766169">
        <w:rPr>
          <w:rFonts w:ascii="Cambria" w:hAnsi="Cambria"/>
          <w:color w:val="000000" w:themeColor="text1"/>
          <w:sz w:val="20"/>
          <w:szCs w:val="20"/>
        </w:rPr>
        <w:t xml:space="preserve"> M (2019) Reliability of total grain-size distribution of tephra deposits. Sci Rep 9:10006, 1-15. </w:t>
      </w:r>
      <w:hyperlink r:id="rId10" w:history="1">
        <w:r w:rsidRPr="00766169">
          <w:rPr>
            <w:rStyle w:val="Hyperlink"/>
            <w:rFonts w:ascii="Cambria" w:hAnsi="Cambria"/>
            <w:color w:val="000000" w:themeColor="text1"/>
            <w:sz w:val="20"/>
            <w:szCs w:val="20"/>
            <w:u w:val="none"/>
          </w:rPr>
          <w:t>https://doi.org/10.1038/s41598-019-46125-8</w:t>
        </w:r>
      </w:hyperlink>
    </w:p>
    <w:p w14:paraId="509B1EE3" w14:textId="4F6942FD" w:rsidR="003D3FC3" w:rsidRPr="00766169" w:rsidRDefault="003D3FC3" w:rsidP="007E770A">
      <w:pPr>
        <w:pStyle w:val="p1"/>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lastRenderedPageBreak/>
        <w:t xml:space="preserve">Sandri L, </w:t>
      </w:r>
      <w:proofErr w:type="spellStart"/>
      <w:r w:rsidRPr="00766169">
        <w:rPr>
          <w:rFonts w:ascii="Cambria" w:hAnsi="Cambria"/>
          <w:color w:val="000000" w:themeColor="text1"/>
          <w:sz w:val="20"/>
          <w:szCs w:val="20"/>
        </w:rPr>
        <w:t>Thouret</w:t>
      </w:r>
      <w:proofErr w:type="spellEnd"/>
      <w:r w:rsidRPr="00766169">
        <w:rPr>
          <w:rFonts w:ascii="Cambria" w:hAnsi="Cambria"/>
          <w:color w:val="000000" w:themeColor="text1"/>
          <w:sz w:val="20"/>
          <w:szCs w:val="20"/>
        </w:rPr>
        <w:t xml:space="preserve"> J-C, Constantinescu R, </w:t>
      </w:r>
      <w:proofErr w:type="spellStart"/>
      <w:r w:rsidRPr="00766169">
        <w:rPr>
          <w:rFonts w:ascii="Cambria" w:hAnsi="Cambria"/>
          <w:color w:val="000000" w:themeColor="text1"/>
          <w:sz w:val="20"/>
          <w:szCs w:val="20"/>
        </w:rPr>
        <w:t>Biass</w:t>
      </w:r>
      <w:proofErr w:type="spellEnd"/>
      <w:r w:rsidRPr="00766169">
        <w:rPr>
          <w:rFonts w:ascii="Cambria" w:hAnsi="Cambria"/>
          <w:color w:val="000000" w:themeColor="text1"/>
          <w:sz w:val="20"/>
          <w:szCs w:val="20"/>
        </w:rPr>
        <w:t xml:space="preserve"> S, Tonini R (2014) Long-term multi-hazard assessment for El Misti volcano (Peru). Bull </w:t>
      </w:r>
      <w:proofErr w:type="spellStart"/>
      <w:r w:rsidRPr="00766169">
        <w:rPr>
          <w:rFonts w:ascii="Cambria" w:hAnsi="Cambria"/>
          <w:color w:val="000000" w:themeColor="text1"/>
          <w:sz w:val="20"/>
          <w:szCs w:val="20"/>
        </w:rPr>
        <w:t>Volcanol</w:t>
      </w:r>
      <w:proofErr w:type="spellEnd"/>
      <w:r w:rsidRPr="00766169">
        <w:rPr>
          <w:rFonts w:ascii="Cambria" w:hAnsi="Cambria"/>
          <w:color w:val="000000" w:themeColor="text1"/>
          <w:sz w:val="20"/>
          <w:szCs w:val="20"/>
        </w:rPr>
        <w:t xml:space="preserve"> 76. https://doi.org/10.1007/s00445-013-0771-9</w:t>
      </w:r>
    </w:p>
    <w:p w14:paraId="12D04018" w14:textId="1A2FE56B" w:rsidR="007E770A" w:rsidRPr="00766169" w:rsidRDefault="007E770A" w:rsidP="007E770A">
      <w:pPr>
        <w:pStyle w:val="NormalWeb"/>
        <w:spacing w:line="360" w:lineRule="auto"/>
        <w:jc w:val="both"/>
        <w:rPr>
          <w:rFonts w:ascii="Cambria" w:hAnsi="Cambria"/>
          <w:color w:val="000000" w:themeColor="text1"/>
          <w:sz w:val="20"/>
          <w:szCs w:val="20"/>
        </w:rPr>
      </w:pPr>
      <w:r w:rsidRPr="00766169">
        <w:rPr>
          <w:rFonts w:ascii="Cambria" w:hAnsi="Cambria"/>
          <w:color w:val="000000" w:themeColor="text1"/>
          <w:sz w:val="20"/>
          <w:szCs w:val="20"/>
        </w:rPr>
        <w:t>Sparks, RSJ, Bursik MI, Carey SN, Gilbert JS, Glaze LS, Sigurdsson H, Woods AW</w:t>
      </w:r>
      <w:r w:rsidR="00D25DA2">
        <w:rPr>
          <w:rFonts w:ascii="Cambria" w:hAnsi="Cambria"/>
          <w:color w:val="000000" w:themeColor="text1"/>
          <w:sz w:val="20"/>
          <w:szCs w:val="20"/>
        </w:rPr>
        <w:t xml:space="preserve"> (</w:t>
      </w:r>
      <w:r w:rsidRPr="00766169">
        <w:rPr>
          <w:rFonts w:ascii="Cambria" w:hAnsi="Cambria"/>
          <w:color w:val="000000" w:themeColor="text1"/>
          <w:sz w:val="20"/>
          <w:szCs w:val="20"/>
        </w:rPr>
        <w:t>1997</w:t>
      </w:r>
      <w:r w:rsidR="00D25DA2">
        <w:rPr>
          <w:rFonts w:ascii="Cambria" w:hAnsi="Cambria"/>
          <w:color w:val="000000" w:themeColor="text1"/>
          <w:sz w:val="20"/>
          <w:szCs w:val="20"/>
        </w:rPr>
        <w:t xml:space="preserve">) </w:t>
      </w:r>
      <w:r w:rsidRPr="00766169">
        <w:rPr>
          <w:rFonts w:ascii="Cambria" w:hAnsi="Cambria"/>
          <w:color w:val="000000" w:themeColor="text1"/>
          <w:sz w:val="20"/>
          <w:szCs w:val="20"/>
        </w:rPr>
        <w:t xml:space="preserve">Volcanic Plumes. John Wiley &amp; Sons, Chichester p 574. </w:t>
      </w:r>
    </w:p>
    <w:p w14:paraId="5A37A5BE" w14:textId="1841E790" w:rsidR="007E770A" w:rsidRPr="00766169" w:rsidRDefault="007E770A" w:rsidP="007E770A">
      <w:pPr>
        <w:pStyle w:val="NormalWeb"/>
        <w:spacing w:line="360" w:lineRule="auto"/>
        <w:jc w:val="both"/>
        <w:rPr>
          <w:rFonts w:ascii="Cambria" w:hAnsi="Cambria"/>
          <w:color w:val="000000" w:themeColor="text1"/>
          <w:sz w:val="20"/>
          <w:szCs w:val="20"/>
        </w:rPr>
      </w:pPr>
      <w:proofErr w:type="spellStart"/>
      <w:r w:rsidRPr="00766169">
        <w:rPr>
          <w:rFonts w:ascii="Cambria" w:hAnsi="Cambria"/>
          <w:color w:val="000000" w:themeColor="text1"/>
          <w:sz w:val="20"/>
          <w:szCs w:val="20"/>
        </w:rPr>
        <w:t>Volentik</w:t>
      </w:r>
      <w:proofErr w:type="spellEnd"/>
      <w:r w:rsidRPr="00766169">
        <w:rPr>
          <w:rFonts w:ascii="Cambria" w:hAnsi="Cambria"/>
          <w:color w:val="000000" w:themeColor="text1"/>
          <w:sz w:val="20"/>
          <w:szCs w:val="20"/>
        </w:rPr>
        <w:t xml:space="preserve"> </w:t>
      </w:r>
      <w:r w:rsidR="00D25DA2">
        <w:rPr>
          <w:rFonts w:ascii="Cambria" w:hAnsi="Cambria"/>
          <w:color w:val="000000" w:themeColor="text1"/>
          <w:sz w:val="20"/>
          <w:szCs w:val="20"/>
        </w:rPr>
        <w:t>A (2009)</w:t>
      </w:r>
      <w:r w:rsidR="00F34860">
        <w:rPr>
          <w:rFonts w:ascii="Cambria" w:hAnsi="Cambria"/>
          <w:color w:val="000000" w:themeColor="text1"/>
          <w:sz w:val="20"/>
          <w:szCs w:val="20"/>
        </w:rPr>
        <w:t xml:space="preserve"> </w:t>
      </w:r>
      <w:r w:rsidRPr="00766169">
        <w:rPr>
          <w:rFonts w:ascii="Cambria" w:hAnsi="Cambria"/>
          <w:color w:val="000000" w:themeColor="text1"/>
          <w:sz w:val="20"/>
          <w:szCs w:val="20"/>
        </w:rPr>
        <w:t>Tephra transport, sedimentation and hazards, University of South Florida</w:t>
      </w:r>
      <w:r w:rsidR="00D25DA2">
        <w:rPr>
          <w:rFonts w:ascii="Cambria" w:hAnsi="Cambria"/>
          <w:color w:val="000000" w:themeColor="text1"/>
          <w:sz w:val="20"/>
          <w:szCs w:val="20"/>
        </w:rPr>
        <w:t>, PhD</w:t>
      </w:r>
      <w:r w:rsidRPr="00766169">
        <w:rPr>
          <w:rFonts w:ascii="Cambria" w:hAnsi="Cambria"/>
          <w:color w:val="000000" w:themeColor="text1"/>
          <w:sz w:val="20"/>
          <w:szCs w:val="20"/>
        </w:rPr>
        <w:t xml:space="preserve"> Thesis</w:t>
      </w:r>
    </w:p>
    <w:p w14:paraId="7AA42A73" w14:textId="77777777" w:rsidR="00F65D2A" w:rsidRPr="00766169" w:rsidRDefault="00F65D2A" w:rsidP="00F65D2A">
      <w:pPr>
        <w:suppressLineNumbers/>
        <w:spacing w:line="360" w:lineRule="auto"/>
        <w:rPr>
          <w:rFonts w:ascii="Cambria" w:hAnsi="Cambria"/>
        </w:rPr>
      </w:pPr>
    </w:p>
    <w:p w14:paraId="41CD01DF" w14:textId="77777777" w:rsidR="00F65D2A" w:rsidRPr="00E02841" w:rsidRDefault="00F65D2A" w:rsidP="00F65D2A">
      <w:pPr>
        <w:spacing w:line="360" w:lineRule="auto"/>
        <w:jc w:val="both"/>
      </w:pPr>
    </w:p>
    <w:p w14:paraId="5FF6C47E" w14:textId="77777777" w:rsidR="003E68C8" w:rsidRDefault="003E68C8"/>
    <w:sectPr w:rsidR="003E68C8" w:rsidSect="005D2DE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DaunPenh">
    <w:panose1 w:val="01010101010101010101"/>
    <w:charset w:val="00"/>
    <w:family w:val="auto"/>
    <w:pitch w:val="variable"/>
    <w:sig w:usb0="80000003" w:usb1="00000000" w:usb2="00010000" w:usb3="00000000" w:csb0="00000001"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mirrorMargin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2A"/>
    <w:rsid w:val="00011EDD"/>
    <w:rsid w:val="0010418D"/>
    <w:rsid w:val="00121D9A"/>
    <w:rsid w:val="001A092A"/>
    <w:rsid w:val="003D3FC3"/>
    <w:rsid w:val="003E68C8"/>
    <w:rsid w:val="003F4326"/>
    <w:rsid w:val="0040416A"/>
    <w:rsid w:val="00442AAB"/>
    <w:rsid w:val="005D2DE9"/>
    <w:rsid w:val="005D424D"/>
    <w:rsid w:val="00627A13"/>
    <w:rsid w:val="00766169"/>
    <w:rsid w:val="00790CC5"/>
    <w:rsid w:val="007B36A4"/>
    <w:rsid w:val="007E770A"/>
    <w:rsid w:val="008A48E0"/>
    <w:rsid w:val="009753E9"/>
    <w:rsid w:val="00A26371"/>
    <w:rsid w:val="00A31879"/>
    <w:rsid w:val="00AF2E7B"/>
    <w:rsid w:val="00AF5BE0"/>
    <w:rsid w:val="00BF3C31"/>
    <w:rsid w:val="00C263EC"/>
    <w:rsid w:val="00D25DA2"/>
    <w:rsid w:val="00DC4805"/>
    <w:rsid w:val="00DF12CA"/>
    <w:rsid w:val="00E33FA1"/>
    <w:rsid w:val="00F34860"/>
    <w:rsid w:val="00F65D2A"/>
    <w:rsid w:val="00FE5615"/>
    <w:rsid w:val="00FE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1C9F8C"/>
  <w15:chartTrackingRefBased/>
  <w15:docId w15:val="{0E8B003F-5D32-C348-9F1C-151DC3C1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D2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65D2A"/>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F65D2A"/>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F65D2A"/>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F65D2A"/>
    <w:pPr>
      <w:keepNext/>
      <w:keepLines/>
      <w:spacing w:before="80" w:after="40"/>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F65D2A"/>
    <w:pPr>
      <w:keepNext/>
      <w:keepLines/>
      <w:spacing w:before="80" w:after="40"/>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F65D2A"/>
    <w:pPr>
      <w:keepNext/>
      <w:keepLines/>
      <w:spacing w:before="4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F65D2A"/>
    <w:pPr>
      <w:keepNext/>
      <w:keepLines/>
      <w:spacing w:before="4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F65D2A"/>
    <w:pPr>
      <w:keepNext/>
      <w:keepLines/>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F65D2A"/>
    <w:pPr>
      <w:keepNext/>
      <w:keepLines/>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1A092A"/>
    <w:pPr>
      <w:spacing w:before="120" w:after="320"/>
    </w:pPr>
    <w:rPr>
      <w:rFonts w:ascii="Cambria" w:hAnsi="Cambria"/>
      <w:i/>
      <w:iCs/>
      <w:kern w:val="2"/>
      <w:szCs w:val="18"/>
      <w:lang w:val="en-GB" w:eastAsia="en-GB"/>
      <w14:ligatures w14:val="standardContextual"/>
    </w:rPr>
  </w:style>
  <w:style w:type="paragraph" w:styleId="TableofFigures">
    <w:name w:val="table of figures"/>
    <w:basedOn w:val="Normal"/>
    <w:next w:val="Normal"/>
    <w:uiPriority w:val="99"/>
    <w:unhideWhenUsed/>
    <w:rsid w:val="007B36A4"/>
    <w:pPr>
      <w:ind w:left="440" w:hanging="440"/>
      <w:jc w:val="both"/>
    </w:pPr>
    <w:rPr>
      <w:rFonts w:ascii="DaunPenh" w:eastAsiaTheme="minorEastAsia" w:hAnsi="DaunPenh" w:cstheme="minorHAnsi"/>
      <w:bCs/>
      <w:sz w:val="36"/>
      <w:szCs w:val="20"/>
      <w:lang w:val="en-SG" w:eastAsia="zh-CN"/>
    </w:rPr>
  </w:style>
  <w:style w:type="character" w:customStyle="1" w:styleId="Heading1Char">
    <w:name w:val="Heading 1 Char"/>
    <w:basedOn w:val="DefaultParagraphFont"/>
    <w:link w:val="Heading1"/>
    <w:uiPriority w:val="9"/>
    <w:rsid w:val="00F65D2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65D2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65D2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65D2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65D2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65D2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65D2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65D2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65D2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65D2A"/>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F65D2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65D2A"/>
    <w:pPr>
      <w:numPr>
        <w:ilvl w:val="1"/>
      </w:numPr>
      <w:spacing w:after="16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F65D2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65D2A"/>
    <w:pPr>
      <w:spacing w:before="160" w:after="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F65D2A"/>
    <w:rPr>
      <w:i/>
      <w:iCs/>
      <w:color w:val="404040" w:themeColor="text1" w:themeTint="BF"/>
      <w:lang w:val="en-GB"/>
    </w:rPr>
  </w:style>
  <w:style w:type="paragraph" w:styleId="ListParagraph">
    <w:name w:val="List Paragraph"/>
    <w:basedOn w:val="Normal"/>
    <w:uiPriority w:val="34"/>
    <w:qFormat/>
    <w:rsid w:val="00F65D2A"/>
    <w:pPr>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F65D2A"/>
    <w:rPr>
      <w:i/>
      <w:iCs/>
      <w:color w:val="0F4761" w:themeColor="accent1" w:themeShade="BF"/>
    </w:rPr>
  </w:style>
  <w:style w:type="paragraph" w:styleId="IntenseQuote">
    <w:name w:val="Intense Quote"/>
    <w:basedOn w:val="Normal"/>
    <w:next w:val="Normal"/>
    <w:link w:val="IntenseQuoteChar"/>
    <w:uiPriority w:val="30"/>
    <w:qFormat/>
    <w:rsid w:val="00F65D2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F65D2A"/>
    <w:rPr>
      <w:i/>
      <w:iCs/>
      <w:color w:val="0F4761" w:themeColor="accent1" w:themeShade="BF"/>
      <w:lang w:val="en-GB"/>
    </w:rPr>
  </w:style>
  <w:style w:type="character" w:styleId="IntenseReference">
    <w:name w:val="Intense Reference"/>
    <w:basedOn w:val="DefaultParagraphFont"/>
    <w:uiPriority w:val="32"/>
    <w:qFormat/>
    <w:rsid w:val="00F65D2A"/>
    <w:rPr>
      <w:b/>
      <w:bCs/>
      <w:smallCaps/>
      <w:color w:val="0F4761" w:themeColor="accent1" w:themeShade="BF"/>
      <w:spacing w:val="5"/>
    </w:rPr>
  </w:style>
  <w:style w:type="table" w:styleId="TableGrid">
    <w:name w:val="Table Grid"/>
    <w:basedOn w:val="TableNormal"/>
    <w:uiPriority w:val="39"/>
    <w:rsid w:val="00F65D2A"/>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879"/>
    <w:rPr>
      <w:color w:val="467886" w:themeColor="hyperlink"/>
      <w:u w:val="single"/>
    </w:rPr>
  </w:style>
  <w:style w:type="paragraph" w:customStyle="1" w:styleId="p1">
    <w:name w:val="p1"/>
    <w:basedOn w:val="Normal"/>
    <w:rsid w:val="007E770A"/>
    <w:pPr>
      <w:spacing w:before="100" w:beforeAutospacing="1" w:after="100" w:afterAutospacing="1"/>
    </w:pPr>
  </w:style>
  <w:style w:type="character" w:customStyle="1" w:styleId="s1">
    <w:name w:val="s1"/>
    <w:basedOn w:val="DefaultParagraphFont"/>
    <w:rsid w:val="007E770A"/>
  </w:style>
  <w:style w:type="paragraph" w:styleId="NormalWeb">
    <w:name w:val="Normal (Web)"/>
    <w:basedOn w:val="Normal"/>
    <w:uiPriority w:val="99"/>
    <w:semiHidden/>
    <w:unhideWhenUsed/>
    <w:rsid w:val="007E77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s.usgs.gov/of/2009/1133/" TargetMode="External"/><Relationship Id="rId3" Type="http://schemas.openxmlformats.org/officeDocument/2006/relationships/webSettings" Target="webSettings.xml"/><Relationship Id="rId7" Type="http://schemas.openxmlformats.org/officeDocument/2006/relationships/hyperlink" Target="https://doi.org/10.1186/s13617-016-0050-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1069-012-0273-7" TargetMode="External"/><Relationship Id="rId11" Type="http://schemas.openxmlformats.org/officeDocument/2006/relationships/fontTable" Target="fontTable.xml"/><Relationship Id="rId5" Type="http://schemas.openxmlformats.org/officeDocument/2006/relationships/hyperlink" Target="https://doi.org/10.1029/2022JB024343" TargetMode="External"/><Relationship Id="rId10" Type="http://schemas.openxmlformats.org/officeDocument/2006/relationships/hyperlink" Target="https://doi.org/10.1038/s41598-019-46125-8" TargetMode="External"/><Relationship Id="rId4" Type="http://schemas.openxmlformats.org/officeDocument/2006/relationships/hyperlink" Target="mailto:eleanorm001@e.ntu.edu.sg" TargetMode="External"/><Relationship Id="rId9" Type="http://schemas.openxmlformats.org/officeDocument/2006/relationships/hyperlink" Target="https://doi.org/10.1029/JC087iC02p01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1392</Words>
  <Characters>7939</Characters>
  <Application>Microsoft Office Word</Application>
  <DocSecurity>0</DocSecurity>
  <Lines>66</Lines>
  <Paragraphs>18</Paragraphs>
  <ScaleCrop>false</ScaleCrop>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#TENNANT ELEANOR MARY#</dc:creator>
  <cp:keywords/>
  <dc:description/>
  <cp:lastModifiedBy>#TENNANT ELEANOR MARY#</cp:lastModifiedBy>
  <cp:revision>18</cp:revision>
  <dcterms:created xsi:type="dcterms:W3CDTF">2025-09-10T08:42:00Z</dcterms:created>
  <dcterms:modified xsi:type="dcterms:W3CDTF">2025-10-18T08:55:00Z</dcterms:modified>
</cp:coreProperties>
</file>