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CABCE" w14:textId="77777777" w:rsidR="0018380A" w:rsidRPr="00B74294" w:rsidRDefault="0018380A" w:rsidP="0018380A">
      <w:pPr>
        <w:spacing w:line="360" w:lineRule="auto"/>
        <w:jc w:val="center"/>
        <w:rPr>
          <w:rFonts w:ascii="Cambria" w:hAnsi="Cambria"/>
        </w:rPr>
      </w:pPr>
      <w:r w:rsidRPr="00B74294">
        <w:rPr>
          <w:rFonts w:ascii="Cambria" w:hAnsi="Cambria"/>
        </w:rPr>
        <w:t>Bulletin of Volcanology</w:t>
      </w:r>
    </w:p>
    <w:p w14:paraId="3447A9D2" w14:textId="77777777" w:rsidR="0018380A" w:rsidRPr="00B74294" w:rsidRDefault="0018380A" w:rsidP="0018380A">
      <w:pPr>
        <w:spacing w:line="360" w:lineRule="auto"/>
        <w:jc w:val="center"/>
        <w:rPr>
          <w:rFonts w:ascii="Cambria" w:hAnsi="Cambria"/>
        </w:rPr>
      </w:pPr>
      <w:r w:rsidRPr="00B74294">
        <w:rPr>
          <w:rFonts w:ascii="Cambria" w:hAnsi="Cambria"/>
        </w:rPr>
        <w:t>Supplementary material</w:t>
      </w:r>
    </w:p>
    <w:p w14:paraId="3C4AA8AB" w14:textId="77777777" w:rsidR="0018380A" w:rsidRDefault="0018380A" w:rsidP="0018380A">
      <w:pPr>
        <w:spacing w:line="360" w:lineRule="auto"/>
        <w:jc w:val="both"/>
        <w:rPr>
          <w:rFonts w:ascii="Cambria" w:hAnsi="Cambria"/>
          <w:b/>
          <w:bCs/>
        </w:rPr>
      </w:pPr>
    </w:p>
    <w:p w14:paraId="1735779F" w14:textId="77777777" w:rsidR="0018380A" w:rsidRPr="008C314B" w:rsidRDefault="0018380A" w:rsidP="0018380A">
      <w:pPr>
        <w:spacing w:line="360" w:lineRule="auto"/>
        <w:jc w:val="both"/>
        <w:rPr>
          <w:rFonts w:ascii="Cambria" w:hAnsi="Cambria"/>
          <w:b/>
          <w:bCs/>
        </w:rPr>
      </w:pPr>
      <w:r w:rsidRPr="008C314B">
        <w:rPr>
          <w:rFonts w:ascii="Cambria" w:hAnsi="Cambria"/>
          <w:b/>
          <w:bCs/>
        </w:rPr>
        <w:t>Probabilistic volcanic hazard assessment</w:t>
      </w:r>
      <w:r w:rsidRPr="008C314B" w:rsidDel="003756D9">
        <w:rPr>
          <w:rFonts w:ascii="Cambria" w:hAnsi="Cambria"/>
          <w:b/>
          <w:bCs/>
        </w:rPr>
        <w:t xml:space="preserve"> </w:t>
      </w:r>
      <w:r w:rsidRPr="008C314B">
        <w:rPr>
          <w:rFonts w:ascii="Cambria" w:hAnsi="Cambria"/>
          <w:b/>
          <w:bCs/>
        </w:rPr>
        <w:t>during quiescence: A scenario-based approach for Gede, West Java (Indonesia)</w:t>
      </w:r>
    </w:p>
    <w:p w14:paraId="793ADDE2" w14:textId="77777777" w:rsidR="0018380A" w:rsidRPr="008C314B" w:rsidRDefault="0018380A" w:rsidP="0018380A">
      <w:pPr>
        <w:spacing w:line="360" w:lineRule="auto"/>
        <w:rPr>
          <w:rFonts w:ascii="Cambria" w:hAnsi="Cambria"/>
          <w:i/>
          <w:iCs/>
        </w:rPr>
      </w:pPr>
    </w:p>
    <w:p w14:paraId="625F201C" w14:textId="77777777" w:rsidR="0018380A" w:rsidRPr="008C314B" w:rsidRDefault="0018380A" w:rsidP="0018380A">
      <w:pPr>
        <w:spacing w:line="360" w:lineRule="auto"/>
        <w:rPr>
          <w:rFonts w:ascii="Cambria" w:hAnsi="Cambria"/>
          <w:i/>
          <w:iCs/>
        </w:rPr>
      </w:pPr>
      <w:r w:rsidRPr="008C314B">
        <w:rPr>
          <w:rFonts w:ascii="Cambria" w:hAnsi="Cambria"/>
          <w:i/>
          <w:iCs/>
        </w:rPr>
        <w:t xml:space="preserve">Eleanor </w:t>
      </w:r>
      <m:oMath>
        <m:sSup>
          <m:sSupPr>
            <m:ctrlPr>
              <w:rPr>
                <w:rFonts w:ascii="Cambria Math" w:hAnsi="Cambria Math"/>
                <w:i/>
                <w:iCs/>
              </w:rPr>
            </m:ctrlPr>
          </m:sSupPr>
          <m:e>
            <m:r>
              <w:rPr>
                <w:rFonts w:ascii="Cambria Math" w:hAnsi="Cambria Math"/>
              </w:rPr>
              <m:t>Tennant</m:t>
            </m:r>
          </m:e>
          <m:sup>
            <m:r>
              <w:rPr>
                <w:rFonts w:ascii="Cambria Math" w:hAnsi="Cambria Math"/>
              </w:rPr>
              <m:t>a</m:t>
            </m:r>
          </m:sup>
        </m:sSup>
      </m:oMath>
      <w:r w:rsidRPr="008C314B">
        <w:rPr>
          <w:rFonts w:ascii="Cambria" w:hAnsi="Cambria"/>
          <w:i/>
          <w:iCs/>
        </w:rPr>
        <w:t>(</w:t>
      </w:r>
      <w:r w:rsidRPr="008C314B">
        <w:rPr>
          <w:rFonts w:ascii="Times" w:hAnsi="Times"/>
          <w:i/>
          <w:iCs/>
          <w:color w:val="000000"/>
          <w:sz w:val="27"/>
          <w:szCs w:val="27"/>
        </w:rPr>
        <w:t>0000-0002-1159-121)</w:t>
      </w:r>
      <w:r w:rsidRPr="008C314B">
        <w:rPr>
          <w:rFonts w:ascii="Cambria" w:hAnsi="Cambria"/>
          <w:i/>
          <w:iCs/>
        </w:rPr>
        <w:t xml:space="preserve">, Susanna, F. </w:t>
      </w:r>
      <m:oMath>
        <m:sSup>
          <m:sSupPr>
            <m:ctrlPr>
              <w:rPr>
                <w:rFonts w:ascii="Cambria Math" w:hAnsi="Cambria Math"/>
                <w:i/>
                <w:iCs/>
              </w:rPr>
            </m:ctrlPr>
          </m:sSupPr>
          <m:e>
            <m:r>
              <w:rPr>
                <w:rFonts w:ascii="Cambria Math" w:hAnsi="Cambria Math"/>
              </w:rPr>
              <m:t xml:space="preserve">Jenkins </m:t>
            </m:r>
          </m:e>
          <m:sup>
            <m:r>
              <w:rPr>
                <w:rFonts w:ascii="Cambria Math" w:hAnsi="Cambria Math"/>
              </w:rPr>
              <m:t>a</m:t>
            </m:r>
          </m:sup>
        </m:sSup>
        <m:r>
          <w:rPr>
            <w:rFonts w:ascii="Cambria Math" w:hAnsi="Cambria Math"/>
          </w:rPr>
          <m:t xml:space="preserve"> </m:t>
        </m:r>
      </m:oMath>
      <w:r w:rsidRPr="008C314B">
        <w:rPr>
          <w:rFonts w:ascii="Times" w:hAnsi="Times"/>
          <w:i/>
          <w:iCs/>
          <w:color w:val="000000"/>
          <w:sz w:val="27"/>
          <w:szCs w:val="27"/>
        </w:rPr>
        <w:t>(0000-0002-7523-142)</w:t>
      </w:r>
      <w:r w:rsidRPr="008C314B">
        <w:rPr>
          <w:rFonts w:ascii="Cambria" w:hAnsi="Cambria"/>
          <w:i/>
          <w:iCs/>
        </w:rPr>
        <w:t xml:space="preserve">, Annie </w:t>
      </w:r>
      <m:oMath>
        <m:sSup>
          <m:sSupPr>
            <m:ctrlPr>
              <w:rPr>
                <w:rFonts w:ascii="Cambria Math" w:hAnsi="Cambria Math"/>
                <w:i/>
                <w:iCs/>
              </w:rPr>
            </m:ctrlPr>
          </m:sSupPr>
          <m:e>
            <m:r>
              <w:rPr>
                <w:rFonts w:ascii="Cambria Math" w:hAnsi="Cambria Math"/>
              </w:rPr>
              <m:t>Winson</m:t>
            </m:r>
          </m:e>
          <m:sup>
            <m:r>
              <w:rPr>
                <w:rFonts w:ascii="Cambria Math" w:hAnsi="Cambria Math"/>
              </w:rPr>
              <m:t>b</m:t>
            </m:r>
          </m:sup>
        </m:sSup>
      </m:oMath>
      <w:r w:rsidRPr="008C314B">
        <w:rPr>
          <w:rFonts w:ascii="Cambria" w:hAnsi="Cambria"/>
          <w:i/>
          <w:iCs/>
        </w:rPr>
        <w:t xml:space="preserve">(0000-0002-6420-1042), Christina </w:t>
      </w:r>
      <m:oMath>
        <m:sSup>
          <m:sSupPr>
            <m:ctrlPr>
              <w:rPr>
                <w:rFonts w:ascii="Cambria Math" w:hAnsi="Cambria Math"/>
                <w:i/>
                <w:iCs/>
              </w:rPr>
            </m:ctrlPr>
          </m:sSupPr>
          <m:e>
            <m:r>
              <w:rPr>
                <w:rFonts w:ascii="Cambria Math" w:hAnsi="Cambria Math"/>
              </w:rPr>
              <m:t>Widiwijayanti</m:t>
            </m:r>
          </m:e>
          <m:sup>
            <m:r>
              <w:rPr>
                <w:rFonts w:ascii="Cambria Math" w:hAnsi="Cambria Math"/>
              </w:rPr>
              <m:t>a</m:t>
            </m:r>
          </m:sup>
        </m:sSup>
      </m:oMath>
      <w:r w:rsidRPr="008C314B">
        <w:rPr>
          <w:rFonts w:ascii="Cambria" w:hAnsi="Cambria"/>
          <w:i/>
          <w:iCs/>
        </w:rPr>
        <w:t xml:space="preserve">(0000-0001-8505-5200), </w:t>
      </w:r>
      <w:proofErr w:type="spellStart"/>
      <w:r w:rsidRPr="008C314B">
        <w:rPr>
          <w:rFonts w:ascii="Cambria" w:hAnsi="Cambria"/>
          <w:i/>
          <w:iCs/>
        </w:rPr>
        <w:t>Heruningtyas</w:t>
      </w:r>
      <w:proofErr w:type="spellEnd"/>
      <w:r w:rsidRPr="008C314B">
        <w:rPr>
          <w:rFonts w:ascii="Cambria" w:hAnsi="Cambria"/>
          <w:i/>
          <w:iCs/>
        </w:rPr>
        <w:t xml:space="preserve"> D. </w:t>
      </w:r>
      <m:oMath>
        <m:sSup>
          <m:sSupPr>
            <m:ctrlPr>
              <w:rPr>
                <w:rFonts w:ascii="Cambria Math" w:hAnsi="Cambria Math"/>
                <w:i/>
                <w:iCs/>
              </w:rPr>
            </m:ctrlPr>
          </m:sSupPr>
          <m:e>
            <m:r>
              <w:rPr>
                <w:rFonts w:ascii="Cambria Math" w:hAnsi="Cambria Math"/>
              </w:rPr>
              <m:t>Purnamasari</m:t>
            </m:r>
          </m:e>
          <m:sup>
            <m:r>
              <w:rPr>
                <w:rFonts w:ascii="Cambria Math" w:hAnsi="Cambria Math"/>
              </w:rPr>
              <m:t>c</m:t>
            </m:r>
          </m:sup>
        </m:sSup>
      </m:oMath>
      <w:r w:rsidRPr="008C314B">
        <w:rPr>
          <w:rFonts w:ascii="Cambria" w:hAnsi="Cambria"/>
          <w:i/>
          <w:iCs/>
        </w:rPr>
        <w:t xml:space="preserve">, Nugraha </w:t>
      </w:r>
      <m:oMath>
        <m:sSup>
          <m:sSupPr>
            <m:ctrlPr>
              <w:rPr>
                <w:rFonts w:ascii="Cambria Math" w:hAnsi="Cambria Math"/>
                <w:i/>
                <w:iCs/>
              </w:rPr>
            </m:ctrlPr>
          </m:sSupPr>
          <m:e>
            <m:r>
              <w:rPr>
                <w:rFonts w:ascii="Cambria Math" w:hAnsi="Cambria Math"/>
              </w:rPr>
              <m:t>Kartadinata</m:t>
            </m:r>
          </m:e>
          <m:sup>
            <m:r>
              <w:rPr>
                <w:rFonts w:ascii="Cambria Math" w:hAnsi="Cambria Math"/>
              </w:rPr>
              <m:t>c</m:t>
            </m:r>
          </m:sup>
        </m:sSup>
      </m:oMath>
      <w:r w:rsidRPr="008C314B">
        <w:rPr>
          <w:rFonts w:ascii="Cambria" w:hAnsi="Cambria"/>
          <w:i/>
          <w:iCs/>
        </w:rPr>
        <w:t>, Wilfridus</w:t>
      </w:r>
      <m:oMath>
        <m:sSup>
          <m:sSupPr>
            <m:ctrlPr>
              <w:rPr>
                <w:rFonts w:ascii="Cambria Math" w:hAnsi="Cambria Math"/>
                <w:i/>
                <w:iCs/>
              </w:rPr>
            </m:ctrlPr>
          </m:sSupPr>
          <m:e>
            <m:r>
              <w:rPr>
                <w:rFonts w:ascii="Cambria Math" w:hAnsi="Cambria Math"/>
              </w:rPr>
              <m:t xml:space="preserve"> Banggur</m:t>
            </m:r>
          </m:e>
          <m:sup>
            <m:r>
              <w:rPr>
                <w:rFonts w:ascii="Cambria Math" w:hAnsi="Cambria Math"/>
              </w:rPr>
              <m:t>d</m:t>
            </m:r>
          </m:sup>
        </m:sSup>
      </m:oMath>
      <w:r w:rsidRPr="008C314B">
        <w:rPr>
          <w:rFonts w:ascii="Cambria" w:hAnsi="Cambria"/>
          <w:i/>
          <w:iCs/>
        </w:rPr>
        <w:t xml:space="preserve"> (0000-0002-7286-5260)</w:t>
      </w:r>
    </w:p>
    <w:p w14:paraId="765FB97F" w14:textId="77777777" w:rsidR="0018380A" w:rsidRPr="00A42B02" w:rsidRDefault="0018380A" w:rsidP="0018380A">
      <w:pPr>
        <w:autoSpaceDE w:val="0"/>
        <w:autoSpaceDN w:val="0"/>
        <w:adjustRightInd w:val="0"/>
        <w:spacing w:line="360" w:lineRule="auto"/>
        <w:rPr>
          <w:rFonts w:ascii="Cambria" w:hAnsi="Cambria"/>
          <w:i/>
          <w:iCs/>
          <w:sz w:val="20"/>
          <w:szCs w:val="20"/>
        </w:rPr>
      </w:pPr>
      <w:proofErr w:type="gramStart"/>
      <w:r w:rsidRPr="00A42B02">
        <w:rPr>
          <w:rFonts w:ascii="Cambria" w:hAnsi="Cambria"/>
          <w:i/>
          <w:iCs/>
          <w:sz w:val="20"/>
          <w:szCs w:val="20"/>
        </w:rPr>
        <w:t>a</w:t>
      </w:r>
      <w:proofErr w:type="gramEnd"/>
      <w:r w:rsidRPr="00A42B02">
        <w:rPr>
          <w:rFonts w:ascii="Cambria" w:hAnsi="Cambria"/>
          <w:i/>
          <w:iCs/>
          <w:sz w:val="20"/>
          <w:szCs w:val="20"/>
        </w:rPr>
        <w:t xml:space="preserve"> Earth Observatory of Singapore and Asian School of the Environment, Nanyang Technological University, 639798, Singapore</w:t>
      </w:r>
    </w:p>
    <w:p w14:paraId="515C297B" w14:textId="77777777" w:rsidR="0018380A" w:rsidRPr="00A42B02" w:rsidRDefault="0018380A" w:rsidP="0018380A">
      <w:pPr>
        <w:autoSpaceDE w:val="0"/>
        <w:autoSpaceDN w:val="0"/>
        <w:adjustRightInd w:val="0"/>
        <w:spacing w:line="360" w:lineRule="auto"/>
        <w:rPr>
          <w:rFonts w:ascii="Cambria" w:hAnsi="Cambria"/>
          <w:i/>
          <w:iCs/>
          <w:sz w:val="20"/>
          <w:szCs w:val="20"/>
        </w:rPr>
      </w:pPr>
      <w:r w:rsidRPr="00A42B02">
        <w:rPr>
          <w:rFonts w:ascii="Cambria" w:hAnsi="Cambria"/>
          <w:i/>
          <w:iCs/>
          <w:sz w:val="20"/>
          <w:szCs w:val="20"/>
        </w:rPr>
        <w:t>b British Geological Survey, Keyworth, Nottingham NG12 5GG, United Kingdom</w:t>
      </w:r>
    </w:p>
    <w:p w14:paraId="57B0468C" w14:textId="77777777" w:rsidR="0018380A" w:rsidRPr="00A42B02" w:rsidRDefault="0018380A" w:rsidP="0018380A">
      <w:pPr>
        <w:spacing w:line="360" w:lineRule="auto"/>
        <w:jc w:val="both"/>
        <w:rPr>
          <w:rFonts w:ascii="Cambria" w:hAnsi="Cambria"/>
          <w:i/>
          <w:iCs/>
          <w:sz w:val="20"/>
          <w:szCs w:val="20"/>
        </w:rPr>
      </w:pPr>
      <w:r w:rsidRPr="00A42B02">
        <w:rPr>
          <w:rFonts w:ascii="Cambria" w:hAnsi="Cambria"/>
          <w:i/>
          <w:iCs/>
          <w:sz w:val="20"/>
          <w:szCs w:val="20"/>
        </w:rPr>
        <w:t>c Center for Volcanology and Geological Hazard Mitigation, Bandung city, West Java 40122,</w:t>
      </w:r>
    </w:p>
    <w:p w14:paraId="208F5429" w14:textId="77777777" w:rsidR="0018380A" w:rsidRPr="00A42B02" w:rsidRDefault="0018380A" w:rsidP="0018380A">
      <w:pPr>
        <w:spacing w:line="360" w:lineRule="auto"/>
        <w:jc w:val="both"/>
        <w:rPr>
          <w:rFonts w:ascii="Cambria" w:hAnsi="Cambria"/>
          <w:i/>
          <w:iCs/>
          <w:sz w:val="20"/>
          <w:szCs w:val="20"/>
        </w:rPr>
      </w:pPr>
      <w:r w:rsidRPr="00A42B02">
        <w:rPr>
          <w:rFonts w:ascii="Cambria" w:hAnsi="Cambria"/>
          <w:i/>
          <w:iCs/>
          <w:sz w:val="20"/>
          <w:szCs w:val="20"/>
        </w:rPr>
        <w:t>d National Research and Innovation Agency, Jakarta, 10340</w:t>
      </w:r>
    </w:p>
    <w:p w14:paraId="359C6091" w14:textId="77777777" w:rsidR="0018380A" w:rsidRPr="008C314B" w:rsidRDefault="0018380A" w:rsidP="0018380A">
      <w:pPr>
        <w:spacing w:line="360" w:lineRule="auto"/>
        <w:jc w:val="both"/>
        <w:rPr>
          <w:rFonts w:ascii="Cambria" w:hAnsi="Cambria"/>
          <w:i/>
          <w:iCs/>
        </w:rPr>
      </w:pPr>
    </w:p>
    <w:p w14:paraId="4B3172F1" w14:textId="77777777" w:rsidR="0018380A" w:rsidRPr="008C314B" w:rsidRDefault="0018380A" w:rsidP="0018380A">
      <w:pPr>
        <w:spacing w:line="360" w:lineRule="auto"/>
        <w:jc w:val="both"/>
        <w:rPr>
          <w:rFonts w:ascii="Cambria" w:hAnsi="Cambria"/>
          <w:i/>
          <w:iCs/>
        </w:rPr>
      </w:pPr>
      <w:r w:rsidRPr="008C314B">
        <w:rPr>
          <w:rFonts w:ascii="Cambria" w:hAnsi="Cambria"/>
          <w:i/>
          <w:iCs/>
        </w:rPr>
        <w:t>Correspondence to: Eleanor Tennant (</w:t>
      </w:r>
      <w:hyperlink r:id="rId4" w:history="1">
        <w:r w:rsidRPr="008E315C">
          <w:rPr>
            <w:rStyle w:val="Hyperlink"/>
            <w:rFonts w:ascii="Cambria" w:hAnsi="Cambria"/>
            <w:i/>
            <w:iCs/>
          </w:rPr>
          <w:t>eleanorm001@e.ntu.edu.sg</w:t>
        </w:r>
      </w:hyperlink>
      <w:r w:rsidRPr="008C314B">
        <w:rPr>
          <w:rFonts w:ascii="Cambria" w:hAnsi="Cambria"/>
          <w:i/>
          <w:iCs/>
        </w:rPr>
        <w:t>)</w:t>
      </w:r>
    </w:p>
    <w:p w14:paraId="32E4C6D5" w14:textId="77777777" w:rsidR="0018380A" w:rsidRDefault="0018380A" w:rsidP="003D39E5">
      <w:pPr>
        <w:spacing w:line="360" w:lineRule="auto"/>
        <w:rPr>
          <w:rFonts w:ascii="Cambria" w:hAnsi="Cambria"/>
          <w:u w:val="single"/>
        </w:rPr>
      </w:pPr>
    </w:p>
    <w:p w14:paraId="41F89063" w14:textId="34D2AF6A" w:rsidR="003D39E5" w:rsidRPr="00EE40FB" w:rsidRDefault="0018380A" w:rsidP="003D39E5">
      <w:pPr>
        <w:spacing w:line="360" w:lineRule="auto"/>
        <w:rPr>
          <w:rFonts w:ascii="Cambria" w:hAnsi="Cambria"/>
          <w:u w:val="single"/>
        </w:rPr>
      </w:pPr>
      <w:r>
        <w:rPr>
          <w:rFonts w:ascii="Cambria" w:hAnsi="Cambria"/>
          <w:u w:val="single"/>
        </w:rPr>
        <w:t>Additional information for l</w:t>
      </w:r>
      <w:r w:rsidR="003D39E5" w:rsidRPr="00EE40FB">
        <w:rPr>
          <w:rFonts w:ascii="Cambria" w:hAnsi="Cambria"/>
          <w:u w:val="single"/>
        </w:rPr>
        <w:t>arge clast simulations</w:t>
      </w:r>
    </w:p>
    <w:p w14:paraId="77C81023" w14:textId="77777777" w:rsidR="003D39E5" w:rsidRPr="00EE40FB" w:rsidRDefault="003D39E5" w:rsidP="003D39E5">
      <w:pPr>
        <w:spacing w:line="360" w:lineRule="auto"/>
        <w:rPr>
          <w:rFonts w:ascii="Cambria" w:hAnsi="Cambria"/>
        </w:rPr>
      </w:pPr>
    </w:p>
    <w:p w14:paraId="511FF750" w14:textId="77777777" w:rsidR="003D39E5" w:rsidRPr="00EE40FB" w:rsidRDefault="003D39E5" w:rsidP="003D39E5">
      <w:pPr>
        <w:spacing w:line="360" w:lineRule="auto"/>
        <w:jc w:val="both"/>
        <w:rPr>
          <w:rFonts w:ascii="Cambria" w:hAnsi="Cambria"/>
        </w:rPr>
      </w:pPr>
      <w:r w:rsidRPr="00EE40FB">
        <w:rPr>
          <w:rFonts w:ascii="Cambria" w:hAnsi="Cambria"/>
        </w:rPr>
        <w:t>For each of the 500 particles simulated</w:t>
      </w:r>
      <w:r>
        <w:rPr>
          <w:rFonts w:ascii="Cambria" w:hAnsi="Cambria"/>
        </w:rPr>
        <w:t>,</w:t>
      </w:r>
      <w:r w:rsidRPr="00EE40FB">
        <w:rPr>
          <w:rFonts w:ascii="Cambria" w:hAnsi="Cambria"/>
        </w:rPr>
        <w:t xml:space="preserve"> the model outputs the final XYZ velocity before the particle hits the ground, we used this to calculate the kinetic energy upon impact. We then interpolated the kinetic energies between the points using cubic splines to produce a kinetic energy raster for each of the 10,000 simulations.</w:t>
      </w:r>
    </w:p>
    <w:p w14:paraId="383F6E52" w14:textId="77777777" w:rsidR="003D39E5" w:rsidRPr="00EE40FB" w:rsidRDefault="003D39E5" w:rsidP="003D39E5"/>
    <w:p w14:paraId="74780851" w14:textId="77777777" w:rsidR="003D39E5" w:rsidRPr="00EE40FB" w:rsidRDefault="003D39E5" w:rsidP="003D39E5"/>
    <w:p w14:paraId="3BE40509" w14:textId="491F9E91" w:rsidR="003D39E5" w:rsidRPr="00E02841" w:rsidRDefault="003D39E5" w:rsidP="003D39E5">
      <w:pPr>
        <w:spacing w:line="360" w:lineRule="auto"/>
        <w:rPr>
          <w:rFonts w:ascii="Cambria" w:hAnsi="Cambria"/>
          <w:i/>
          <w:iCs/>
        </w:rPr>
      </w:pPr>
      <w:r w:rsidRPr="00EE40FB">
        <w:rPr>
          <w:rFonts w:ascii="Cambria" w:hAnsi="Cambria"/>
          <w:i/>
          <w:iCs/>
        </w:rPr>
        <w:t xml:space="preserve">Table </w:t>
      </w:r>
      <w:r w:rsidR="00834E2F">
        <w:rPr>
          <w:rFonts w:ascii="Cambria" w:hAnsi="Cambria"/>
          <w:i/>
          <w:iCs/>
        </w:rPr>
        <w:t>1</w:t>
      </w:r>
      <w:r w:rsidRPr="00EE40FB">
        <w:rPr>
          <w:rFonts w:ascii="Cambria" w:hAnsi="Cambria"/>
          <w:i/>
          <w:iCs/>
        </w:rPr>
        <w:t>. Input parameters for large clast simulations conducted using the sedimentation model developed by Rossi et al., (2019)</w:t>
      </w:r>
      <w:r>
        <w:rPr>
          <w:rFonts w:ascii="Cambria" w:hAnsi="Cambria"/>
          <w:i/>
          <w:iCs/>
        </w:rPr>
        <w:t>.</w:t>
      </w:r>
    </w:p>
    <w:tbl>
      <w:tblPr>
        <w:tblStyle w:val="TableGrid"/>
        <w:tblpPr w:leftFromText="181" w:rightFromText="181" w:vertAnchor="page" w:horzAnchor="margin" w:tblpY="1759"/>
        <w:tblW w:w="9209" w:type="dxa"/>
        <w:tblLook w:val="04A0" w:firstRow="1" w:lastRow="0" w:firstColumn="1" w:lastColumn="0" w:noHBand="0" w:noVBand="1"/>
      </w:tblPr>
      <w:tblGrid>
        <w:gridCol w:w="2098"/>
        <w:gridCol w:w="1540"/>
        <w:gridCol w:w="1430"/>
        <w:gridCol w:w="1454"/>
        <w:gridCol w:w="1416"/>
        <w:gridCol w:w="1271"/>
      </w:tblGrid>
      <w:tr w:rsidR="0018380A" w:rsidRPr="00EE40FB" w14:paraId="4EB881CE" w14:textId="77777777" w:rsidTr="0018380A">
        <w:tc>
          <w:tcPr>
            <w:tcW w:w="2098" w:type="dxa"/>
            <w:tcBorders>
              <w:top w:val="single" w:sz="4" w:space="0" w:color="auto"/>
              <w:left w:val="nil"/>
              <w:bottom w:val="single" w:sz="4" w:space="0" w:color="auto"/>
              <w:right w:val="nil"/>
            </w:tcBorders>
          </w:tcPr>
          <w:p w14:paraId="747DF181" w14:textId="77777777" w:rsidR="0018380A" w:rsidRPr="00EE40FB" w:rsidRDefault="0018380A" w:rsidP="0018380A">
            <w:pPr>
              <w:rPr>
                <w:rFonts w:ascii="Cambria" w:hAnsi="Cambria"/>
                <w:sz w:val="20"/>
                <w:szCs w:val="20"/>
              </w:rPr>
            </w:pPr>
          </w:p>
        </w:tc>
        <w:tc>
          <w:tcPr>
            <w:tcW w:w="1540" w:type="dxa"/>
            <w:tcBorders>
              <w:top w:val="single" w:sz="4" w:space="0" w:color="auto"/>
              <w:left w:val="nil"/>
              <w:bottom w:val="single" w:sz="4" w:space="0" w:color="auto"/>
              <w:right w:val="nil"/>
            </w:tcBorders>
          </w:tcPr>
          <w:p w14:paraId="1EA6DBD9" w14:textId="77777777" w:rsidR="0018380A" w:rsidRPr="00EE40FB" w:rsidRDefault="0018380A" w:rsidP="0018380A">
            <w:pPr>
              <w:jc w:val="center"/>
              <w:rPr>
                <w:rFonts w:ascii="Cambria" w:hAnsi="Cambria"/>
                <w:sz w:val="20"/>
                <w:szCs w:val="20"/>
              </w:rPr>
            </w:pPr>
            <w:r w:rsidRPr="00EE40FB">
              <w:rPr>
                <w:rFonts w:ascii="Cambria" w:hAnsi="Cambria"/>
                <w:sz w:val="20"/>
                <w:szCs w:val="20"/>
              </w:rPr>
              <w:t>Continuously explosive</w:t>
            </w:r>
          </w:p>
        </w:tc>
        <w:tc>
          <w:tcPr>
            <w:tcW w:w="1430" w:type="dxa"/>
            <w:tcBorders>
              <w:top w:val="single" w:sz="4" w:space="0" w:color="auto"/>
              <w:left w:val="nil"/>
              <w:bottom w:val="single" w:sz="4" w:space="0" w:color="auto"/>
              <w:right w:val="nil"/>
            </w:tcBorders>
          </w:tcPr>
          <w:p w14:paraId="024CE296" w14:textId="77777777" w:rsidR="0018380A" w:rsidRPr="00EE40FB" w:rsidRDefault="0018380A" w:rsidP="0018380A">
            <w:pPr>
              <w:jc w:val="center"/>
              <w:rPr>
                <w:rFonts w:ascii="Cambria" w:hAnsi="Cambria"/>
                <w:sz w:val="20"/>
                <w:szCs w:val="20"/>
              </w:rPr>
            </w:pPr>
            <w:r w:rsidRPr="00EE40FB">
              <w:rPr>
                <w:rFonts w:ascii="Cambria" w:hAnsi="Cambria"/>
                <w:sz w:val="20"/>
                <w:szCs w:val="20"/>
              </w:rPr>
              <w:t>Intermittently explosive</w:t>
            </w:r>
          </w:p>
        </w:tc>
        <w:tc>
          <w:tcPr>
            <w:tcW w:w="1454" w:type="dxa"/>
            <w:tcBorders>
              <w:top w:val="single" w:sz="4" w:space="0" w:color="auto"/>
              <w:left w:val="nil"/>
              <w:bottom w:val="single" w:sz="4" w:space="0" w:color="auto"/>
              <w:right w:val="nil"/>
            </w:tcBorders>
          </w:tcPr>
          <w:p w14:paraId="5A9D444C" w14:textId="77777777" w:rsidR="0018380A" w:rsidRPr="00EE40FB" w:rsidRDefault="0018380A" w:rsidP="0018380A">
            <w:pPr>
              <w:jc w:val="center"/>
              <w:rPr>
                <w:rFonts w:ascii="Cambria" w:hAnsi="Cambria"/>
                <w:sz w:val="20"/>
                <w:szCs w:val="20"/>
              </w:rPr>
            </w:pPr>
            <w:r w:rsidRPr="00EE40FB">
              <w:rPr>
                <w:rFonts w:ascii="Cambria" w:hAnsi="Cambria"/>
                <w:sz w:val="20"/>
                <w:szCs w:val="20"/>
              </w:rPr>
              <w:t>Minor explosive</w:t>
            </w:r>
          </w:p>
        </w:tc>
        <w:tc>
          <w:tcPr>
            <w:tcW w:w="1416" w:type="dxa"/>
            <w:tcBorders>
              <w:top w:val="single" w:sz="4" w:space="0" w:color="auto"/>
              <w:left w:val="nil"/>
              <w:bottom w:val="single" w:sz="4" w:space="0" w:color="auto"/>
              <w:right w:val="nil"/>
            </w:tcBorders>
          </w:tcPr>
          <w:p w14:paraId="5E51ED1A" w14:textId="77777777" w:rsidR="0018380A" w:rsidRPr="00EE40FB" w:rsidRDefault="0018380A" w:rsidP="0018380A">
            <w:pPr>
              <w:jc w:val="center"/>
              <w:rPr>
                <w:rFonts w:ascii="Cambria" w:hAnsi="Cambria"/>
                <w:sz w:val="20"/>
                <w:szCs w:val="20"/>
              </w:rPr>
            </w:pPr>
            <w:r w:rsidRPr="00EE40FB">
              <w:rPr>
                <w:rFonts w:ascii="Cambria" w:hAnsi="Cambria"/>
                <w:sz w:val="20"/>
                <w:szCs w:val="20"/>
              </w:rPr>
              <w:t>Major explosive</w:t>
            </w:r>
          </w:p>
        </w:tc>
        <w:tc>
          <w:tcPr>
            <w:tcW w:w="1271" w:type="dxa"/>
            <w:tcBorders>
              <w:top w:val="single" w:sz="4" w:space="0" w:color="auto"/>
              <w:left w:val="nil"/>
              <w:bottom w:val="single" w:sz="4" w:space="0" w:color="auto"/>
              <w:right w:val="nil"/>
            </w:tcBorders>
          </w:tcPr>
          <w:p w14:paraId="0801F8F5" w14:textId="77777777" w:rsidR="0018380A" w:rsidRPr="00EE40FB" w:rsidRDefault="0018380A" w:rsidP="0018380A">
            <w:pPr>
              <w:jc w:val="center"/>
              <w:rPr>
                <w:rFonts w:ascii="Cambria" w:hAnsi="Cambria"/>
                <w:sz w:val="20"/>
                <w:szCs w:val="20"/>
              </w:rPr>
            </w:pPr>
            <w:r w:rsidRPr="00EE40FB">
              <w:rPr>
                <w:rFonts w:ascii="Cambria" w:hAnsi="Cambria"/>
                <w:sz w:val="20"/>
                <w:szCs w:val="20"/>
              </w:rPr>
              <w:t>Plinian explosive</w:t>
            </w:r>
          </w:p>
        </w:tc>
      </w:tr>
      <w:tr w:rsidR="0018380A" w:rsidRPr="00EE40FB" w14:paraId="7AAEBFCB" w14:textId="77777777" w:rsidTr="0018380A">
        <w:tc>
          <w:tcPr>
            <w:tcW w:w="2098" w:type="dxa"/>
            <w:tcBorders>
              <w:top w:val="single" w:sz="4" w:space="0" w:color="auto"/>
              <w:left w:val="nil"/>
              <w:bottom w:val="nil"/>
              <w:right w:val="nil"/>
            </w:tcBorders>
          </w:tcPr>
          <w:p w14:paraId="17589B86" w14:textId="77777777" w:rsidR="0018380A" w:rsidRPr="00EE40FB" w:rsidRDefault="0018380A" w:rsidP="0018380A">
            <w:pPr>
              <w:jc w:val="center"/>
              <w:rPr>
                <w:rFonts w:ascii="Cambria" w:hAnsi="Cambria"/>
                <w:sz w:val="20"/>
                <w:szCs w:val="20"/>
              </w:rPr>
            </w:pPr>
            <w:r w:rsidRPr="00EE40FB">
              <w:rPr>
                <w:rFonts w:ascii="Cambria" w:hAnsi="Cambria"/>
                <w:sz w:val="20"/>
                <w:szCs w:val="20"/>
              </w:rPr>
              <w:t>Wind</w:t>
            </w:r>
          </w:p>
        </w:tc>
        <w:tc>
          <w:tcPr>
            <w:tcW w:w="7111" w:type="dxa"/>
            <w:gridSpan w:val="5"/>
            <w:tcBorders>
              <w:top w:val="single" w:sz="4" w:space="0" w:color="auto"/>
              <w:left w:val="nil"/>
              <w:bottom w:val="nil"/>
              <w:right w:val="nil"/>
            </w:tcBorders>
          </w:tcPr>
          <w:p w14:paraId="3D53156F" w14:textId="77777777" w:rsidR="0018380A" w:rsidRPr="00EE40FB" w:rsidRDefault="0018380A" w:rsidP="0018380A">
            <w:pPr>
              <w:jc w:val="center"/>
              <w:rPr>
                <w:rFonts w:ascii="Cambria" w:hAnsi="Cambria"/>
                <w:sz w:val="20"/>
                <w:szCs w:val="20"/>
              </w:rPr>
            </w:pPr>
            <w:r w:rsidRPr="00EE40FB">
              <w:rPr>
                <w:rFonts w:ascii="Cambria" w:hAnsi="Cambria"/>
                <w:sz w:val="20"/>
                <w:szCs w:val="20"/>
              </w:rPr>
              <w:t>10 years (2014-2023) ECMWF ERA5</w:t>
            </w:r>
          </w:p>
          <w:p w14:paraId="376A0E2E" w14:textId="77777777" w:rsidR="0018380A" w:rsidRPr="00EE40FB" w:rsidRDefault="0018380A" w:rsidP="0018380A">
            <w:pPr>
              <w:jc w:val="center"/>
              <w:rPr>
                <w:rFonts w:ascii="Cambria" w:hAnsi="Cambria"/>
                <w:sz w:val="20"/>
                <w:szCs w:val="20"/>
              </w:rPr>
            </w:pPr>
          </w:p>
        </w:tc>
      </w:tr>
      <w:tr w:rsidR="0018380A" w:rsidRPr="00EE40FB" w14:paraId="46CA32A9" w14:textId="77777777" w:rsidTr="0018380A">
        <w:tc>
          <w:tcPr>
            <w:tcW w:w="2098" w:type="dxa"/>
            <w:tcBorders>
              <w:top w:val="nil"/>
              <w:left w:val="nil"/>
              <w:bottom w:val="nil"/>
              <w:right w:val="nil"/>
            </w:tcBorders>
          </w:tcPr>
          <w:p w14:paraId="1D00BAB8" w14:textId="77777777" w:rsidR="0018380A" w:rsidRPr="00EE40FB" w:rsidRDefault="0018380A" w:rsidP="0018380A">
            <w:pPr>
              <w:jc w:val="center"/>
              <w:rPr>
                <w:rFonts w:ascii="Cambria" w:hAnsi="Cambria"/>
                <w:sz w:val="20"/>
                <w:szCs w:val="20"/>
              </w:rPr>
            </w:pPr>
            <w:r w:rsidRPr="00EE40FB">
              <w:rPr>
                <w:rFonts w:ascii="Cambria" w:hAnsi="Cambria"/>
                <w:sz w:val="20"/>
                <w:szCs w:val="20"/>
              </w:rPr>
              <w:t>Seasonality</w:t>
            </w:r>
          </w:p>
        </w:tc>
        <w:tc>
          <w:tcPr>
            <w:tcW w:w="7111" w:type="dxa"/>
            <w:gridSpan w:val="5"/>
            <w:tcBorders>
              <w:top w:val="nil"/>
              <w:left w:val="nil"/>
              <w:bottom w:val="nil"/>
              <w:right w:val="nil"/>
            </w:tcBorders>
          </w:tcPr>
          <w:p w14:paraId="4007F4F1" w14:textId="77777777" w:rsidR="0018380A" w:rsidRPr="00EE40FB" w:rsidRDefault="0018380A" w:rsidP="0018380A">
            <w:pPr>
              <w:jc w:val="center"/>
              <w:rPr>
                <w:rFonts w:ascii="Cambria" w:hAnsi="Cambria"/>
                <w:sz w:val="20"/>
                <w:szCs w:val="20"/>
              </w:rPr>
            </w:pPr>
            <w:r w:rsidRPr="00EE40FB">
              <w:rPr>
                <w:rFonts w:ascii="Cambria" w:hAnsi="Cambria"/>
                <w:sz w:val="20"/>
                <w:szCs w:val="20"/>
              </w:rPr>
              <w:t xml:space="preserve">Dry season April-October </w:t>
            </w:r>
          </w:p>
          <w:p w14:paraId="0C4CA210" w14:textId="77777777" w:rsidR="0018380A" w:rsidRPr="00EE40FB" w:rsidRDefault="0018380A" w:rsidP="0018380A">
            <w:pPr>
              <w:jc w:val="center"/>
              <w:rPr>
                <w:rFonts w:ascii="Cambria" w:hAnsi="Cambria"/>
                <w:sz w:val="20"/>
                <w:szCs w:val="20"/>
              </w:rPr>
            </w:pPr>
            <w:r w:rsidRPr="00EE40FB">
              <w:rPr>
                <w:rFonts w:ascii="Cambria" w:hAnsi="Cambria"/>
                <w:sz w:val="20"/>
                <w:szCs w:val="20"/>
              </w:rPr>
              <w:t>Rainy season November-March</w:t>
            </w:r>
          </w:p>
          <w:p w14:paraId="72F1F17D" w14:textId="77777777" w:rsidR="0018380A" w:rsidRPr="00EE40FB" w:rsidRDefault="0018380A" w:rsidP="0018380A">
            <w:pPr>
              <w:jc w:val="center"/>
              <w:rPr>
                <w:rFonts w:ascii="Cambria" w:hAnsi="Cambria"/>
                <w:sz w:val="20"/>
                <w:szCs w:val="20"/>
              </w:rPr>
            </w:pPr>
          </w:p>
        </w:tc>
      </w:tr>
      <w:tr w:rsidR="0018380A" w:rsidRPr="00EE40FB" w14:paraId="62FB3B81" w14:textId="77777777" w:rsidTr="0018380A">
        <w:tc>
          <w:tcPr>
            <w:tcW w:w="2098" w:type="dxa"/>
            <w:tcBorders>
              <w:top w:val="nil"/>
              <w:left w:val="nil"/>
              <w:bottom w:val="nil"/>
              <w:right w:val="nil"/>
            </w:tcBorders>
          </w:tcPr>
          <w:p w14:paraId="56064699" w14:textId="77777777" w:rsidR="0018380A" w:rsidRPr="00EE40FB" w:rsidRDefault="0018380A" w:rsidP="0018380A">
            <w:pPr>
              <w:jc w:val="center"/>
              <w:rPr>
                <w:rFonts w:ascii="Cambria" w:hAnsi="Cambria"/>
                <w:sz w:val="20"/>
                <w:szCs w:val="20"/>
              </w:rPr>
            </w:pPr>
            <w:r w:rsidRPr="00EE40FB">
              <w:rPr>
                <w:rFonts w:ascii="Cambria" w:hAnsi="Cambria"/>
                <w:sz w:val="20"/>
                <w:szCs w:val="20"/>
              </w:rPr>
              <w:t xml:space="preserve">Plume </w:t>
            </w:r>
            <w:proofErr w:type="spellStart"/>
            <w:r w:rsidRPr="00EE40FB">
              <w:rPr>
                <w:rFonts w:ascii="Cambria" w:hAnsi="Cambria"/>
                <w:sz w:val="20"/>
                <w:szCs w:val="20"/>
              </w:rPr>
              <w:t>ht</w:t>
            </w:r>
            <w:proofErr w:type="spellEnd"/>
            <w:r w:rsidRPr="00EE40FB">
              <w:rPr>
                <w:rFonts w:ascii="Cambria" w:hAnsi="Cambria"/>
                <w:sz w:val="20"/>
                <w:szCs w:val="20"/>
              </w:rPr>
              <w:t xml:space="preserve"> (m above vent)</w:t>
            </w:r>
          </w:p>
        </w:tc>
        <w:tc>
          <w:tcPr>
            <w:tcW w:w="1540" w:type="dxa"/>
            <w:tcBorders>
              <w:top w:val="nil"/>
              <w:left w:val="nil"/>
              <w:bottom w:val="nil"/>
              <w:right w:val="nil"/>
            </w:tcBorders>
          </w:tcPr>
          <w:p w14:paraId="49CF472E" w14:textId="77777777" w:rsidR="0018380A" w:rsidRPr="00EE40FB" w:rsidRDefault="0018380A" w:rsidP="0018380A">
            <w:pPr>
              <w:jc w:val="center"/>
              <w:rPr>
                <w:rFonts w:ascii="Cambria" w:hAnsi="Cambria"/>
                <w:sz w:val="20"/>
                <w:szCs w:val="20"/>
              </w:rPr>
            </w:pPr>
            <w:r w:rsidRPr="00EE40FB">
              <w:rPr>
                <w:rFonts w:ascii="Cambria" w:hAnsi="Cambria"/>
                <w:sz w:val="20"/>
                <w:szCs w:val="20"/>
              </w:rPr>
              <w:t>3,000- 7,000</w:t>
            </w:r>
          </w:p>
          <w:p w14:paraId="2FEA8342" w14:textId="77777777" w:rsidR="0018380A" w:rsidRPr="00EE40FB" w:rsidRDefault="0018380A" w:rsidP="0018380A">
            <w:pPr>
              <w:jc w:val="center"/>
              <w:rPr>
                <w:rFonts w:ascii="Cambria" w:hAnsi="Cambria"/>
                <w:sz w:val="20"/>
                <w:szCs w:val="20"/>
              </w:rPr>
            </w:pPr>
            <w:r w:rsidRPr="00EE40FB">
              <w:rPr>
                <w:rFonts w:ascii="Cambria" w:hAnsi="Cambria"/>
                <w:i/>
                <w:iCs/>
                <w:color w:val="BFBFBF" w:themeColor="background1" w:themeShade="BF"/>
                <w:sz w:val="18"/>
                <w:szCs w:val="18"/>
              </w:rPr>
              <w:t>(analogues)</w:t>
            </w:r>
          </w:p>
        </w:tc>
        <w:tc>
          <w:tcPr>
            <w:tcW w:w="1430" w:type="dxa"/>
            <w:tcBorders>
              <w:top w:val="nil"/>
              <w:left w:val="nil"/>
              <w:bottom w:val="nil"/>
              <w:right w:val="nil"/>
            </w:tcBorders>
          </w:tcPr>
          <w:p w14:paraId="52BA42C2" w14:textId="77777777" w:rsidR="0018380A" w:rsidRPr="00EE40FB" w:rsidRDefault="0018380A" w:rsidP="0018380A">
            <w:pPr>
              <w:jc w:val="center"/>
              <w:rPr>
                <w:rFonts w:ascii="Cambria" w:hAnsi="Cambria"/>
                <w:sz w:val="20"/>
                <w:szCs w:val="20"/>
              </w:rPr>
            </w:pPr>
            <w:r w:rsidRPr="00EE40FB">
              <w:rPr>
                <w:rFonts w:ascii="Cambria" w:hAnsi="Cambria"/>
                <w:sz w:val="20"/>
                <w:szCs w:val="20"/>
              </w:rPr>
              <w:t xml:space="preserve">1,000-8,000 </w:t>
            </w:r>
            <w:r w:rsidRPr="00EE40FB">
              <w:rPr>
                <w:rFonts w:ascii="Cambria" w:hAnsi="Cambria"/>
                <w:i/>
                <w:iCs/>
                <w:color w:val="BFBFBF" w:themeColor="background1" w:themeShade="BF"/>
                <w:sz w:val="18"/>
                <w:szCs w:val="18"/>
              </w:rPr>
              <w:t>(analogues)</w:t>
            </w:r>
          </w:p>
        </w:tc>
        <w:tc>
          <w:tcPr>
            <w:tcW w:w="1454" w:type="dxa"/>
            <w:tcBorders>
              <w:top w:val="nil"/>
              <w:left w:val="nil"/>
              <w:bottom w:val="nil"/>
              <w:right w:val="nil"/>
            </w:tcBorders>
          </w:tcPr>
          <w:p w14:paraId="4E9FE6C4" w14:textId="77777777" w:rsidR="0018380A" w:rsidRPr="00EE40FB" w:rsidRDefault="0018380A" w:rsidP="0018380A">
            <w:pPr>
              <w:jc w:val="center"/>
              <w:rPr>
                <w:rFonts w:ascii="Cambria" w:hAnsi="Cambria"/>
                <w:sz w:val="20"/>
                <w:szCs w:val="20"/>
              </w:rPr>
            </w:pPr>
            <w:r w:rsidRPr="00EE40FB">
              <w:rPr>
                <w:rFonts w:ascii="Cambria" w:hAnsi="Cambria"/>
                <w:sz w:val="20"/>
                <w:szCs w:val="20"/>
              </w:rPr>
              <w:t>1,000- 10,000</w:t>
            </w:r>
          </w:p>
          <w:p w14:paraId="6764C252" w14:textId="77777777" w:rsidR="0018380A" w:rsidRPr="00EE40FB" w:rsidRDefault="0018380A" w:rsidP="0018380A">
            <w:pPr>
              <w:jc w:val="center"/>
              <w:rPr>
                <w:rFonts w:ascii="Cambria" w:hAnsi="Cambria"/>
                <w:sz w:val="20"/>
                <w:szCs w:val="20"/>
              </w:rPr>
            </w:pPr>
            <w:r w:rsidRPr="00EE40FB">
              <w:rPr>
                <w:rFonts w:ascii="Cambria" w:hAnsi="Cambria"/>
                <w:i/>
                <w:iCs/>
                <w:color w:val="BFBFBF" w:themeColor="background1" w:themeShade="BF"/>
                <w:sz w:val="18"/>
                <w:szCs w:val="18"/>
              </w:rPr>
              <w:t>(analogues and Bebbington &amp; Jenkins., 2022)</w:t>
            </w:r>
          </w:p>
        </w:tc>
        <w:tc>
          <w:tcPr>
            <w:tcW w:w="1416" w:type="dxa"/>
            <w:tcBorders>
              <w:top w:val="nil"/>
              <w:left w:val="nil"/>
              <w:bottom w:val="nil"/>
              <w:right w:val="nil"/>
            </w:tcBorders>
          </w:tcPr>
          <w:p w14:paraId="1F7FAAD1" w14:textId="77777777" w:rsidR="0018380A" w:rsidRPr="00EE40FB" w:rsidRDefault="0018380A" w:rsidP="0018380A">
            <w:pPr>
              <w:jc w:val="center"/>
              <w:rPr>
                <w:rFonts w:ascii="Cambria" w:hAnsi="Cambria"/>
                <w:sz w:val="20"/>
                <w:szCs w:val="20"/>
              </w:rPr>
            </w:pPr>
            <w:r w:rsidRPr="00EE40FB">
              <w:rPr>
                <w:rFonts w:ascii="Cambria" w:hAnsi="Cambria"/>
                <w:sz w:val="20"/>
                <w:szCs w:val="20"/>
              </w:rPr>
              <w:t xml:space="preserve">10,000-20,000 </w:t>
            </w:r>
            <w:r w:rsidRPr="00EE40FB">
              <w:rPr>
                <w:rFonts w:ascii="Cambria" w:hAnsi="Cambria"/>
                <w:i/>
                <w:iCs/>
                <w:color w:val="BFBFBF" w:themeColor="background1" w:themeShade="BF"/>
                <w:sz w:val="18"/>
                <w:szCs w:val="18"/>
              </w:rPr>
              <w:t>(Bebbington &amp; Jenkins., 2022)</w:t>
            </w:r>
          </w:p>
        </w:tc>
        <w:tc>
          <w:tcPr>
            <w:tcW w:w="1271" w:type="dxa"/>
            <w:tcBorders>
              <w:top w:val="nil"/>
              <w:left w:val="nil"/>
              <w:bottom w:val="nil"/>
              <w:right w:val="nil"/>
            </w:tcBorders>
          </w:tcPr>
          <w:p w14:paraId="7FC8E465" w14:textId="77777777" w:rsidR="0018380A" w:rsidRPr="00EE40FB" w:rsidRDefault="0018380A" w:rsidP="0018380A">
            <w:pPr>
              <w:jc w:val="center"/>
              <w:rPr>
                <w:rFonts w:ascii="Cambria" w:hAnsi="Cambria"/>
                <w:sz w:val="20"/>
                <w:szCs w:val="20"/>
              </w:rPr>
            </w:pPr>
            <w:r w:rsidRPr="00EE40FB">
              <w:rPr>
                <w:rFonts w:ascii="Cambria" w:hAnsi="Cambria"/>
                <w:sz w:val="20"/>
                <w:szCs w:val="20"/>
              </w:rPr>
              <w:t>20,000- 30,000</w:t>
            </w:r>
          </w:p>
          <w:p w14:paraId="58EEFA0A" w14:textId="77777777" w:rsidR="0018380A" w:rsidRPr="00EE40FB" w:rsidRDefault="0018380A" w:rsidP="0018380A">
            <w:pPr>
              <w:jc w:val="center"/>
              <w:rPr>
                <w:rFonts w:ascii="Cambria" w:hAnsi="Cambria"/>
                <w:sz w:val="20"/>
                <w:szCs w:val="20"/>
              </w:rPr>
            </w:pPr>
            <w:r w:rsidRPr="00EE40FB">
              <w:rPr>
                <w:rFonts w:ascii="Cambria" w:hAnsi="Cambria"/>
                <w:i/>
                <w:iCs/>
                <w:color w:val="BFBFBF" w:themeColor="background1" w:themeShade="BF"/>
                <w:sz w:val="18"/>
                <w:szCs w:val="18"/>
              </w:rPr>
              <w:t>(Bebbington &amp; Jenkins., 2022)</w:t>
            </w:r>
          </w:p>
        </w:tc>
      </w:tr>
      <w:tr w:rsidR="0018380A" w:rsidRPr="00EE40FB" w14:paraId="0BF48474" w14:textId="77777777" w:rsidTr="0018380A">
        <w:tc>
          <w:tcPr>
            <w:tcW w:w="2098" w:type="dxa"/>
            <w:tcBorders>
              <w:top w:val="nil"/>
              <w:left w:val="nil"/>
              <w:bottom w:val="nil"/>
              <w:right w:val="nil"/>
            </w:tcBorders>
          </w:tcPr>
          <w:p w14:paraId="5B26B6F4" w14:textId="77777777" w:rsidR="0018380A" w:rsidRPr="00EE40FB" w:rsidRDefault="0018380A" w:rsidP="0018380A">
            <w:pPr>
              <w:jc w:val="center"/>
              <w:rPr>
                <w:rFonts w:ascii="Cambria" w:hAnsi="Cambria"/>
                <w:sz w:val="20"/>
                <w:szCs w:val="20"/>
              </w:rPr>
            </w:pPr>
            <w:r w:rsidRPr="00EE40FB">
              <w:rPr>
                <w:rFonts w:ascii="Cambria" w:hAnsi="Cambria"/>
                <w:sz w:val="20"/>
                <w:szCs w:val="20"/>
              </w:rPr>
              <w:t xml:space="preserve">Particle density </w:t>
            </w:r>
          </w:p>
        </w:tc>
        <w:tc>
          <w:tcPr>
            <w:tcW w:w="7111" w:type="dxa"/>
            <w:gridSpan w:val="5"/>
            <w:tcBorders>
              <w:top w:val="nil"/>
              <w:left w:val="nil"/>
              <w:bottom w:val="nil"/>
              <w:right w:val="nil"/>
            </w:tcBorders>
          </w:tcPr>
          <w:p w14:paraId="7745887A" w14:textId="77777777" w:rsidR="0018380A" w:rsidRPr="00EE40FB" w:rsidRDefault="0018380A" w:rsidP="0018380A">
            <w:pPr>
              <w:jc w:val="center"/>
              <w:rPr>
                <w:rFonts w:ascii="Cambria" w:hAnsi="Cambria"/>
                <w:sz w:val="20"/>
                <w:szCs w:val="20"/>
              </w:rPr>
            </w:pPr>
            <w:r w:rsidRPr="00EE40FB">
              <w:rPr>
                <w:rFonts w:ascii="Cambria" w:hAnsi="Cambria"/>
                <w:sz w:val="20"/>
                <w:szCs w:val="20"/>
              </w:rPr>
              <w:t>935 kg/</w:t>
            </w:r>
            <m:oMath>
              <m:sSup>
                <m:sSupPr>
                  <m:ctrlPr>
                    <w:rPr>
                      <w:rFonts w:ascii="Cambria Math" w:hAnsi="Cambria Math"/>
                      <w:sz w:val="20"/>
                      <w:szCs w:val="20"/>
                    </w:rPr>
                  </m:ctrlPr>
                </m:sSupPr>
                <m:e>
                  <m:r>
                    <m:rPr>
                      <m:sty m:val="p"/>
                    </m:rPr>
                    <w:rPr>
                      <w:rFonts w:ascii="Cambria Math" w:hAnsi="Cambria Math"/>
                      <w:sz w:val="20"/>
                      <w:szCs w:val="20"/>
                    </w:rPr>
                    <m:t>m</m:t>
                  </m:r>
                </m:e>
                <m:sup>
                  <m:r>
                    <m:rPr>
                      <m:sty m:val="p"/>
                    </m:rPr>
                    <w:rPr>
                      <w:rFonts w:ascii="Cambria Math" w:hAnsi="Cambria Math"/>
                      <w:sz w:val="20"/>
                      <w:szCs w:val="20"/>
                    </w:rPr>
                    <m:t>3</m:t>
                  </m:r>
                </m:sup>
              </m:sSup>
            </m:oMath>
          </w:p>
          <w:p w14:paraId="4191A85B" w14:textId="77777777" w:rsidR="0018380A" w:rsidRPr="00EE40FB" w:rsidRDefault="0018380A" w:rsidP="0018380A">
            <w:pPr>
              <w:jc w:val="center"/>
              <w:rPr>
                <w:rFonts w:ascii="Cambria" w:hAnsi="Cambria"/>
                <w:i/>
                <w:iCs/>
                <w:sz w:val="20"/>
                <w:szCs w:val="20"/>
              </w:rPr>
            </w:pPr>
            <w:r w:rsidRPr="00EE40FB">
              <w:rPr>
                <w:rFonts w:ascii="Cambria" w:hAnsi="Cambria"/>
                <w:i/>
                <w:iCs/>
                <w:color w:val="ADADAD" w:themeColor="background2" w:themeShade="BF"/>
                <w:sz w:val="20"/>
                <w:szCs w:val="20"/>
              </w:rPr>
              <w:t>(Fieldwork at Gede, Bear-Crozier et al., 2012)</w:t>
            </w:r>
          </w:p>
        </w:tc>
      </w:tr>
      <w:tr w:rsidR="0018380A" w:rsidRPr="00EE40FB" w14:paraId="3C684C42" w14:textId="77777777" w:rsidTr="0018380A">
        <w:tc>
          <w:tcPr>
            <w:tcW w:w="2098" w:type="dxa"/>
            <w:tcBorders>
              <w:top w:val="nil"/>
              <w:left w:val="nil"/>
              <w:bottom w:val="single" w:sz="4" w:space="0" w:color="auto"/>
              <w:right w:val="nil"/>
            </w:tcBorders>
          </w:tcPr>
          <w:p w14:paraId="3E89FE01" w14:textId="77777777" w:rsidR="0018380A" w:rsidRPr="00EE40FB" w:rsidRDefault="0018380A" w:rsidP="0018380A">
            <w:pPr>
              <w:jc w:val="center"/>
              <w:rPr>
                <w:rFonts w:ascii="Cambria" w:hAnsi="Cambria"/>
                <w:sz w:val="20"/>
                <w:szCs w:val="20"/>
              </w:rPr>
            </w:pPr>
            <w:r w:rsidRPr="00EE40FB">
              <w:rPr>
                <w:rFonts w:ascii="Cambria" w:hAnsi="Cambria"/>
                <w:sz w:val="20"/>
                <w:szCs w:val="20"/>
              </w:rPr>
              <w:t>Particle size (mm)</w:t>
            </w:r>
          </w:p>
        </w:tc>
        <w:tc>
          <w:tcPr>
            <w:tcW w:w="7111" w:type="dxa"/>
            <w:gridSpan w:val="5"/>
            <w:tcBorders>
              <w:top w:val="nil"/>
              <w:left w:val="nil"/>
              <w:bottom w:val="single" w:sz="4" w:space="0" w:color="auto"/>
              <w:right w:val="nil"/>
            </w:tcBorders>
          </w:tcPr>
          <w:p w14:paraId="4EE2381D" w14:textId="77777777" w:rsidR="0018380A" w:rsidRPr="00EE40FB" w:rsidRDefault="0018380A" w:rsidP="0018380A">
            <w:pPr>
              <w:jc w:val="center"/>
              <w:rPr>
                <w:rFonts w:ascii="Cambria" w:hAnsi="Cambria"/>
                <w:sz w:val="20"/>
                <w:szCs w:val="20"/>
              </w:rPr>
            </w:pPr>
            <w:r w:rsidRPr="00EE40FB">
              <w:rPr>
                <w:rFonts w:ascii="Cambria" w:hAnsi="Cambria"/>
                <w:sz w:val="20"/>
                <w:szCs w:val="20"/>
              </w:rPr>
              <w:t xml:space="preserve">16-64 mm </w:t>
            </w:r>
          </w:p>
          <w:p w14:paraId="578FA2E0" w14:textId="77777777" w:rsidR="0018380A" w:rsidRPr="00EE40FB" w:rsidRDefault="0018380A" w:rsidP="0018380A">
            <w:pPr>
              <w:jc w:val="center"/>
              <w:rPr>
                <w:rFonts w:ascii="Cambria" w:hAnsi="Cambria"/>
                <w:i/>
                <w:iCs/>
                <w:sz w:val="20"/>
                <w:szCs w:val="20"/>
              </w:rPr>
            </w:pPr>
            <w:r w:rsidRPr="00EE40FB">
              <w:rPr>
                <w:rFonts w:ascii="Cambria" w:hAnsi="Cambria"/>
                <w:i/>
                <w:iCs/>
                <w:color w:val="A6A6A6" w:themeColor="background1" w:themeShade="A6"/>
                <w:sz w:val="20"/>
                <w:szCs w:val="20"/>
              </w:rPr>
              <w:t>(coarse lapilli)</w:t>
            </w:r>
          </w:p>
        </w:tc>
      </w:tr>
    </w:tbl>
    <w:p w14:paraId="62D45AE4" w14:textId="77777777" w:rsidR="003E68C8" w:rsidRDefault="003E68C8" w:rsidP="0018380A"/>
    <w:p w14:paraId="2C22AD03" w14:textId="77777777" w:rsidR="001A1142" w:rsidRPr="001A1142" w:rsidRDefault="001A1142" w:rsidP="001A1142"/>
    <w:p w14:paraId="37F8BE68" w14:textId="77777777" w:rsidR="001A1142" w:rsidRPr="001A1142" w:rsidRDefault="001A1142" w:rsidP="001A1142"/>
    <w:p w14:paraId="34376BBA" w14:textId="77777777" w:rsidR="001A1142" w:rsidRPr="006723AB" w:rsidRDefault="001A1142" w:rsidP="006723AB">
      <w:pPr>
        <w:jc w:val="both"/>
        <w:rPr>
          <w:rFonts w:ascii="Cambria" w:hAnsi="Cambria"/>
          <w:sz w:val="20"/>
          <w:szCs w:val="20"/>
        </w:rPr>
      </w:pPr>
    </w:p>
    <w:p w14:paraId="65D96678" w14:textId="3BFE99E9" w:rsidR="00CD6872" w:rsidRPr="00F06440" w:rsidRDefault="00CD6872" w:rsidP="00F06440">
      <w:pPr>
        <w:pStyle w:val="p1"/>
        <w:spacing w:line="276" w:lineRule="auto"/>
        <w:jc w:val="both"/>
        <w:rPr>
          <w:rFonts w:ascii="Cambria" w:hAnsi="Cambria"/>
          <w:color w:val="000000" w:themeColor="text1"/>
          <w:sz w:val="20"/>
          <w:szCs w:val="20"/>
        </w:rPr>
      </w:pPr>
      <w:r w:rsidRPr="00F06440">
        <w:rPr>
          <w:rFonts w:ascii="Cambria" w:hAnsi="Cambria"/>
          <w:color w:val="000000" w:themeColor="text1"/>
          <w:sz w:val="20"/>
          <w:szCs w:val="20"/>
        </w:rPr>
        <w:t xml:space="preserve">Bear-Crozier AN, </w:t>
      </w:r>
      <w:proofErr w:type="spellStart"/>
      <w:r w:rsidRPr="00F06440">
        <w:rPr>
          <w:rFonts w:ascii="Cambria" w:hAnsi="Cambria"/>
          <w:color w:val="000000" w:themeColor="text1"/>
          <w:sz w:val="20"/>
          <w:szCs w:val="20"/>
        </w:rPr>
        <w:t>Kartadinata</w:t>
      </w:r>
      <w:proofErr w:type="spellEnd"/>
      <w:r w:rsidRPr="00F06440">
        <w:rPr>
          <w:rFonts w:ascii="Cambria" w:hAnsi="Cambria"/>
          <w:color w:val="000000" w:themeColor="text1"/>
          <w:sz w:val="20"/>
          <w:szCs w:val="20"/>
        </w:rPr>
        <w:t xml:space="preserve"> N, </w:t>
      </w:r>
      <w:proofErr w:type="spellStart"/>
      <w:r w:rsidRPr="00F06440">
        <w:rPr>
          <w:rFonts w:ascii="Cambria" w:hAnsi="Cambria"/>
          <w:color w:val="000000" w:themeColor="text1"/>
          <w:sz w:val="20"/>
          <w:szCs w:val="20"/>
        </w:rPr>
        <w:t>Heriwaseso</w:t>
      </w:r>
      <w:proofErr w:type="spellEnd"/>
      <w:r w:rsidRPr="00F06440">
        <w:rPr>
          <w:rFonts w:ascii="Cambria" w:hAnsi="Cambria"/>
          <w:color w:val="000000" w:themeColor="text1"/>
          <w:sz w:val="20"/>
          <w:szCs w:val="20"/>
        </w:rPr>
        <w:t xml:space="preserve"> A, Nielsen O (2012) Development of python-FALL3D: A modified procedure for modelling volcanic ash dispersal in the Asia-Pacific region. Nat Hazards </w:t>
      </w:r>
      <w:r w:rsidRPr="00F06440">
        <w:rPr>
          <w:rStyle w:val="s1"/>
          <w:rFonts w:ascii="Cambria" w:eastAsiaTheme="majorEastAsia" w:hAnsi="Cambria"/>
          <w:color w:val="000000" w:themeColor="text1"/>
          <w:sz w:val="20"/>
          <w:szCs w:val="20"/>
        </w:rPr>
        <w:t>64</w:t>
      </w:r>
      <w:r w:rsidRPr="00F06440">
        <w:rPr>
          <w:rFonts w:ascii="Cambria" w:hAnsi="Cambria"/>
          <w:color w:val="000000" w:themeColor="text1"/>
          <w:sz w:val="20"/>
          <w:szCs w:val="20"/>
        </w:rPr>
        <w:t xml:space="preserve">(1): 821–838. </w:t>
      </w:r>
      <w:hyperlink r:id="rId5" w:history="1">
        <w:r w:rsidRPr="00F06440">
          <w:rPr>
            <w:rStyle w:val="Hyperlink"/>
            <w:rFonts w:ascii="Cambria" w:hAnsi="Cambria"/>
            <w:color w:val="000000" w:themeColor="text1"/>
            <w:sz w:val="20"/>
            <w:szCs w:val="20"/>
            <w:u w:val="none"/>
          </w:rPr>
          <w:t>https://doi.org/10.1007/s11069-012-0273-7</w:t>
        </w:r>
      </w:hyperlink>
    </w:p>
    <w:p w14:paraId="04B801E1" w14:textId="16445987" w:rsidR="00BF17E8" w:rsidRPr="00F06440" w:rsidRDefault="00BF17E8" w:rsidP="00F06440">
      <w:pPr>
        <w:spacing w:line="276" w:lineRule="auto"/>
        <w:jc w:val="both"/>
        <w:rPr>
          <w:rFonts w:ascii="Cambria" w:hAnsi="Cambria"/>
          <w:sz w:val="20"/>
          <w:szCs w:val="20"/>
        </w:rPr>
      </w:pPr>
      <w:r w:rsidRPr="00F06440">
        <w:rPr>
          <w:rFonts w:ascii="Cambria" w:hAnsi="Cambria"/>
          <w:sz w:val="20"/>
          <w:szCs w:val="20"/>
        </w:rPr>
        <w:t>Bebbington, M.S., Jenkins, S.F</w:t>
      </w:r>
      <w:r w:rsidR="00396874" w:rsidRPr="00F06440">
        <w:rPr>
          <w:rFonts w:ascii="Cambria" w:hAnsi="Cambria"/>
          <w:sz w:val="20"/>
          <w:szCs w:val="20"/>
        </w:rPr>
        <w:t xml:space="preserve"> (</w:t>
      </w:r>
      <w:r w:rsidRPr="00F06440">
        <w:rPr>
          <w:rFonts w:ascii="Cambria" w:hAnsi="Cambria"/>
          <w:sz w:val="20"/>
          <w:szCs w:val="20"/>
        </w:rPr>
        <w:t>2022</w:t>
      </w:r>
      <w:r w:rsidR="00396874" w:rsidRPr="00F06440">
        <w:rPr>
          <w:rFonts w:ascii="Cambria" w:hAnsi="Cambria"/>
          <w:sz w:val="20"/>
          <w:szCs w:val="20"/>
        </w:rPr>
        <w:t>)</w:t>
      </w:r>
      <w:r w:rsidRPr="00F06440">
        <w:rPr>
          <w:rFonts w:ascii="Cambria" w:hAnsi="Cambria"/>
          <w:sz w:val="20"/>
          <w:szCs w:val="20"/>
        </w:rPr>
        <w:t xml:space="preserve"> Intra-Eruption Forecasting Using Analogue Volcano and Eruption Sets. Journal of Geophysical Research: Solid Earth 127. </w:t>
      </w:r>
      <w:hyperlink r:id="rId6" w:history="1">
        <w:r w:rsidRPr="00F06440">
          <w:rPr>
            <w:rStyle w:val="Hyperlink"/>
            <w:rFonts w:ascii="Cambria" w:hAnsi="Cambria"/>
            <w:sz w:val="20"/>
            <w:szCs w:val="20"/>
          </w:rPr>
          <w:t>https://doi.org/10.1029/2022JB024343</w:t>
        </w:r>
      </w:hyperlink>
    </w:p>
    <w:p w14:paraId="7A850739" w14:textId="77777777" w:rsidR="00754D9D" w:rsidRPr="00F06440" w:rsidRDefault="00754D9D" w:rsidP="00F06440">
      <w:pPr>
        <w:spacing w:line="276" w:lineRule="auto"/>
        <w:jc w:val="both"/>
        <w:rPr>
          <w:rFonts w:ascii="Cambria" w:hAnsi="Cambria"/>
          <w:sz w:val="20"/>
          <w:szCs w:val="20"/>
        </w:rPr>
      </w:pPr>
    </w:p>
    <w:p w14:paraId="32A62C2B" w14:textId="3F891C67" w:rsidR="001A1142" w:rsidRPr="00F06440" w:rsidRDefault="001A1142" w:rsidP="00F06440">
      <w:pPr>
        <w:spacing w:line="276" w:lineRule="auto"/>
        <w:jc w:val="both"/>
        <w:rPr>
          <w:rFonts w:ascii="Cambria" w:hAnsi="Cambria"/>
          <w:sz w:val="20"/>
          <w:szCs w:val="20"/>
        </w:rPr>
      </w:pPr>
      <w:r w:rsidRPr="00F06440">
        <w:rPr>
          <w:rFonts w:ascii="Cambria" w:hAnsi="Cambria"/>
          <w:sz w:val="20"/>
          <w:szCs w:val="20"/>
        </w:rPr>
        <w:t xml:space="preserve">Rossi, E., Bonadonna, C., </w:t>
      </w:r>
      <w:proofErr w:type="spellStart"/>
      <w:r w:rsidRPr="00F06440">
        <w:rPr>
          <w:rFonts w:ascii="Cambria" w:hAnsi="Cambria"/>
          <w:sz w:val="20"/>
          <w:szCs w:val="20"/>
        </w:rPr>
        <w:t>Degruyter</w:t>
      </w:r>
      <w:proofErr w:type="spellEnd"/>
      <w:r w:rsidRPr="00F06440">
        <w:rPr>
          <w:rFonts w:ascii="Cambria" w:hAnsi="Cambria"/>
          <w:sz w:val="20"/>
          <w:szCs w:val="20"/>
        </w:rPr>
        <w:t xml:space="preserve">, W </w:t>
      </w:r>
      <w:r w:rsidR="00396874" w:rsidRPr="00F06440">
        <w:rPr>
          <w:rFonts w:ascii="Cambria" w:hAnsi="Cambria"/>
          <w:sz w:val="20"/>
          <w:szCs w:val="20"/>
        </w:rPr>
        <w:t>(</w:t>
      </w:r>
      <w:r w:rsidRPr="00F06440">
        <w:rPr>
          <w:rFonts w:ascii="Cambria" w:hAnsi="Cambria"/>
          <w:sz w:val="20"/>
          <w:szCs w:val="20"/>
        </w:rPr>
        <w:t>2019</w:t>
      </w:r>
      <w:r w:rsidR="00396874" w:rsidRPr="00F06440">
        <w:rPr>
          <w:rFonts w:ascii="Cambria" w:hAnsi="Cambria"/>
          <w:sz w:val="20"/>
          <w:szCs w:val="20"/>
        </w:rPr>
        <w:t>)</w:t>
      </w:r>
      <w:r w:rsidRPr="00F06440">
        <w:rPr>
          <w:rFonts w:ascii="Cambria" w:hAnsi="Cambria"/>
          <w:sz w:val="20"/>
          <w:szCs w:val="20"/>
        </w:rPr>
        <w:t xml:space="preserve"> A new strategy for the estimation of plume height from clast dispersal in various atmospheric and eruptive conditions. Earth and Planetary Science Letters 505, 1–12. </w:t>
      </w:r>
      <w:hyperlink r:id="rId7" w:history="1">
        <w:r w:rsidRPr="00F06440">
          <w:rPr>
            <w:rStyle w:val="Hyperlink"/>
            <w:rFonts w:ascii="Cambria" w:hAnsi="Cambria"/>
            <w:sz w:val="20"/>
            <w:szCs w:val="20"/>
          </w:rPr>
          <w:t>https://doi.org/10.1016/j.epsl.2018.10.007</w:t>
        </w:r>
      </w:hyperlink>
    </w:p>
    <w:p w14:paraId="421C4E9C" w14:textId="2BF93DA5" w:rsidR="001A1142" w:rsidRPr="001A1142" w:rsidRDefault="001A1142" w:rsidP="001A1142">
      <w:pPr>
        <w:tabs>
          <w:tab w:val="left" w:pos="1186"/>
        </w:tabs>
      </w:pPr>
    </w:p>
    <w:p w14:paraId="5963EFDD" w14:textId="77777777" w:rsidR="001A1142" w:rsidRPr="001A1142" w:rsidRDefault="001A1142" w:rsidP="001A1142"/>
    <w:p w14:paraId="14C66494" w14:textId="77777777" w:rsidR="001A1142" w:rsidRPr="001A1142" w:rsidRDefault="001A1142" w:rsidP="001A1142"/>
    <w:p w14:paraId="06F72640" w14:textId="77777777" w:rsidR="001A1142" w:rsidRPr="001A1142" w:rsidRDefault="001A1142" w:rsidP="001A1142"/>
    <w:p w14:paraId="0D43C79F" w14:textId="77777777" w:rsidR="001A1142" w:rsidRPr="001A1142" w:rsidRDefault="001A1142" w:rsidP="001A1142"/>
    <w:p w14:paraId="50DD7BF4" w14:textId="77777777" w:rsidR="001A1142" w:rsidRPr="001A1142" w:rsidRDefault="001A1142" w:rsidP="001A1142"/>
    <w:p w14:paraId="172A64E1" w14:textId="77777777" w:rsidR="001A1142" w:rsidRPr="001A1142" w:rsidRDefault="001A1142" w:rsidP="001A1142"/>
    <w:p w14:paraId="763E3AAB" w14:textId="77777777" w:rsidR="001A1142" w:rsidRPr="001A1142" w:rsidRDefault="001A1142" w:rsidP="001A1142"/>
    <w:p w14:paraId="3F89832E" w14:textId="77777777" w:rsidR="001A1142" w:rsidRPr="001A1142" w:rsidRDefault="001A1142" w:rsidP="001A1142"/>
    <w:p w14:paraId="0259949E" w14:textId="77777777" w:rsidR="001A1142" w:rsidRPr="001A1142" w:rsidRDefault="001A1142" w:rsidP="001A1142"/>
    <w:p w14:paraId="4532CC0E" w14:textId="77777777" w:rsidR="001A1142" w:rsidRPr="001A1142" w:rsidRDefault="001A1142" w:rsidP="001A1142"/>
    <w:p w14:paraId="33A90D82" w14:textId="77777777" w:rsidR="001A1142" w:rsidRPr="001A1142" w:rsidRDefault="001A1142" w:rsidP="001A1142"/>
    <w:sectPr w:rsidR="001A1142" w:rsidRPr="001A1142" w:rsidSect="005D2DE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DaunPenh">
    <w:panose1 w:val="01010101010101010101"/>
    <w:charset w:val="00"/>
    <w:family w:val="auto"/>
    <w:pitch w:val="variable"/>
    <w:sig w:usb0="80000003" w:usb1="00000000" w:usb2="00010000" w:usb3="00000000" w:csb0="00000001" w:csb1="00000000"/>
  </w:font>
  <w:font w:name="Cambria Math">
    <w:panose1 w:val="02040503050406030204"/>
    <w:charset w:val="00"/>
    <w:family w:val="roman"/>
    <w:pitch w:val="variable"/>
    <w:sig w:usb0="E00002FF" w:usb1="420024FF" w:usb2="00000000" w:usb3="00000000" w:csb0="0000019F" w:csb1="00000000"/>
  </w:font>
  <w:font w:name="Times">
    <w:altName w:val="Times New Roman"/>
    <w:panose1 w:val="020B0604020202020204"/>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9E5"/>
    <w:rsid w:val="00011EDD"/>
    <w:rsid w:val="0018380A"/>
    <w:rsid w:val="001A092A"/>
    <w:rsid w:val="001A1142"/>
    <w:rsid w:val="00396874"/>
    <w:rsid w:val="003D39E5"/>
    <w:rsid w:val="003E68C8"/>
    <w:rsid w:val="0040416A"/>
    <w:rsid w:val="005D2DE9"/>
    <w:rsid w:val="005D424D"/>
    <w:rsid w:val="00627A13"/>
    <w:rsid w:val="006723AB"/>
    <w:rsid w:val="00737EE4"/>
    <w:rsid w:val="00754D9D"/>
    <w:rsid w:val="007B36A4"/>
    <w:rsid w:val="00834E2F"/>
    <w:rsid w:val="0084799C"/>
    <w:rsid w:val="008A48E0"/>
    <w:rsid w:val="00A26371"/>
    <w:rsid w:val="00BB1004"/>
    <w:rsid w:val="00BF17E8"/>
    <w:rsid w:val="00BF3C31"/>
    <w:rsid w:val="00CD6872"/>
    <w:rsid w:val="00DF12CA"/>
    <w:rsid w:val="00E33FA1"/>
    <w:rsid w:val="00F06440"/>
    <w:rsid w:val="00FE7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734093"/>
  <w15:chartTrackingRefBased/>
  <w15:docId w15:val="{78769C59-DC95-5642-9EDA-81497BF4B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9E5"/>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D39E5"/>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3D39E5"/>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3D39E5"/>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3D39E5"/>
    <w:pPr>
      <w:keepNext/>
      <w:keepLines/>
      <w:spacing w:before="80" w:after="40"/>
      <w:outlineLvl w:val="3"/>
    </w:pPr>
    <w:rPr>
      <w:rFonts w:asciiTheme="minorHAnsi" w:eastAsiaTheme="majorEastAsia" w:hAnsiTheme="minorHAnsi" w:cstheme="majorBidi"/>
      <w:i/>
      <w:iCs/>
      <w:color w:val="0F4761" w:themeColor="accent1" w:themeShade="BF"/>
      <w:kern w:val="2"/>
      <w:lang w:val="en-GB"/>
      <w14:ligatures w14:val="standardContextual"/>
    </w:rPr>
  </w:style>
  <w:style w:type="paragraph" w:styleId="Heading5">
    <w:name w:val="heading 5"/>
    <w:basedOn w:val="Normal"/>
    <w:next w:val="Normal"/>
    <w:link w:val="Heading5Char"/>
    <w:uiPriority w:val="9"/>
    <w:semiHidden/>
    <w:unhideWhenUsed/>
    <w:qFormat/>
    <w:rsid w:val="003D39E5"/>
    <w:pPr>
      <w:keepNext/>
      <w:keepLines/>
      <w:spacing w:before="80" w:after="40"/>
      <w:outlineLvl w:val="4"/>
    </w:pPr>
    <w:rPr>
      <w:rFonts w:asciiTheme="minorHAnsi" w:eastAsiaTheme="majorEastAsia" w:hAnsiTheme="minorHAnsi" w:cstheme="majorBidi"/>
      <w:color w:val="0F4761" w:themeColor="accent1" w:themeShade="BF"/>
      <w:kern w:val="2"/>
      <w:lang w:val="en-GB"/>
      <w14:ligatures w14:val="standardContextual"/>
    </w:rPr>
  </w:style>
  <w:style w:type="paragraph" w:styleId="Heading6">
    <w:name w:val="heading 6"/>
    <w:basedOn w:val="Normal"/>
    <w:next w:val="Normal"/>
    <w:link w:val="Heading6Char"/>
    <w:uiPriority w:val="9"/>
    <w:semiHidden/>
    <w:unhideWhenUsed/>
    <w:qFormat/>
    <w:rsid w:val="003D39E5"/>
    <w:pPr>
      <w:keepNext/>
      <w:keepLines/>
      <w:spacing w:before="40"/>
      <w:outlineLvl w:val="5"/>
    </w:pPr>
    <w:rPr>
      <w:rFonts w:asciiTheme="minorHAnsi" w:eastAsiaTheme="majorEastAsia" w:hAnsiTheme="minorHAnsi" w:cstheme="majorBidi"/>
      <w:i/>
      <w:iCs/>
      <w:color w:val="595959" w:themeColor="text1" w:themeTint="A6"/>
      <w:kern w:val="2"/>
      <w:lang w:val="en-GB"/>
      <w14:ligatures w14:val="standardContextual"/>
    </w:rPr>
  </w:style>
  <w:style w:type="paragraph" w:styleId="Heading7">
    <w:name w:val="heading 7"/>
    <w:basedOn w:val="Normal"/>
    <w:next w:val="Normal"/>
    <w:link w:val="Heading7Char"/>
    <w:uiPriority w:val="9"/>
    <w:semiHidden/>
    <w:unhideWhenUsed/>
    <w:qFormat/>
    <w:rsid w:val="003D39E5"/>
    <w:pPr>
      <w:keepNext/>
      <w:keepLines/>
      <w:spacing w:before="40"/>
      <w:outlineLvl w:val="6"/>
    </w:pPr>
    <w:rPr>
      <w:rFonts w:asciiTheme="minorHAnsi" w:eastAsiaTheme="majorEastAsia" w:hAnsiTheme="minorHAnsi" w:cstheme="majorBidi"/>
      <w:color w:val="595959" w:themeColor="text1" w:themeTint="A6"/>
      <w:kern w:val="2"/>
      <w:lang w:val="en-GB"/>
      <w14:ligatures w14:val="standardContextual"/>
    </w:rPr>
  </w:style>
  <w:style w:type="paragraph" w:styleId="Heading8">
    <w:name w:val="heading 8"/>
    <w:basedOn w:val="Normal"/>
    <w:next w:val="Normal"/>
    <w:link w:val="Heading8Char"/>
    <w:uiPriority w:val="9"/>
    <w:semiHidden/>
    <w:unhideWhenUsed/>
    <w:qFormat/>
    <w:rsid w:val="003D39E5"/>
    <w:pPr>
      <w:keepNext/>
      <w:keepLines/>
      <w:outlineLvl w:val="7"/>
    </w:pPr>
    <w:rPr>
      <w:rFonts w:asciiTheme="minorHAnsi" w:eastAsiaTheme="majorEastAsia" w:hAnsiTheme="minorHAnsi" w:cstheme="majorBidi"/>
      <w:i/>
      <w:iCs/>
      <w:color w:val="272727" w:themeColor="text1" w:themeTint="D8"/>
      <w:kern w:val="2"/>
      <w:lang w:val="en-GB"/>
      <w14:ligatures w14:val="standardContextual"/>
    </w:rPr>
  </w:style>
  <w:style w:type="paragraph" w:styleId="Heading9">
    <w:name w:val="heading 9"/>
    <w:basedOn w:val="Normal"/>
    <w:next w:val="Normal"/>
    <w:link w:val="Heading9Char"/>
    <w:uiPriority w:val="9"/>
    <w:semiHidden/>
    <w:unhideWhenUsed/>
    <w:qFormat/>
    <w:rsid w:val="003D39E5"/>
    <w:pPr>
      <w:keepNext/>
      <w:keepLines/>
      <w:outlineLvl w:val="8"/>
    </w:pPr>
    <w:rPr>
      <w:rFonts w:asciiTheme="minorHAnsi" w:eastAsiaTheme="majorEastAsia" w:hAnsiTheme="minorHAnsi" w:cstheme="majorBidi"/>
      <w:color w:val="272727" w:themeColor="text1" w:themeTint="D8"/>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35"/>
    <w:unhideWhenUsed/>
    <w:qFormat/>
    <w:rsid w:val="001A092A"/>
    <w:pPr>
      <w:spacing w:before="120" w:after="320"/>
    </w:pPr>
    <w:rPr>
      <w:rFonts w:ascii="Cambria" w:hAnsi="Cambria"/>
      <w:i/>
      <w:iCs/>
      <w:kern w:val="2"/>
      <w:szCs w:val="18"/>
      <w:lang w:val="en-GB" w:eastAsia="en-GB"/>
      <w14:ligatures w14:val="standardContextual"/>
    </w:rPr>
  </w:style>
  <w:style w:type="paragraph" w:styleId="TableofFigures">
    <w:name w:val="table of figures"/>
    <w:basedOn w:val="Normal"/>
    <w:next w:val="Normal"/>
    <w:uiPriority w:val="99"/>
    <w:unhideWhenUsed/>
    <w:rsid w:val="007B36A4"/>
    <w:pPr>
      <w:ind w:left="440" w:hanging="440"/>
      <w:jc w:val="both"/>
    </w:pPr>
    <w:rPr>
      <w:rFonts w:ascii="DaunPenh" w:eastAsiaTheme="minorEastAsia" w:hAnsi="DaunPenh" w:cstheme="minorHAnsi"/>
      <w:bCs/>
      <w:sz w:val="36"/>
      <w:szCs w:val="20"/>
      <w:lang w:val="en-SG" w:eastAsia="zh-CN"/>
    </w:rPr>
  </w:style>
  <w:style w:type="character" w:customStyle="1" w:styleId="Heading1Char">
    <w:name w:val="Heading 1 Char"/>
    <w:basedOn w:val="DefaultParagraphFont"/>
    <w:link w:val="Heading1"/>
    <w:uiPriority w:val="9"/>
    <w:rsid w:val="003D39E5"/>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3D39E5"/>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3D39E5"/>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3D39E5"/>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3D39E5"/>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3D39E5"/>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3D39E5"/>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3D39E5"/>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3D39E5"/>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3D39E5"/>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3D39E5"/>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3D39E5"/>
    <w:pPr>
      <w:numPr>
        <w:ilvl w:val="1"/>
      </w:numPr>
      <w:spacing w:after="160"/>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3D39E5"/>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3D39E5"/>
    <w:pPr>
      <w:spacing w:before="160" w:after="160"/>
      <w:jc w:val="center"/>
    </w:pPr>
    <w:rPr>
      <w:rFonts w:asciiTheme="minorHAnsi" w:eastAsiaTheme="minorHAnsi" w:hAnsiTheme="minorHAnsi" w:cstheme="minorBidi"/>
      <w:i/>
      <w:iCs/>
      <w:color w:val="404040" w:themeColor="text1" w:themeTint="BF"/>
      <w:kern w:val="2"/>
      <w:lang w:val="en-GB"/>
      <w14:ligatures w14:val="standardContextual"/>
    </w:rPr>
  </w:style>
  <w:style w:type="character" w:customStyle="1" w:styleId="QuoteChar">
    <w:name w:val="Quote Char"/>
    <w:basedOn w:val="DefaultParagraphFont"/>
    <w:link w:val="Quote"/>
    <w:uiPriority w:val="29"/>
    <w:rsid w:val="003D39E5"/>
    <w:rPr>
      <w:i/>
      <w:iCs/>
      <w:color w:val="404040" w:themeColor="text1" w:themeTint="BF"/>
      <w:lang w:val="en-GB"/>
    </w:rPr>
  </w:style>
  <w:style w:type="paragraph" w:styleId="ListParagraph">
    <w:name w:val="List Paragraph"/>
    <w:basedOn w:val="Normal"/>
    <w:uiPriority w:val="34"/>
    <w:qFormat/>
    <w:rsid w:val="003D39E5"/>
    <w:pPr>
      <w:ind w:left="720"/>
      <w:contextualSpacing/>
    </w:pPr>
    <w:rPr>
      <w:rFonts w:asciiTheme="minorHAnsi" w:eastAsiaTheme="minorHAnsi" w:hAnsiTheme="minorHAnsi" w:cstheme="minorBidi"/>
      <w:kern w:val="2"/>
      <w:lang w:val="en-GB"/>
      <w14:ligatures w14:val="standardContextual"/>
    </w:rPr>
  </w:style>
  <w:style w:type="character" w:styleId="IntenseEmphasis">
    <w:name w:val="Intense Emphasis"/>
    <w:basedOn w:val="DefaultParagraphFont"/>
    <w:uiPriority w:val="21"/>
    <w:qFormat/>
    <w:rsid w:val="003D39E5"/>
    <w:rPr>
      <w:i/>
      <w:iCs/>
      <w:color w:val="0F4761" w:themeColor="accent1" w:themeShade="BF"/>
    </w:rPr>
  </w:style>
  <w:style w:type="paragraph" w:styleId="IntenseQuote">
    <w:name w:val="Intense Quote"/>
    <w:basedOn w:val="Normal"/>
    <w:next w:val="Normal"/>
    <w:link w:val="IntenseQuoteChar"/>
    <w:uiPriority w:val="30"/>
    <w:qFormat/>
    <w:rsid w:val="003D39E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en-GB"/>
      <w14:ligatures w14:val="standardContextual"/>
    </w:rPr>
  </w:style>
  <w:style w:type="character" w:customStyle="1" w:styleId="IntenseQuoteChar">
    <w:name w:val="Intense Quote Char"/>
    <w:basedOn w:val="DefaultParagraphFont"/>
    <w:link w:val="IntenseQuote"/>
    <w:uiPriority w:val="30"/>
    <w:rsid w:val="003D39E5"/>
    <w:rPr>
      <w:i/>
      <w:iCs/>
      <w:color w:val="0F4761" w:themeColor="accent1" w:themeShade="BF"/>
      <w:lang w:val="en-GB"/>
    </w:rPr>
  </w:style>
  <w:style w:type="character" w:styleId="IntenseReference">
    <w:name w:val="Intense Reference"/>
    <w:basedOn w:val="DefaultParagraphFont"/>
    <w:uiPriority w:val="32"/>
    <w:qFormat/>
    <w:rsid w:val="003D39E5"/>
    <w:rPr>
      <w:b/>
      <w:bCs/>
      <w:smallCaps/>
      <w:color w:val="0F4761" w:themeColor="accent1" w:themeShade="BF"/>
      <w:spacing w:val="5"/>
    </w:rPr>
  </w:style>
  <w:style w:type="table" w:styleId="TableGrid">
    <w:name w:val="Table Grid"/>
    <w:basedOn w:val="TableNormal"/>
    <w:uiPriority w:val="39"/>
    <w:rsid w:val="003D39E5"/>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380A"/>
    <w:rPr>
      <w:color w:val="467886" w:themeColor="hyperlink"/>
      <w:u w:val="single"/>
    </w:rPr>
  </w:style>
  <w:style w:type="paragraph" w:customStyle="1" w:styleId="p1">
    <w:name w:val="p1"/>
    <w:basedOn w:val="Normal"/>
    <w:rsid w:val="00754D9D"/>
    <w:pPr>
      <w:spacing w:before="100" w:beforeAutospacing="1" w:after="100" w:afterAutospacing="1"/>
    </w:pPr>
  </w:style>
  <w:style w:type="character" w:customStyle="1" w:styleId="s1">
    <w:name w:val="s1"/>
    <w:basedOn w:val="DefaultParagraphFont"/>
    <w:rsid w:val="00754D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1016/j.epsl.2018.10.00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29/2022JB024343" TargetMode="External"/><Relationship Id="rId5" Type="http://schemas.openxmlformats.org/officeDocument/2006/relationships/hyperlink" Target="https://doi.org/10.1007/s11069-012-0273-7" TargetMode="External"/><Relationship Id="rId4" Type="http://schemas.openxmlformats.org/officeDocument/2006/relationships/hyperlink" Target="mailto:eleanorm001@e.ntu.edu.s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435</Words>
  <Characters>2484</Characters>
  <Application>Microsoft Office Word</Application>
  <DocSecurity>0</DocSecurity>
  <Lines>20</Lines>
  <Paragraphs>5</Paragraphs>
  <ScaleCrop>false</ScaleCrop>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#TENNANT ELEANOR MARY#</dc:creator>
  <cp:keywords/>
  <dc:description/>
  <cp:lastModifiedBy>#TENNANT ELEANOR MARY#</cp:lastModifiedBy>
  <cp:revision>13</cp:revision>
  <dcterms:created xsi:type="dcterms:W3CDTF">2025-09-10T08:43:00Z</dcterms:created>
  <dcterms:modified xsi:type="dcterms:W3CDTF">2025-10-18T09:12:00Z</dcterms:modified>
</cp:coreProperties>
</file>