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CA627E" w14:textId="066E840F" w:rsidR="00145DBE" w:rsidRDefault="00145DBE" w:rsidP="00145DBE">
      <w:pPr>
        <w:jc w:val="center"/>
      </w:pPr>
      <w:r>
        <w:rPr>
          <w:b/>
        </w:rPr>
        <w:t xml:space="preserve">Supplementary </w:t>
      </w:r>
      <w:r w:rsidR="00D819BE">
        <w:rPr>
          <w:b/>
        </w:rPr>
        <w:t>Information</w:t>
      </w:r>
      <w:r w:rsidRPr="00D819BE">
        <w:rPr>
          <w:b/>
          <w:bCs/>
        </w:rPr>
        <w:t xml:space="preserve"> </w:t>
      </w:r>
      <w:r w:rsidR="00D819BE" w:rsidRPr="00D819BE">
        <w:rPr>
          <w:b/>
          <w:bCs/>
        </w:rPr>
        <w:t>for</w:t>
      </w:r>
    </w:p>
    <w:p w14:paraId="02E2FC71" w14:textId="77777777" w:rsidR="00145DBE" w:rsidRDefault="00145DBE" w:rsidP="00145DBE">
      <w:pPr>
        <w:jc w:val="center"/>
      </w:pPr>
    </w:p>
    <w:p w14:paraId="7CFBD797" w14:textId="15021608" w:rsidR="004C109E" w:rsidRPr="00145DBE" w:rsidRDefault="00D819BE" w:rsidP="00145DBE">
      <w:pPr>
        <w:jc w:val="center"/>
      </w:pPr>
      <w:r w:rsidRPr="00D819BE">
        <w:rPr>
          <w:b/>
        </w:rPr>
        <w:t>Explaining the origin of deposit-derived pyroclastic density currents at persistently active volcanoes</w:t>
      </w:r>
    </w:p>
    <w:p w14:paraId="648AA8E0" w14:textId="77777777" w:rsidR="004C109E" w:rsidRDefault="004C109E" w:rsidP="00145DBE">
      <w:pPr>
        <w:jc w:val="center"/>
        <w:rPr>
          <w:b/>
        </w:rPr>
      </w:pPr>
    </w:p>
    <w:p w14:paraId="367D7E4E" w14:textId="77777777" w:rsidR="004C109E" w:rsidRPr="00145DBE" w:rsidRDefault="00000000" w:rsidP="00145DBE">
      <w:pPr>
        <w:jc w:val="center"/>
        <w:rPr>
          <w:lang w:val="it-IT"/>
        </w:rPr>
      </w:pPr>
      <w:r w:rsidRPr="00145DBE">
        <w:rPr>
          <w:lang w:val="it-IT"/>
        </w:rPr>
        <w:t>Federico Di Traglia</w:t>
      </w:r>
      <w:r w:rsidRPr="00145DBE">
        <w:rPr>
          <w:vertAlign w:val="superscript"/>
          <w:lang w:val="it-IT"/>
        </w:rPr>
        <w:t>1</w:t>
      </w:r>
      <w:r w:rsidRPr="00145DBE">
        <w:rPr>
          <w:lang w:val="it-IT"/>
        </w:rPr>
        <w:t>, Alessia Falasconi</w:t>
      </w:r>
      <w:r w:rsidRPr="00145DBE">
        <w:rPr>
          <w:vertAlign w:val="superscript"/>
          <w:lang w:val="it-IT"/>
        </w:rPr>
        <w:t>1</w:t>
      </w:r>
      <w:r w:rsidRPr="00145DBE">
        <w:rPr>
          <w:lang w:val="it-IT"/>
        </w:rPr>
        <w:t>, Lorenzo Borselli</w:t>
      </w:r>
      <w:r w:rsidRPr="00145DBE">
        <w:rPr>
          <w:vertAlign w:val="superscript"/>
          <w:lang w:val="it-IT"/>
        </w:rPr>
        <w:t>2,3,1</w:t>
      </w:r>
    </w:p>
    <w:p w14:paraId="07634384" w14:textId="77777777" w:rsidR="004C109E" w:rsidRPr="00145DBE" w:rsidRDefault="004C109E" w:rsidP="00145DBE">
      <w:pPr>
        <w:jc w:val="center"/>
        <w:rPr>
          <w:lang w:val="it-IT"/>
        </w:rPr>
      </w:pPr>
    </w:p>
    <w:p w14:paraId="0621D5E1" w14:textId="77777777" w:rsidR="004C109E" w:rsidRPr="00145DBE" w:rsidRDefault="00000000" w:rsidP="00145DBE">
      <w:pPr>
        <w:numPr>
          <w:ilvl w:val="0"/>
          <w:numId w:val="11"/>
        </w:numPr>
        <w:pBdr>
          <w:top w:val="nil"/>
          <w:left w:val="nil"/>
          <w:bottom w:val="nil"/>
          <w:right w:val="nil"/>
          <w:between w:val="nil"/>
        </w:pBdr>
        <w:jc w:val="center"/>
        <w:rPr>
          <w:lang w:val="it-IT"/>
        </w:rPr>
      </w:pPr>
      <w:r w:rsidRPr="00145DBE">
        <w:rPr>
          <w:lang w:val="it-IT"/>
        </w:rPr>
        <w:t>Istituto Nazionale di Geofisica e Vulcanologia, Osservatorio Vesuviano, Via Diocleziano 328, 80124, Napoli (</w:t>
      </w:r>
      <w:proofErr w:type="spellStart"/>
      <w:r w:rsidRPr="00145DBE">
        <w:rPr>
          <w:lang w:val="it-IT"/>
        </w:rPr>
        <w:t>Italy</w:t>
      </w:r>
      <w:proofErr w:type="spellEnd"/>
      <w:r w:rsidRPr="00145DBE">
        <w:rPr>
          <w:lang w:val="it-IT"/>
        </w:rPr>
        <w:t>)</w:t>
      </w:r>
    </w:p>
    <w:p w14:paraId="5B16D1AF" w14:textId="77777777" w:rsidR="004C109E" w:rsidRDefault="00000000" w:rsidP="00145DBE">
      <w:pPr>
        <w:numPr>
          <w:ilvl w:val="0"/>
          <w:numId w:val="11"/>
        </w:numPr>
        <w:pBdr>
          <w:top w:val="nil"/>
          <w:left w:val="nil"/>
          <w:bottom w:val="nil"/>
          <w:right w:val="nil"/>
          <w:between w:val="nil"/>
        </w:pBdr>
        <w:jc w:val="center"/>
      </w:pPr>
      <w:proofErr w:type="spellStart"/>
      <w:r w:rsidRPr="00145DBE">
        <w:rPr>
          <w:lang w:val="it-IT"/>
        </w:rPr>
        <w:t>Instituto</w:t>
      </w:r>
      <w:proofErr w:type="spellEnd"/>
      <w:r w:rsidRPr="00145DBE">
        <w:rPr>
          <w:lang w:val="it-IT"/>
        </w:rPr>
        <w:t xml:space="preserve"> de Geologia, </w:t>
      </w:r>
      <w:proofErr w:type="spellStart"/>
      <w:r w:rsidRPr="00145DBE">
        <w:rPr>
          <w:lang w:val="it-IT"/>
        </w:rPr>
        <w:t>Facultad</w:t>
      </w:r>
      <w:proofErr w:type="spellEnd"/>
      <w:r w:rsidRPr="00145DBE">
        <w:rPr>
          <w:lang w:val="it-IT"/>
        </w:rPr>
        <w:t xml:space="preserve"> de </w:t>
      </w:r>
      <w:proofErr w:type="spellStart"/>
      <w:r w:rsidRPr="00145DBE">
        <w:rPr>
          <w:lang w:val="it-IT"/>
        </w:rPr>
        <w:t>Ingenieria</w:t>
      </w:r>
      <w:proofErr w:type="spellEnd"/>
      <w:r w:rsidRPr="00145DBE">
        <w:rPr>
          <w:lang w:val="it-IT"/>
        </w:rPr>
        <w:t xml:space="preserve">, </w:t>
      </w:r>
      <w:proofErr w:type="spellStart"/>
      <w:r w:rsidRPr="00145DBE">
        <w:rPr>
          <w:lang w:val="it-IT"/>
        </w:rPr>
        <w:t>Universidad</w:t>
      </w:r>
      <w:proofErr w:type="spellEnd"/>
      <w:r w:rsidRPr="00145DBE">
        <w:rPr>
          <w:lang w:val="it-IT"/>
        </w:rPr>
        <w:t xml:space="preserve"> Autonoma de San Luis Potosì (UASLP), </w:t>
      </w:r>
      <w:proofErr w:type="spellStart"/>
      <w:r w:rsidRPr="00145DBE">
        <w:rPr>
          <w:lang w:val="it-IT"/>
        </w:rPr>
        <w:t>Av</w:t>
      </w:r>
      <w:proofErr w:type="spellEnd"/>
      <w:r w:rsidRPr="00145DBE">
        <w:rPr>
          <w:lang w:val="it-IT"/>
        </w:rPr>
        <w:t xml:space="preserve">. </w:t>
      </w:r>
      <w:proofErr w:type="spellStart"/>
      <w:r>
        <w:t>Dr.</w:t>
      </w:r>
      <w:proofErr w:type="spellEnd"/>
      <w:r>
        <w:t xml:space="preserve"> Manuel Nava 5, 78290, San Luis Potosí, Mexico</w:t>
      </w:r>
    </w:p>
    <w:p w14:paraId="15770237" w14:textId="77777777" w:rsidR="004C109E" w:rsidRPr="00145DBE" w:rsidRDefault="00000000" w:rsidP="00145DBE">
      <w:pPr>
        <w:numPr>
          <w:ilvl w:val="0"/>
          <w:numId w:val="11"/>
        </w:numPr>
        <w:pBdr>
          <w:top w:val="nil"/>
          <w:left w:val="nil"/>
          <w:bottom w:val="nil"/>
          <w:right w:val="nil"/>
          <w:between w:val="nil"/>
        </w:pBdr>
        <w:jc w:val="center"/>
        <w:rPr>
          <w:lang w:val="it-IT"/>
        </w:rPr>
      </w:pPr>
      <w:r w:rsidRPr="00145DBE">
        <w:rPr>
          <w:lang w:val="it-IT"/>
        </w:rPr>
        <w:t xml:space="preserve">Consiglio Nazionale Delle Ricerche, Istituto di Ricerca per la Protezione Idrogeologica (CNR-IRPI), via Madonna Alta 126, 06128, Perugia, </w:t>
      </w:r>
      <w:proofErr w:type="spellStart"/>
      <w:r w:rsidRPr="00145DBE">
        <w:rPr>
          <w:lang w:val="it-IT"/>
        </w:rPr>
        <w:t>Italy</w:t>
      </w:r>
      <w:proofErr w:type="spellEnd"/>
    </w:p>
    <w:p w14:paraId="119CB114" w14:textId="77777777" w:rsidR="004C109E" w:rsidRDefault="004C109E" w:rsidP="00145DBE">
      <w:pPr>
        <w:pBdr>
          <w:top w:val="nil"/>
          <w:left w:val="nil"/>
          <w:bottom w:val="nil"/>
          <w:right w:val="nil"/>
          <w:between w:val="nil"/>
        </w:pBdr>
        <w:jc w:val="center"/>
        <w:rPr>
          <w:lang w:val="it-IT"/>
        </w:rPr>
      </w:pPr>
    </w:p>
    <w:p w14:paraId="64FF40C8" w14:textId="730B03E1" w:rsidR="00D819BE" w:rsidRDefault="00D819BE" w:rsidP="00145DBE">
      <w:pPr>
        <w:pBdr>
          <w:top w:val="nil"/>
          <w:left w:val="nil"/>
          <w:bottom w:val="nil"/>
          <w:right w:val="nil"/>
          <w:between w:val="nil"/>
        </w:pBdr>
        <w:jc w:val="center"/>
        <w:rPr>
          <w:lang w:val="it-IT"/>
        </w:rPr>
      </w:pPr>
      <w:proofErr w:type="spellStart"/>
      <w:r>
        <w:rPr>
          <w:lang w:val="it-IT"/>
        </w:rPr>
        <w:t>Corrisponding</w:t>
      </w:r>
      <w:proofErr w:type="spellEnd"/>
      <w:r>
        <w:rPr>
          <w:lang w:val="it-IT"/>
        </w:rPr>
        <w:t xml:space="preserve"> </w:t>
      </w:r>
      <w:proofErr w:type="spellStart"/>
      <w:r>
        <w:rPr>
          <w:lang w:val="it-IT"/>
        </w:rPr>
        <w:t>author</w:t>
      </w:r>
      <w:proofErr w:type="spellEnd"/>
      <w:r>
        <w:rPr>
          <w:lang w:val="it-IT"/>
        </w:rPr>
        <w:t>: Federico Di Traglia (federico.ditraglia@ingv.it)</w:t>
      </w:r>
    </w:p>
    <w:p w14:paraId="5515D1B4" w14:textId="1C9740A5" w:rsidR="00D819BE" w:rsidRDefault="00D819BE">
      <w:pPr>
        <w:rPr>
          <w:lang w:val="it-IT"/>
        </w:rPr>
      </w:pPr>
      <w:r>
        <w:rPr>
          <w:lang w:val="it-IT"/>
        </w:rPr>
        <w:br w:type="page"/>
      </w:r>
    </w:p>
    <w:p w14:paraId="64A23F7F" w14:textId="4D12E7C4" w:rsidR="00D819BE" w:rsidRDefault="00D819BE" w:rsidP="00D819BE">
      <w:pPr>
        <w:jc w:val="both"/>
      </w:pPr>
      <w:r>
        <w:rPr>
          <w:b/>
        </w:rPr>
        <w:lastRenderedPageBreak/>
        <w:t>Supplementary Text S1 – Numerical Modelling Details</w:t>
      </w:r>
    </w:p>
    <w:p w14:paraId="7197B907" w14:textId="77777777" w:rsidR="00D819BE" w:rsidRPr="00D819BE" w:rsidRDefault="00D819BE" w:rsidP="00D819BE">
      <w:pPr>
        <w:pBdr>
          <w:top w:val="nil"/>
          <w:left w:val="nil"/>
          <w:bottom w:val="nil"/>
          <w:right w:val="nil"/>
          <w:between w:val="nil"/>
        </w:pBdr>
        <w:jc w:val="both"/>
      </w:pPr>
    </w:p>
    <w:p w14:paraId="1505EEDA" w14:textId="1C13FA27" w:rsidR="004C109E" w:rsidRDefault="00000000" w:rsidP="00D819BE">
      <w:pPr>
        <w:pBdr>
          <w:top w:val="nil"/>
          <w:left w:val="nil"/>
          <w:bottom w:val="nil"/>
          <w:right w:val="nil"/>
          <w:between w:val="nil"/>
        </w:pBdr>
        <w:jc w:val="both"/>
        <w:rPr>
          <w:color w:val="000000"/>
        </w:rPr>
      </w:pPr>
      <w:r>
        <w:rPr>
          <w:color w:val="000000"/>
        </w:rPr>
        <w:t xml:space="preserve">The stability analysis of the volcanoes’ flanks and crater rims was performed using a two-dimensional (2D) Limit Equilibrium Method (LEM) with the Slope Stability Analysis Program (SSAP; </w:t>
      </w:r>
      <w:proofErr w:type="spellStart"/>
      <w:r>
        <w:rPr>
          <w:color w:val="000000"/>
        </w:rPr>
        <w:t>Borselli</w:t>
      </w:r>
      <w:proofErr w:type="spellEnd"/>
      <w:r>
        <w:rPr>
          <w:color w:val="000000"/>
        </w:rPr>
        <w:t xml:space="preserve"> et al., 2011, 2023). The objective of this study was to assess the stress conditions within the slope and identify the mechanisms responsible for the destabilisation of volcaniclastic deposits, which may ultimately lead to the generation of </w:t>
      </w:r>
      <w:r>
        <w:rPr>
          <w:i/>
        </w:rPr>
        <w:t>dd-</w:t>
      </w:r>
      <w:r>
        <w:t>PDCs</w:t>
      </w:r>
      <w:r>
        <w:rPr>
          <w:color w:val="000000"/>
        </w:rPr>
        <w:t xml:space="preserve">. The stability of the volcanoes’ flanks and crater rims was evaluated under both static and also considering the effects of magmatic thrusts. The Factor of Safety (FS) was determined using numerical methods based on LEM. FS values were computed along predefined slip surfaces within the slope. The slope geometry was obtained from topographic profiles extracted from Copernicus DEM digital terrain models. These models, which are Digital Surface Models (DSM) with a 30 × 30 m pixel resolution (GLO-30), were acquired during the </w:t>
      </w:r>
      <w:proofErr w:type="spellStart"/>
      <w:r>
        <w:rPr>
          <w:color w:val="000000"/>
        </w:rPr>
        <w:t>TanDEM</w:t>
      </w:r>
      <w:proofErr w:type="spellEnd"/>
      <w:r>
        <w:rPr>
          <w:color w:val="000000"/>
        </w:rPr>
        <w:t xml:space="preserve">-X mission between 2011 and 2015. The lithological distribution of the two volcanoes is based on the studies of Mora et al. (2022) for Arenal and those of </w:t>
      </w:r>
      <w:proofErr w:type="spellStart"/>
      <w:r>
        <w:rPr>
          <w:color w:val="000000"/>
        </w:rPr>
        <w:t>Dualeh</w:t>
      </w:r>
      <w:proofErr w:type="spellEnd"/>
      <w:r>
        <w:rPr>
          <w:color w:val="000000"/>
        </w:rPr>
        <w:t xml:space="preserve"> et al. (2020), </w:t>
      </w:r>
      <w:proofErr w:type="spellStart"/>
      <w:r>
        <w:rPr>
          <w:color w:val="000000"/>
        </w:rPr>
        <w:t>Risica</w:t>
      </w:r>
      <w:proofErr w:type="spellEnd"/>
      <w:r>
        <w:rPr>
          <w:color w:val="000000"/>
        </w:rPr>
        <w:t xml:space="preserve"> et al. (2022)</w:t>
      </w:r>
      <w:r>
        <w:rPr>
          <w:color w:val="000000"/>
          <w:vertAlign w:val="superscript"/>
        </w:rPr>
        <w:t>3</w:t>
      </w:r>
      <w:r>
        <w:rPr>
          <w:color w:val="000000"/>
        </w:rPr>
        <w:t xml:space="preserve">, and Charbonnier et al. (2023) for Fuego. Since slope instabilities occur in three-dimensional space, the analysis was conducted on a representative unit-width strip to provide a </w:t>
      </w:r>
      <w:r>
        <w:t>2D assessment of potential failure surfaces. In LEM, the failure surface delineates the boundary between the stable portion of the slope and the potentially unstable mass. The lower section is considered undeformed and intact, while the upper mass is assumed to behave as a rigid, perfectly plastic body, exhibiting no deformation prior to failure, in accordance with the fundamental assumptions of basic LEM approaches</w:t>
      </w:r>
      <w:r>
        <w:rPr>
          <w:color w:val="000000"/>
        </w:rPr>
        <w:t>. Post-failure phenomena, including collapse and deformation, are considered subsequent to the formation of a failure surface. Consequently, FS reflects the stability conditions preceding failure. For each potential sliding surface, the total mobilised shear stress (</w:t>
      </w:r>
      <w:proofErr w:type="spellStart"/>
      <w:r>
        <w:rPr>
          <w:color w:val="000000"/>
        </w:rPr>
        <w:t>τ</w:t>
      </w:r>
      <w:r>
        <w:rPr>
          <w:color w:val="000000"/>
          <w:vertAlign w:val="subscript"/>
        </w:rPr>
        <w:t>m</w:t>
      </w:r>
      <w:proofErr w:type="spellEnd"/>
      <w:r>
        <w:rPr>
          <w:color w:val="000000"/>
        </w:rPr>
        <w:t>) and available shear resistance (</w:t>
      </w:r>
      <w:proofErr w:type="spellStart"/>
      <w:r>
        <w:rPr>
          <w:color w:val="000000"/>
        </w:rPr>
        <w:t>τ</w:t>
      </w:r>
      <w:r>
        <w:rPr>
          <w:color w:val="000000"/>
          <w:vertAlign w:val="subscript"/>
        </w:rPr>
        <w:t>f</w:t>
      </w:r>
      <w:proofErr w:type="spellEnd"/>
      <w:r>
        <w:rPr>
          <w:color w:val="000000"/>
        </w:rPr>
        <w:t>) can be determined, allowing FS to be expressed as:</w:t>
      </w:r>
    </w:p>
    <w:p w14:paraId="1FA8D0B4" w14:textId="77777777" w:rsidR="004C109E" w:rsidRDefault="00000000">
      <w:pPr>
        <w:pBdr>
          <w:top w:val="nil"/>
          <w:left w:val="nil"/>
          <w:bottom w:val="nil"/>
          <w:right w:val="nil"/>
          <w:between w:val="nil"/>
        </w:pBdr>
        <w:jc w:val="both"/>
        <w:rPr>
          <w:color w:val="000000"/>
        </w:rPr>
      </w:pPr>
      <m:oMath>
        <m:r>
          <w:rPr>
            <w:rFonts w:ascii="Cambria Math" w:eastAsia="Cambria Math" w:hAnsi="Cambria Math" w:cs="Cambria Math"/>
            <w:color w:val="000000"/>
          </w:rPr>
          <m:t>FS=</m:t>
        </m:r>
        <m:f>
          <m:fPr>
            <m:ctrlPr>
              <w:rPr>
                <w:rFonts w:ascii="Cambria Math" w:eastAsia="Cambria Math" w:hAnsi="Cambria Math" w:cs="Cambria Math"/>
                <w:color w:val="000000"/>
              </w:rPr>
            </m:ctrlPr>
          </m:fPr>
          <m:num>
            <m:sSub>
              <m:sSubPr>
                <m:ctrlPr>
                  <w:rPr>
                    <w:rFonts w:ascii="Cambria Math" w:eastAsia="Cambria Math" w:hAnsi="Cambria Math" w:cs="Cambria Math"/>
                    <w:color w:val="000000"/>
                  </w:rPr>
                </m:ctrlPr>
              </m:sSubPr>
              <m:e>
                <m:r>
                  <w:rPr>
                    <w:rFonts w:ascii="Cambria Math" w:eastAsia="Cambria Math" w:hAnsi="Cambria Math" w:cs="Cambria Math"/>
                    <w:color w:val="000000"/>
                  </w:rPr>
                  <m:t>τ</m:t>
                </m:r>
              </m:e>
              <m:sub>
                <m:r>
                  <w:rPr>
                    <w:rFonts w:ascii="Cambria Math" w:eastAsia="Cambria Math" w:hAnsi="Cambria Math" w:cs="Cambria Math"/>
                    <w:color w:val="000000"/>
                  </w:rPr>
                  <m:t>f</m:t>
                </m:r>
              </m:sub>
            </m:sSub>
          </m:num>
          <m:den>
            <m:sSub>
              <m:sSubPr>
                <m:ctrlPr>
                  <w:rPr>
                    <w:rFonts w:ascii="Cambria Math" w:eastAsia="Cambria Math" w:hAnsi="Cambria Math" w:cs="Cambria Math"/>
                    <w:color w:val="000000"/>
                  </w:rPr>
                </m:ctrlPr>
              </m:sSubPr>
              <m:e>
                <m:r>
                  <w:rPr>
                    <w:rFonts w:ascii="Cambria Math" w:eastAsia="Cambria Math" w:hAnsi="Cambria Math" w:cs="Cambria Math"/>
                    <w:color w:val="000000"/>
                  </w:rPr>
                  <m:t>τ</m:t>
                </m:r>
              </m:e>
              <m:sub>
                <m:r>
                  <w:rPr>
                    <w:rFonts w:ascii="Cambria Math" w:eastAsia="Cambria Math" w:hAnsi="Cambria Math" w:cs="Cambria Math"/>
                    <w:color w:val="000000"/>
                  </w:rPr>
                  <m:t>m</m:t>
                </m:r>
              </m:sub>
            </m:sSub>
          </m:den>
        </m:f>
      </m:oMath>
      <w:r>
        <w:rPr>
          <w:color w:val="000000"/>
        </w:rPr>
        <w:t xml:space="preserve"> </w:t>
      </w:r>
    </w:p>
    <w:p w14:paraId="2A5B4303" w14:textId="77777777" w:rsidR="004C109E" w:rsidRDefault="00000000">
      <w:pPr>
        <w:spacing w:before="280" w:after="280"/>
        <w:jc w:val="both"/>
      </w:pPr>
      <w:r>
        <w:t xml:space="preserve">In slope stability analysis, FS serves as a key indicator. A slope is deemed stable when , whereas signifies instability due to insufficient shear resistance. LEM assumes that, despite potential variations in shear strength along the slip surface, FS remains uniform across the failure plane. This implies that the mobilised shear resistance maintains a constant proportion relative to the maximum available shear strength. </w:t>
      </w:r>
    </w:p>
    <w:p w14:paraId="0A2697B8" w14:textId="77777777" w:rsidR="004C109E" w:rsidRDefault="00000000">
      <w:pPr>
        <w:spacing w:before="280" w:after="280"/>
        <w:jc w:val="both"/>
      </w:pPr>
      <w:r>
        <w:t>To determine FS, a spatial framework was established by identifying a potential slip surface and assessing all acting and resisting forces. Given the infinite number of possible failure surfaces, FS was calculated for a systematically generated representative set within the assumed slope volume. The various LEM approaches differ in their simplifying assumptions, which reduce the number of unknowns and make the system of equations more manageable.</w:t>
      </w:r>
    </w:p>
    <w:p w14:paraId="05972837" w14:textId="77777777" w:rsidR="004C109E" w:rsidRDefault="00000000">
      <w:pPr>
        <w:spacing w:before="280" w:after="280"/>
        <w:jc w:val="both"/>
      </w:pPr>
      <w:r>
        <w:t>The computation of FS involved subdividing the potentially unstable mass into vertical slices, with forces acting on each slice evaluated separately. These forces included:</w:t>
      </w:r>
    </w:p>
    <w:p w14:paraId="12EE8C91" w14:textId="77777777" w:rsidR="004C109E" w:rsidRDefault="00000000">
      <w:pPr>
        <w:numPr>
          <w:ilvl w:val="0"/>
          <w:numId w:val="6"/>
        </w:numPr>
        <w:spacing w:before="280"/>
        <w:jc w:val="both"/>
      </w:pPr>
      <w:r>
        <w:rPr>
          <w:b/>
        </w:rPr>
        <w:t>W</w:t>
      </w:r>
      <w:r>
        <w:t>: weight of the slice,</w:t>
      </w:r>
    </w:p>
    <w:p w14:paraId="64934E32" w14:textId="77777777" w:rsidR="004C109E" w:rsidRDefault="00000000">
      <w:pPr>
        <w:numPr>
          <w:ilvl w:val="0"/>
          <w:numId w:val="6"/>
        </w:numPr>
        <w:jc w:val="both"/>
      </w:pPr>
      <w:r>
        <w:rPr>
          <w:b/>
        </w:rPr>
        <w:t>S</w:t>
      </w:r>
      <w:r>
        <w:t>: shear force mobilised at the base,</w:t>
      </w:r>
    </w:p>
    <w:p w14:paraId="022BC4DC" w14:textId="77777777" w:rsidR="004C109E" w:rsidRDefault="00000000">
      <w:pPr>
        <w:numPr>
          <w:ilvl w:val="0"/>
          <w:numId w:val="6"/>
        </w:numPr>
        <w:jc w:val="both"/>
      </w:pPr>
      <w:r>
        <w:rPr>
          <w:b/>
        </w:rPr>
        <w:t>N</w:t>
      </w:r>
      <w:r>
        <w:t>: normal force at the base,</w:t>
      </w:r>
    </w:p>
    <w:p w14:paraId="642BE697" w14:textId="77777777" w:rsidR="004C109E" w:rsidRDefault="00000000">
      <w:pPr>
        <w:numPr>
          <w:ilvl w:val="0"/>
          <w:numId w:val="6"/>
        </w:numPr>
        <w:jc w:val="both"/>
      </w:pPr>
      <w:r>
        <w:rPr>
          <w:b/>
        </w:rPr>
        <w:t>U</w:t>
      </w:r>
      <w:r>
        <w:t>: pore water pressure force,</w:t>
      </w:r>
    </w:p>
    <w:p w14:paraId="033A1151" w14:textId="77777777" w:rsidR="004C109E" w:rsidRDefault="00000000">
      <w:pPr>
        <w:numPr>
          <w:ilvl w:val="0"/>
          <w:numId w:val="6"/>
        </w:numPr>
        <w:jc w:val="both"/>
      </w:pPr>
      <w:r>
        <w:rPr>
          <w:b/>
        </w:rPr>
        <w:t>T</w:t>
      </w:r>
      <w:r>
        <w:t>: vertical interslice force,</w:t>
      </w:r>
    </w:p>
    <w:p w14:paraId="65B70E77" w14:textId="77777777" w:rsidR="004C109E" w:rsidRDefault="00000000">
      <w:pPr>
        <w:numPr>
          <w:ilvl w:val="0"/>
          <w:numId w:val="6"/>
        </w:numPr>
        <w:spacing w:after="280"/>
        <w:jc w:val="both"/>
      </w:pPr>
      <w:r>
        <w:rPr>
          <w:b/>
        </w:rPr>
        <w:t>E</w:t>
      </w:r>
      <w:r>
        <w:t>: horizontal interslice force.</w:t>
      </w:r>
    </w:p>
    <w:p w14:paraId="3AB2D45C" w14:textId="77777777" w:rsidR="004C109E" w:rsidRDefault="00000000">
      <w:pPr>
        <w:spacing w:before="280" w:after="280"/>
        <w:jc w:val="both"/>
      </w:pPr>
      <w:r>
        <w:lastRenderedPageBreak/>
        <w:t>This study employed the Morgenstern and Price (1965) method, widely recognised for its reliability and numerical stability, even in cases involving complex stratigraphy and external forces. In this approach, the function T(x) is expressed in terms of λ and f(x), along with E(x), as follows:</w:t>
      </w:r>
    </w:p>
    <w:p w14:paraId="798991D4" w14:textId="77777777" w:rsidR="004C109E" w:rsidRDefault="004C109E">
      <w:pPr>
        <w:jc w:val="both"/>
      </w:pPr>
    </w:p>
    <w:p w14:paraId="2DAC6C00" w14:textId="77777777" w:rsidR="004C109E" w:rsidRDefault="00000000">
      <w:pPr>
        <w:jc w:val="both"/>
      </w:pPr>
      <m:oMath>
        <m:r>
          <w:rPr>
            <w:rFonts w:ascii="Cambria Math" w:eastAsia="Cambria Math" w:hAnsi="Cambria Math" w:cs="Cambria Math"/>
          </w:rPr>
          <m:t>T</m:t>
        </m:r>
        <m:d>
          <m:dPr>
            <m:ctrlPr>
              <w:rPr>
                <w:rFonts w:ascii="Cambria Math" w:eastAsia="Cambria Math" w:hAnsi="Cambria Math" w:cs="Cambria Math"/>
              </w:rPr>
            </m:ctrlPr>
          </m:dPr>
          <m:e>
            <m:r>
              <w:rPr>
                <w:rFonts w:ascii="Cambria Math" w:eastAsia="Cambria Math" w:hAnsi="Cambria Math" w:cs="Cambria Math"/>
              </w:rPr>
              <m:t>x</m:t>
            </m:r>
          </m:e>
        </m:d>
        <m:r>
          <w:rPr>
            <w:rFonts w:ascii="Cambria Math" w:eastAsia="Cambria Math" w:hAnsi="Cambria Math" w:cs="Cambria Math"/>
          </w:rPr>
          <m:t>=λf</m:t>
        </m:r>
        <m:d>
          <m:dPr>
            <m:ctrlPr>
              <w:rPr>
                <w:rFonts w:ascii="Cambria Math" w:eastAsia="Cambria Math" w:hAnsi="Cambria Math" w:cs="Cambria Math"/>
              </w:rPr>
            </m:ctrlPr>
          </m:dPr>
          <m:e>
            <m:r>
              <w:rPr>
                <w:rFonts w:ascii="Cambria Math" w:eastAsia="Cambria Math" w:hAnsi="Cambria Math" w:cs="Cambria Math"/>
              </w:rPr>
              <m:t>x</m:t>
            </m:r>
          </m:e>
        </m:d>
        <m:r>
          <w:rPr>
            <w:rFonts w:ascii="Cambria Math" w:eastAsia="Cambria Math" w:hAnsi="Cambria Math" w:cs="Cambria Math"/>
          </w:rPr>
          <m:t>E(x)</m:t>
        </m:r>
      </m:oMath>
      <w:r>
        <w:t xml:space="preserve"> </w:t>
      </w:r>
    </w:p>
    <w:p w14:paraId="4AB80AC0" w14:textId="77777777" w:rsidR="004C109E" w:rsidRDefault="004C109E">
      <w:pPr>
        <w:jc w:val="both"/>
      </w:pPr>
    </w:p>
    <w:p w14:paraId="11813DEC" w14:textId="77777777" w:rsidR="004C109E" w:rsidRDefault="00000000">
      <w:pPr>
        <w:pBdr>
          <w:top w:val="nil"/>
          <w:left w:val="nil"/>
          <w:bottom w:val="nil"/>
          <w:right w:val="nil"/>
          <w:between w:val="nil"/>
        </w:pBdr>
        <w:jc w:val="both"/>
      </w:pPr>
      <w:r>
        <w:t xml:space="preserve">The identification of critical failure surfaces is performed using the “Sniff Random Search” algorithm, which employs Monte Carlo methods to generate a range of potential slip surfaces, including sub-planar, convex, concave-convex, and composite geometries. SSAP also integrates a </w:t>
      </w:r>
      <w:r>
        <w:rPr>
          <w:i/>
        </w:rPr>
        <w:t>Dynamic Surface Search Attractor</w:t>
      </w:r>
      <w:r>
        <w:t xml:space="preserve"> function, which progressively refines the search area, focusing on regions where lower FS values have been detected. This feature is particularly useful as it enhances the identification of increasingly critical failure surfaces while gradually disregarding areas that do not exhibit instability in the early stages of the analysis.</w:t>
      </w:r>
    </w:p>
    <w:p w14:paraId="263135DE" w14:textId="0907C50C" w:rsidR="004C109E" w:rsidRDefault="00000000">
      <w:pPr>
        <w:pBdr>
          <w:top w:val="nil"/>
          <w:left w:val="nil"/>
          <w:bottom w:val="nil"/>
          <w:right w:val="nil"/>
          <w:between w:val="nil"/>
        </w:pBdr>
        <w:jc w:val="both"/>
      </w:pPr>
      <w:r>
        <w:t>SSAP allows the assignment of shear strength parameters based on different failure criteria, including the linear Mohr–Coulomb model, the generalised non-linear Hoek-Brown (GHB) criterion (Hoek &amp; Brown, 2019), and the non-linear Barton-</w:t>
      </w:r>
      <w:proofErr w:type="spellStart"/>
      <w:r>
        <w:t>Kjaernsli</w:t>
      </w:r>
      <w:proofErr w:type="spellEnd"/>
      <w:r>
        <w:t xml:space="preserve"> (B-K) model (Barton</w:t>
      </w:r>
      <w:r w:rsidR="00D66963">
        <w:t xml:space="preserve"> </w:t>
      </w:r>
      <w:r>
        <w:t>2013). Additionally, SSAP enables users to define the position of the water table and incorporate external loading conditions. The software has previously been applied in various geological settings to assess the stability of volcanic edifices (</w:t>
      </w:r>
      <w:proofErr w:type="spellStart"/>
      <w:r>
        <w:t>Borselli</w:t>
      </w:r>
      <w:proofErr w:type="spellEnd"/>
      <w:r>
        <w:t xml:space="preserve"> et al.,2011; Di Traglia et al. 2023a, 2023b, 2024</w:t>
      </w:r>
      <w:r w:rsidR="00D66963">
        <w:t xml:space="preserve">; </w:t>
      </w:r>
      <w:proofErr w:type="spellStart"/>
      <w:r w:rsidR="00D66963">
        <w:t>Casalbore</w:t>
      </w:r>
      <w:proofErr w:type="spellEnd"/>
      <w:r w:rsidR="00D66963">
        <w:t xml:space="preserve"> et al. 2025</w:t>
      </w:r>
      <w:r>
        <w:t xml:space="preserve">). </w:t>
      </w:r>
    </w:p>
    <w:p w14:paraId="48EC42CA" w14:textId="77777777" w:rsidR="004C109E" w:rsidRDefault="00000000">
      <w:pPr>
        <w:jc w:val="both"/>
      </w:pPr>
      <w:r>
        <w:t>Although the material forming volcanic slopes, and in particular the crater rims, consists of alternating layers with varying grain sizes and lithologies, for modelling purposes, it is necessary to define layers with homogeneous physical and geotechnical properties. In this study, we assume that each layer contains two coexisting structural systems:</w:t>
      </w:r>
    </w:p>
    <w:p w14:paraId="2ACB219E" w14:textId="77777777" w:rsidR="004C109E" w:rsidRDefault="00000000">
      <w:pPr>
        <w:numPr>
          <w:ilvl w:val="0"/>
          <w:numId w:val="1"/>
        </w:numPr>
        <w:jc w:val="both"/>
      </w:pPr>
      <w:r>
        <w:t>A fractured rock mass system, where fractures and discontinuities are randomly distributed.</w:t>
      </w:r>
    </w:p>
    <w:p w14:paraId="4DD562E5" w14:textId="77777777" w:rsidR="004C109E" w:rsidRDefault="00000000">
      <w:pPr>
        <w:numPr>
          <w:ilvl w:val="0"/>
          <w:numId w:val="1"/>
        </w:numPr>
        <w:jc w:val="both"/>
      </w:pPr>
      <w:r>
        <w:t>A structurally or stratigraphically defined system, where fractures, discontinuities, or joint networks follow a predictable pattern due to stratigraphic alternation.</w:t>
      </w:r>
    </w:p>
    <w:p w14:paraId="0E3FC363" w14:textId="77777777" w:rsidR="004C109E" w:rsidRDefault="00000000">
      <w:pPr>
        <w:jc w:val="both"/>
      </w:pPr>
      <w:r>
        <w:t xml:space="preserve">This dual-system coexistence is commonly observed in stratovolcano edifices, where rhythmic alternations between volcaniclastic deposits and lava (or </w:t>
      </w:r>
      <w:proofErr w:type="spellStart"/>
      <w:r>
        <w:t>clastogenetic</w:t>
      </w:r>
      <w:proofErr w:type="spellEnd"/>
      <w:r>
        <w:t xml:space="preserve"> lavas) create interfaces that may act as potential planes of weakness. The boundary between volcaniclastic deposits and lava flows represents a preferentially oriented discontinuity, which may locally reduce slope stability. This stratigraphic complexity necessitates a modification of conventional methods used to parameterise the constitutive behaviour of volcanic geomaterials, particularly in modelling local shear strength. Given the potential for significant shear strength variations, it is essential to account for zones of instability at these interfaces. The volcaniclastic-lava contact can be considered analogous to the bedrock-rockfill interface introduced and modelled by Barton (2013).</w:t>
      </w:r>
    </w:p>
    <w:p w14:paraId="3F37586C" w14:textId="77777777" w:rsidR="004C109E" w:rsidRDefault="00000000">
      <w:pPr>
        <w:jc w:val="both"/>
      </w:pPr>
      <w:r>
        <w:t>In this study, SSAP software is utilised to incorporate two distinct non-linear failure criteria within each stratigraphic unit, applying them to different portions of the analysed sliding surface. The selection of the appropriate failure criterion occurs dynamically at runtime, based on the local slope of the assumed failure surface (Lunardi et al., 1994). In some slope units, two non-linear criteria are applied simultaneously:</w:t>
      </w:r>
    </w:p>
    <w:p w14:paraId="49480E8F" w14:textId="0A1F012E" w:rsidR="004C109E" w:rsidRDefault="00000000">
      <w:pPr>
        <w:numPr>
          <w:ilvl w:val="0"/>
          <w:numId w:val="4"/>
        </w:numPr>
        <w:jc w:val="both"/>
      </w:pPr>
      <w:r>
        <w:t>The GHB criterion (Hoek &amp; Brown 2019);</w:t>
      </w:r>
    </w:p>
    <w:p w14:paraId="6C63704B" w14:textId="627CEE71" w:rsidR="004C109E" w:rsidRDefault="00000000">
      <w:pPr>
        <w:numPr>
          <w:ilvl w:val="0"/>
          <w:numId w:val="4"/>
        </w:numPr>
        <w:jc w:val="both"/>
      </w:pPr>
      <w:r>
        <w:t>The B-K failure criterion (Barton 2013), applied specifically to rockfill-like materials where they are in contact with the underlying lava substratum.</w:t>
      </w:r>
    </w:p>
    <w:p w14:paraId="3DD7E01D" w14:textId="05044568" w:rsidR="004C109E" w:rsidRDefault="00000000">
      <w:pPr>
        <w:jc w:val="both"/>
      </w:pPr>
      <w:r>
        <w:t>This study applies the Generalised Hoek-Brown (GHB) failure criterion (Hoek &amp; Brown 2019; Heap et al. 2020), an empirical approach for estimating the strength of jointed rock masses. The GHB criterion is expressed as:</w:t>
      </w:r>
    </w:p>
    <w:p w14:paraId="1DBD7D8C" w14:textId="77777777" w:rsidR="004C109E" w:rsidRDefault="004C109E">
      <w:pPr>
        <w:jc w:val="both"/>
      </w:pPr>
    </w:p>
    <w:p w14:paraId="09862281" w14:textId="77777777" w:rsidR="004C109E" w:rsidRDefault="00000000">
      <w:pPr>
        <w:jc w:val="both"/>
      </w:pPr>
      <m:oMath>
        <m:sSub>
          <m:sSubPr>
            <m:ctrlPr>
              <w:rPr>
                <w:rFonts w:ascii="Cambria Math" w:eastAsia="Cambria Math" w:hAnsi="Cambria Math" w:cs="Cambria Math"/>
              </w:rPr>
            </m:ctrlPr>
          </m:sSubPr>
          <m:e>
            <m:r>
              <w:rPr>
                <w:rFonts w:ascii="Cambria Math" w:hAnsi="Cambria Math"/>
              </w:rPr>
              <m:t>σ</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σ</m:t>
            </m:r>
          </m:e>
          <m:sub>
            <m:r>
              <w:rPr>
                <w:rFonts w:ascii="Cambria Math" w:eastAsia="Cambria Math" w:hAnsi="Cambria Math" w:cs="Cambria Math"/>
              </w:rPr>
              <m:t>3</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σ</m:t>
            </m:r>
          </m:e>
          <m:sub>
            <m:r>
              <w:rPr>
                <w:rFonts w:ascii="Cambria Math" w:eastAsia="Cambria Math" w:hAnsi="Cambria Math" w:cs="Cambria Math"/>
              </w:rPr>
              <m:t>c</m:t>
            </m:r>
          </m:sub>
        </m:sSub>
        <m:sSup>
          <m:sSupPr>
            <m:ctrlPr>
              <w:rPr>
                <w:rFonts w:ascii="Cambria Math" w:eastAsia="Cambria Math" w:hAnsi="Cambria Math" w:cs="Cambria Math"/>
              </w:rPr>
            </m:ctrlPr>
          </m:sSupPr>
          <m:e>
            <m:d>
              <m:dPr>
                <m:ctrlPr>
                  <w:rPr>
                    <w:rFonts w:ascii="Cambria Math" w:eastAsia="Cambria Math" w:hAnsi="Cambria Math" w:cs="Cambria Math"/>
                  </w:rPr>
                </m:ctrlPr>
              </m:dPr>
              <m:e>
                <m:sSub>
                  <m:sSubPr>
                    <m:ctrlPr>
                      <w:rPr>
                        <w:rFonts w:ascii="Cambria Math" w:eastAsia="Cambria Math" w:hAnsi="Cambria Math" w:cs="Cambria Math"/>
                      </w:rPr>
                    </m:ctrlPr>
                  </m:sSubPr>
                  <m:e>
                    <m:r>
                      <w:rPr>
                        <w:rFonts w:ascii="Cambria Math" w:eastAsia="Cambria Math" w:hAnsi="Cambria Math" w:cs="Cambria Math"/>
                      </w:rPr>
                      <m:t>m</m:t>
                    </m:r>
                  </m:e>
                  <m:sub>
                    <m:r>
                      <w:rPr>
                        <w:rFonts w:ascii="Cambria Math" w:eastAsia="Cambria Math" w:hAnsi="Cambria Math" w:cs="Cambria Math"/>
                      </w:rPr>
                      <m:t>b</m:t>
                    </m:r>
                  </m:sub>
                </m:sSub>
                <m:f>
                  <m:fPr>
                    <m:ctrlPr>
                      <w:rPr>
                        <w:rFonts w:ascii="Cambria Math" w:eastAsia="Cambria Math" w:hAnsi="Cambria Math" w:cs="Cambria Math"/>
                      </w:rPr>
                    </m:ctrlPr>
                  </m:fPr>
                  <m:num>
                    <m:sSub>
                      <m:sSubPr>
                        <m:ctrlPr>
                          <w:rPr>
                            <w:rFonts w:ascii="Cambria Math" w:eastAsia="Cambria Math" w:hAnsi="Cambria Math" w:cs="Cambria Math"/>
                          </w:rPr>
                        </m:ctrlPr>
                      </m:sSubPr>
                      <m:e>
                        <m:r>
                          <w:rPr>
                            <w:rFonts w:ascii="Cambria Math" w:eastAsia="Cambria Math" w:hAnsi="Cambria Math" w:cs="Cambria Math"/>
                          </w:rPr>
                          <m:t>σ</m:t>
                        </m:r>
                      </m:e>
                      <m:sub>
                        <m:r>
                          <w:rPr>
                            <w:rFonts w:ascii="Cambria Math" w:eastAsia="Cambria Math" w:hAnsi="Cambria Math" w:cs="Cambria Math"/>
                          </w:rPr>
                          <m:t>3</m:t>
                        </m:r>
                      </m:sub>
                    </m:sSub>
                  </m:num>
                  <m:den>
                    <m:sSub>
                      <m:sSubPr>
                        <m:ctrlPr>
                          <w:rPr>
                            <w:rFonts w:ascii="Cambria Math" w:eastAsia="Cambria Math" w:hAnsi="Cambria Math" w:cs="Cambria Math"/>
                          </w:rPr>
                        </m:ctrlPr>
                      </m:sSubPr>
                      <m:e>
                        <m:r>
                          <w:rPr>
                            <w:rFonts w:ascii="Cambria Math" w:eastAsia="Cambria Math" w:hAnsi="Cambria Math" w:cs="Cambria Math"/>
                          </w:rPr>
                          <m:t>σ</m:t>
                        </m:r>
                      </m:e>
                      <m:sub>
                        <m:r>
                          <w:rPr>
                            <w:rFonts w:ascii="Cambria Math" w:eastAsia="Cambria Math" w:hAnsi="Cambria Math" w:cs="Cambria Math"/>
                          </w:rPr>
                          <m:t>c</m:t>
                        </m:r>
                      </m:sub>
                    </m:sSub>
                  </m:den>
                </m:f>
                <m:r>
                  <w:rPr>
                    <w:rFonts w:ascii="Cambria Math" w:eastAsia="Cambria Math" w:hAnsi="Cambria Math" w:cs="Cambria Math"/>
                  </w:rPr>
                  <m:t>+s</m:t>
                </m:r>
              </m:e>
            </m:d>
          </m:e>
          <m:sup>
            <m:r>
              <w:rPr>
                <w:rFonts w:ascii="Cambria Math" w:eastAsia="Cambria Math" w:hAnsi="Cambria Math" w:cs="Cambria Math"/>
              </w:rPr>
              <m:t>a</m:t>
            </m:r>
          </m:sup>
        </m:sSup>
      </m:oMath>
      <w:r>
        <w:t xml:space="preserve"> </w:t>
      </w:r>
    </w:p>
    <w:p w14:paraId="79E65CA4" w14:textId="77777777" w:rsidR="004C109E" w:rsidRDefault="004C109E">
      <w:pPr>
        <w:jc w:val="both"/>
      </w:pPr>
    </w:p>
    <w:p w14:paraId="157CFF1C" w14:textId="77777777" w:rsidR="004C109E" w:rsidRDefault="00000000">
      <w:pPr>
        <w:jc w:val="both"/>
      </w:pPr>
      <w:r>
        <w:t>where σ</w:t>
      </w:r>
      <w:r>
        <w:rPr>
          <w:vertAlign w:val="subscript"/>
        </w:rPr>
        <w:t>1</w:t>
      </w:r>
      <w:r>
        <w:t xml:space="preserve"> and σ</w:t>
      </w:r>
      <w:r>
        <w:rPr>
          <w:vertAlign w:val="subscript"/>
        </w:rPr>
        <w:t>3</w:t>
      </w:r>
      <w:r>
        <w:t xml:space="preserve"> are the major and minor principal stresses, respectively, and </w:t>
      </w:r>
      <w:proofErr w:type="spellStart"/>
      <w:r>
        <w:t>σ</w:t>
      </w:r>
      <w:r>
        <w:rPr>
          <w:vertAlign w:val="subscript"/>
        </w:rPr>
        <w:t>c</w:t>
      </w:r>
      <w:proofErr w:type="spellEnd"/>
      <w:r>
        <w:t xml:space="preserve"> is the uniaxial compressive strength of intact rock. The parameters m</w:t>
      </w:r>
      <w:r>
        <w:rPr>
          <w:vertAlign w:val="subscript"/>
        </w:rPr>
        <w:t>b</w:t>
      </w:r>
      <w:r>
        <w:t xml:space="preserve">, </w:t>
      </w:r>
      <w:r>
        <w:rPr>
          <w:vertAlign w:val="subscript"/>
        </w:rPr>
        <w:t>s</w:t>
      </w:r>
      <w:r>
        <w:t xml:space="preserve">, and </w:t>
      </w:r>
      <w:proofErr w:type="spellStart"/>
      <w:r>
        <w:rPr>
          <w:vertAlign w:val="subscript"/>
        </w:rPr>
        <w:t>a</w:t>
      </w:r>
      <w:proofErr w:type="spellEnd"/>
      <w:r>
        <w:t xml:space="preserve"> account for rock mass quality and structure, being related to the </w:t>
      </w:r>
      <w:r>
        <w:rPr>
          <w:i/>
        </w:rPr>
        <w:t>Geological Strength Index (GSI)</w:t>
      </w:r>
      <w:r>
        <w:t xml:space="preserve"> as follow:</w:t>
      </w:r>
    </w:p>
    <w:p w14:paraId="77538EA4" w14:textId="77777777" w:rsidR="004C109E" w:rsidRDefault="004C109E">
      <w:pPr>
        <w:jc w:val="both"/>
      </w:pPr>
    </w:p>
    <w:p w14:paraId="5B940FA1" w14:textId="77777777" w:rsidR="004C109E" w:rsidRDefault="00000000">
      <w:pPr>
        <w:tabs>
          <w:tab w:val="left" w:pos="6804"/>
        </w:tabs>
        <w:jc w:val="both"/>
      </w:pPr>
      <m:oMath>
        <m:sSub>
          <m:sSubPr>
            <m:ctrlPr>
              <w:rPr>
                <w:rFonts w:ascii="Cambria Math" w:eastAsia="Cambria Math" w:hAnsi="Cambria Math" w:cs="Cambria Math"/>
              </w:rPr>
            </m:ctrlPr>
          </m:sSubPr>
          <m:e>
            <m:r>
              <w:rPr>
                <w:rFonts w:ascii="Cambria Math" w:eastAsia="Cambria Math" w:hAnsi="Cambria Math" w:cs="Cambria Math"/>
              </w:rPr>
              <m:t>m</m:t>
            </m:r>
          </m:e>
          <m:sub>
            <m:r>
              <w:rPr>
                <w:rFonts w:ascii="Cambria Math" w:eastAsia="Cambria Math" w:hAnsi="Cambria Math" w:cs="Cambria Math"/>
              </w:rPr>
              <m:t>b</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m</m:t>
            </m:r>
          </m:e>
          <m:sub>
            <m:r>
              <w:rPr>
                <w:rFonts w:ascii="Cambria Math" w:eastAsia="Cambria Math" w:hAnsi="Cambria Math" w:cs="Cambria Math"/>
              </w:rPr>
              <m:t>i</m:t>
            </m:r>
          </m:sub>
        </m:sSub>
        <m:r>
          <w:rPr>
            <w:rFonts w:ascii="Cambria Math" w:eastAsia="Cambria Math" w:hAnsi="Cambria Math" w:cs="Cambria Math"/>
          </w:rPr>
          <m:t>exp</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GSI-100</m:t>
                </m:r>
              </m:num>
              <m:den>
                <m:r>
                  <w:rPr>
                    <w:rFonts w:ascii="Cambria Math" w:eastAsia="Cambria Math" w:hAnsi="Cambria Math" w:cs="Cambria Math"/>
                  </w:rPr>
                  <m:t>28-14D</m:t>
                </m:r>
              </m:den>
            </m:f>
          </m:e>
        </m:d>
      </m:oMath>
      <w:r>
        <w:t xml:space="preserve"> </w:t>
      </w:r>
    </w:p>
    <w:p w14:paraId="5A287C9D" w14:textId="77777777" w:rsidR="004C109E" w:rsidRDefault="00000000">
      <w:pPr>
        <w:tabs>
          <w:tab w:val="left" w:pos="6804"/>
        </w:tabs>
        <w:jc w:val="both"/>
      </w:pPr>
      <m:oMath>
        <m:r>
          <w:rPr>
            <w:rFonts w:ascii="Cambria Math" w:eastAsia="Cambria Math" w:hAnsi="Cambria Math" w:cs="Cambria Math"/>
          </w:rPr>
          <m:t>s=exp</m:t>
        </m:r>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GSI-100</m:t>
                </m:r>
              </m:num>
              <m:den>
                <m:r>
                  <w:rPr>
                    <w:rFonts w:ascii="Cambria Math" w:eastAsia="Cambria Math" w:hAnsi="Cambria Math" w:cs="Cambria Math"/>
                  </w:rPr>
                  <m:t>9-3D</m:t>
                </m:r>
              </m:den>
            </m:f>
          </m:e>
        </m:d>
      </m:oMath>
      <w:r>
        <w:t xml:space="preserve"> </w:t>
      </w:r>
    </w:p>
    <w:p w14:paraId="5E4166CE" w14:textId="77777777" w:rsidR="004C109E" w:rsidRDefault="00000000">
      <w:pPr>
        <w:jc w:val="both"/>
      </w:pPr>
      <m:oMath>
        <m:r>
          <w:rPr>
            <w:rFonts w:ascii="Cambria Math" w:eastAsia="Cambria Math" w:hAnsi="Cambria Math" w:cs="Cambria Math"/>
          </w:rPr>
          <m:t>a=</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6</m:t>
            </m:r>
          </m:den>
        </m:f>
        <m:d>
          <m:dPr>
            <m:ctrlPr>
              <w:rPr>
                <w:rFonts w:ascii="Cambria Math" w:eastAsia="Cambria Math" w:hAnsi="Cambria Math" w:cs="Cambria Math"/>
              </w:rPr>
            </m:ctrlPr>
          </m:dPr>
          <m:e>
            <m:sSup>
              <m:sSupPr>
                <m:ctrlPr>
                  <w:rPr>
                    <w:rFonts w:ascii="Cambria Math" w:eastAsia="Cambria Math" w:hAnsi="Cambria Math" w:cs="Cambria Math"/>
                  </w:rPr>
                </m:ctrlPr>
              </m:sSupPr>
              <m:e>
                <m:r>
                  <w:rPr>
                    <w:rFonts w:ascii="Cambria Math" w:eastAsia="Cambria Math" w:hAnsi="Cambria Math" w:cs="Cambria Math"/>
                  </w:rPr>
                  <m:t>e</m:t>
                </m:r>
              </m:e>
              <m:sup>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GSI</m:t>
                    </m:r>
                  </m:num>
                  <m:den>
                    <m:r>
                      <w:rPr>
                        <w:rFonts w:ascii="Cambria Math" w:eastAsia="Cambria Math" w:hAnsi="Cambria Math" w:cs="Cambria Math"/>
                      </w:rPr>
                      <m:t>15</m:t>
                    </m:r>
                  </m:den>
                </m:f>
              </m:sup>
            </m:sSup>
            <m:r>
              <w:rPr>
                <w:rFonts w:ascii="Cambria Math" w:eastAsia="Cambria Math" w:hAnsi="Cambria Math" w:cs="Cambria Math"/>
              </w:rPr>
              <m:t>-</m:t>
            </m:r>
            <m:sSup>
              <m:sSupPr>
                <m:ctrlPr>
                  <w:rPr>
                    <w:rFonts w:ascii="Cambria Math" w:eastAsia="Cambria Math" w:hAnsi="Cambria Math" w:cs="Cambria Math"/>
                  </w:rPr>
                </m:ctrlPr>
              </m:sSupPr>
              <m:e>
                <m:r>
                  <w:rPr>
                    <w:rFonts w:ascii="Cambria Math" w:eastAsia="Cambria Math" w:hAnsi="Cambria Math" w:cs="Cambria Math"/>
                  </w:rPr>
                  <m:t>e</m:t>
                </m:r>
              </m:e>
              <m:sup>
                <m:r>
                  <w:rPr>
                    <w:rFonts w:ascii="Cambria Math" w:eastAsia="Cambria Math" w:hAnsi="Cambria Math" w:cs="Cambria Math"/>
                  </w:rPr>
                  <m:t>-20</m:t>
                </m:r>
              </m:sup>
            </m:sSup>
          </m:e>
        </m:d>
      </m:oMath>
      <w:r>
        <w:t xml:space="preserve"> </w:t>
      </w:r>
    </w:p>
    <w:p w14:paraId="0E11C987" w14:textId="77777777" w:rsidR="004C109E" w:rsidRDefault="004C109E">
      <w:pPr>
        <w:jc w:val="both"/>
      </w:pPr>
    </w:p>
    <w:p w14:paraId="5B6CE79B" w14:textId="3875F38C" w:rsidR="004C109E" w:rsidRDefault="00000000">
      <w:pPr>
        <w:jc w:val="both"/>
      </w:pPr>
      <w:r>
        <w:t xml:space="preserve">where D represents the disturbance induced by excavation, and mᵢ is the material constant for intact rock (Villeneuve and Heap 2021, Villeneuve et al. 2022). </w:t>
      </w:r>
    </w:p>
    <w:p w14:paraId="7BFDFB8C" w14:textId="200D16C1" w:rsidR="004C109E" w:rsidRDefault="00000000">
      <w:pPr>
        <w:jc w:val="both"/>
      </w:pPr>
      <w:r>
        <w:t>This study also examines the influence of stratigraphic discontinuities within individual units (e.g. layering due to depositional processes), following the approach of Di Traglia et al. (2023a, b, 2024), which has proved effective in replicating crater rim failures on Stromboli. Barton (2013) raises several criticisms of the GSI method, in particular the complexity of its approach to estimating shear strength parameters compared to more simplified methods such as his own, which is derived from the Q classification system for rock masses. However, a key advantage of the GSI method is that it does not assign fixed shear strength values to a rock mass. This is due to the curved failure envelope and the variable stress conditions at different points within the rock mass. In contrast, Barton's method assigns constant shear strength values to a rock mass, but these are determined based on a set of discontinuity parameters and the compressive strength of the intact rock. Building on the methodology proposed by Lunardi et al. (1994a), the SSAP introduced further developments by applying the B-K failure criterion to segments of the sliding surface where the local slope angle matched the predefined discontinuity angle at the interface between the rockfill-like volcaniclastic material and the lava deposits. The mean slope angle (β) governs both the orientation of depositional surfaces and the stratigraphic contacts between volcaniclastic and lava layers. To account for this stratigraphic anisotropy, we define an angular tolerance Δβ, which represents the permissible deviation from the mean slope angle (β) within which discontinuity-controlled failure is assumed to occur. To account for this stratigraphic anisotropy, we propose a combined shear strength model, in which:</w:t>
      </w:r>
    </w:p>
    <w:p w14:paraId="59A82CAF" w14:textId="77777777" w:rsidR="004C109E" w:rsidRDefault="00000000">
      <w:pPr>
        <w:numPr>
          <w:ilvl w:val="0"/>
          <w:numId w:val="5"/>
        </w:numPr>
        <w:jc w:val="both"/>
      </w:pPr>
      <w:r>
        <w:t>The B-K criterion is applied where the sliding surface locally aligns with the mean slope angle (β) ± Δβ.</w:t>
      </w:r>
    </w:p>
    <w:p w14:paraId="23C7151C" w14:textId="77777777" w:rsidR="004C109E" w:rsidRDefault="00000000">
      <w:pPr>
        <w:numPr>
          <w:ilvl w:val="0"/>
          <w:numId w:val="5"/>
        </w:numPr>
        <w:jc w:val="both"/>
      </w:pPr>
      <w:r>
        <w:t>The GHB criterion is applied to all other portions of the failure surface, irrespective of specific discontinuity orientations.</w:t>
      </w:r>
    </w:p>
    <w:p w14:paraId="27819D5A" w14:textId="3B845AA0" w:rsidR="004C109E" w:rsidRDefault="00000000">
      <w:pPr>
        <w:pBdr>
          <w:top w:val="nil"/>
          <w:left w:val="nil"/>
          <w:bottom w:val="nil"/>
          <w:right w:val="nil"/>
          <w:between w:val="nil"/>
        </w:pBdr>
        <w:jc w:val="both"/>
        <w:rPr>
          <w:color w:val="000000"/>
        </w:rPr>
      </w:pPr>
      <w:r>
        <w:rPr>
          <w:color w:val="000000"/>
        </w:rPr>
        <w:t>This approach acknowledges the localised nature of anisotropy, where GHB is used for randomly fractured rock masses (e.g., fractured lava and volcaniclastic deposits), while B-K is specifically assigned to discontinuities at the volcaniclastic-lava interface. Since these materials occur in an alternating pattern on the volcanic slope, with no clear boundary between them, we assume the coexistence of both failure criteria. SSAP dynamically selects the appropriate strength model at runtime based on the local properties of the sliding surface. In this work, the characteristics of discontinuities were varied, with values ranging as specified in Table 2</w:t>
      </w:r>
      <w:r w:rsidR="00D66963">
        <w:rPr>
          <w:color w:val="000000"/>
        </w:rPr>
        <w:t xml:space="preserve"> in the Main Text</w:t>
      </w:r>
      <w:r>
        <w:rPr>
          <w:color w:val="000000"/>
        </w:rPr>
        <w:t>. The primary differences include the presence or absence of discontinuities and the length of persistence L (m).</w:t>
      </w:r>
    </w:p>
    <w:p w14:paraId="327E58CB" w14:textId="77777777" w:rsidR="004C109E" w:rsidRDefault="00000000">
      <w:pPr>
        <w:jc w:val="both"/>
      </w:pPr>
      <w:r>
        <w:t xml:space="preserve">The D parameter is one of the most challenging factors to define when modelling rock masses in a continuous domain using the Generalised Hoek-Brown (GHB) failure criterion. Hoek &amp; Brown (2019) </w:t>
      </w:r>
      <w:r>
        <w:lastRenderedPageBreak/>
        <w:t>provide only qualitative guidance, without establishing definitive criteria for selecting D values, making its determination particularly uncertain in cases where volcaniclastic materials alternate with lava domains.</w:t>
      </w:r>
    </w:p>
    <w:p w14:paraId="34212815" w14:textId="565EB90A" w:rsidR="004C109E" w:rsidRDefault="00000000">
      <w:pPr>
        <w:jc w:val="both"/>
      </w:pPr>
      <w:r>
        <w:t>In this study, we adopt a primary assumption of D = 0, based on the premise that the primary stability concern arises from the presence of weak and persistent discontinuities at the interface between different layers. Moreover, although recent laboratory experiments indicate that repeated seismic events lead to the "weakening" of lava dome samples (Kendrick et al. 2020), previous research by Di Traglia et al. (2023a, 2023b, 2024) has demonstrated that variations in D have minimal influence on the destabilisation of volcaniclastic deposits at Stromboli volcano.</w:t>
      </w:r>
    </w:p>
    <w:p w14:paraId="770B7A47" w14:textId="77777777" w:rsidR="004C109E" w:rsidRDefault="00000000">
      <w:pPr>
        <w:jc w:val="both"/>
      </w:pPr>
      <w:r>
        <w:t>The SSAP provides multiple outputs, including a graphical representation of the lowest FS surfaces, the internal distribution of forces and pressures along the slip surface and within the mass (e.g., pore pressure, effective normal stress, tangential and inter-wedge forces), as well as the local FS distribution along the failure surface. Beyond the LEM-derived FS values, SSAP generates a 2D colour map displaying the average local FS based on the distribution of stresses across the large set of Monte Carlo-generated slip surfaces. According to SSAP documentation (</w:t>
      </w:r>
      <w:proofErr w:type="spellStart"/>
      <w:r>
        <w:t>Borselli</w:t>
      </w:r>
      <w:proofErr w:type="spellEnd"/>
      <w:r>
        <w:t>, 2023), three types of 2D stability maps can be produced, drawing upon a hybrid quasi-Finite Element Method (</w:t>
      </w:r>
      <w:proofErr w:type="spellStart"/>
      <w:r>
        <w:t>qFEM</w:t>
      </w:r>
      <w:proofErr w:type="spellEnd"/>
      <w:r>
        <w:t>) approach (</w:t>
      </w:r>
      <w:proofErr w:type="spellStart"/>
      <w:r>
        <w:t>Borselli</w:t>
      </w:r>
      <w:proofErr w:type="spellEnd"/>
      <w:r>
        <w:t xml:space="preserve">, 2023, integrating LEM and FEM principles to highlight localised critical stress zones within the slope. Although SSAP does not compute deformation directly (as it does not incorporate strain parameters in slope characterisation), these graphical representations help identify zones where progressive failure may develop. The </w:t>
      </w:r>
      <w:proofErr w:type="spellStart"/>
      <w:r>
        <w:t>qFEM</w:t>
      </w:r>
      <w:proofErr w:type="spellEnd"/>
      <w:r>
        <w:t xml:space="preserve"> map illustrates the local FS distribution, incorporating the local slope of each generated surface and indicating the potential direction of plastic deformation in areas where Local FS &lt; 1.0.</w:t>
      </w:r>
    </w:p>
    <w:p w14:paraId="0E5EEF08" w14:textId="77777777" w:rsidR="004C109E" w:rsidRDefault="00000000">
      <w:pPr>
        <w:jc w:val="both"/>
      </w:pPr>
      <w:r>
        <w:t>The slope stability analysis is conducted under static conditions. In the case of Arenal, the effects of loading by thrust at the head of the identified sliding surfaces intersecting the craters were also assessed, following the methodology proposed by Di Traglia et al. (2023a,b) implementing capability of SSAP. Under static conditions, the slope is expected to remain stable, with a factor of safety (FS) significantly greater than unity.</w:t>
      </w:r>
    </w:p>
    <w:p w14:paraId="6B04B57C" w14:textId="77777777" w:rsidR="004C109E" w:rsidRDefault="00000000">
      <w:pPr>
        <w:jc w:val="both"/>
      </w:pPr>
      <w:r>
        <w:t xml:space="preserve">Once the constitutive model of the slopes has been validated, the stability of incandescent rock masses is evaluated by incorporating the thrust exerted by the magma. To simulate magma thrust on the flanks of the crater area, a magma-filled tension crack propagating within the volcaniclastic deposits is considered. Two failure surfaces identified through Limit Equilibrium Method (LEM) analysis are selected, modifying the curvilinear upper boundary into a vertical profile consistent with the original geometry. The selected failure surfaces correspond to conditions favourable for the initiation of </w:t>
      </w:r>
      <w:r>
        <w:rPr>
          <w:i/>
        </w:rPr>
        <w:t>dd-</w:t>
      </w:r>
      <w:r>
        <w:t>PDCs of varying volumes, with remobilized thicknesses ranging between 15 and 30 m, approximately corresponding to 10³–10⁴ m³ and 10⁵–10⁶ m³ of involved material (Di Traglia et al., 2023a, b).</w:t>
      </w:r>
    </w:p>
    <w:p w14:paraId="2EB33D00" w14:textId="77777777" w:rsidR="004C109E" w:rsidRDefault="00000000">
      <w:pPr>
        <w:jc w:val="both"/>
      </w:pPr>
      <w:r>
        <w:t>A lateral destabilizing force is then applied at the top of each failure surface to compute the FS. This force represents the resultant of a triangular pressure distribution (</w:t>
      </w:r>
      <w:proofErr w:type="spellStart"/>
      <w:r>
        <w:t>magmastatic</w:t>
      </w:r>
      <w:proofErr w:type="spellEnd"/>
      <w:r>
        <w:t xml:space="preserve"> pressure) and an excess pore pressure (overpressure), expressed by the equation: </w:t>
      </w:r>
    </w:p>
    <w:p w14:paraId="2D37F2A8" w14:textId="77777777" w:rsidR="004C109E" w:rsidRDefault="004C109E">
      <w:pPr>
        <w:jc w:val="both"/>
      </w:pPr>
    </w:p>
    <w:p w14:paraId="5664DFB6" w14:textId="77777777" w:rsidR="004C109E" w:rsidRDefault="00000000">
      <w:pPr>
        <w:jc w:val="both"/>
        <w:rPr>
          <w:i/>
        </w:rPr>
      </w:pPr>
      <m:oMath>
        <m:r>
          <w:rPr>
            <w:rFonts w:ascii="Cambria Math" w:eastAsia="Cambria Math" w:hAnsi="Cambria Math" w:cs="Cambria Math"/>
          </w:rPr>
          <m:t>F=</m:t>
        </m:r>
        <m:sSub>
          <m:sSubPr>
            <m:ctrlPr>
              <w:rPr>
                <w:rFonts w:ascii="Cambria Math" w:eastAsia="Cambria Math" w:hAnsi="Cambria Math" w:cs="Cambria Math"/>
              </w:rPr>
            </m:ctrlPr>
          </m:sSubPr>
          <m:e>
            <m:r>
              <w:rPr>
                <w:rFonts w:ascii="Cambria Math" w:eastAsia="Cambria Math" w:hAnsi="Cambria Math" w:cs="Cambria Math"/>
              </w:rPr>
              <m:t>F</m:t>
            </m:r>
          </m:e>
          <m:sub>
            <m:r>
              <w:rPr>
                <w:rFonts w:ascii="Cambria Math" w:eastAsia="Cambria Math" w:hAnsi="Cambria Math" w:cs="Cambria Math"/>
              </w:rPr>
              <m:t>m</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F</m:t>
            </m:r>
          </m:e>
          <m:sub>
            <m:r>
              <w:rPr>
                <w:rFonts w:ascii="Cambria Math" w:eastAsia="Cambria Math" w:hAnsi="Cambria Math" w:cs="Cambria Math"/>
              </w:rPr>
              <m:t>e</m:t>
            </m:r>
          </m:sub>
        </m:sSub>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2</m:t>
            </m:r>
          </m:den>
        </m:f>
        <m:sSub>
          <m:sSubPr>
            <m:ctrlPr>
              <w:rPr>
                <w:rFonts w:ascii="Cambria Math" w:eastAsia="Cambria Math" w:hAnsi="Cambria Math" w:cs="Cambria Math"/>
              </w:rPr>
            </m:ctrlPr>
          </m:sSubPr>
          <m:e>
            <m:r>
              <w:rPr>
                <w:rFonts w:ascii="Cambria Math" w:eastAsia="Cambria Math" w:hAnsi="Cambria Math" w:cs="Cambria Math"/>
              </w:rPr>
              <m:t>γ</m:t>
            </m:r>
          </m:e>
          <m:sub>
            <m:r>
              <w:rPr>
                <w:rFonts w:ascii="Cambria Math" w:eastAsia="Cambria Math" w:hAnsi="Cambria Math" w:cs="Cambria Math"/>
              </w:rPr>
              <m:t>m</m:t>
            </m:r>
          </m:sub>
        </m:sSub>
        <m:sSup>
          <m:sSupPr>
            <m:ctrlPr>
              <w:rPr>
                <w:rFonts w:ascii="Cambria Math" w:eastAsia="Cambria Math" w:hAnsi="Cambria Math" w:cs="Cambria Math"/>
              </w:rPr>
            </m:ctrlPr>
          </m:sSupPr>
          <m:e>
            <m:r>
              <w:rPr>
                <w:rFonts w:ascii="Cambria Math" w:eastAsia="Cambria Math" w:hAnsi="Cambria Math" w:cs="Cambria Math"/>
              </w:rPr>
              <m:t>H</m:t>
            </m:r>
          </m:e>
          <m:sup>
            <m:r>
              <w:rPr>
                <w:rFonts w:ascii="Cambria Math" w:eastAsia="Cambria Math" w:hAnsi="Cambria Math" w:cs="Cambria Math"/>
              </w:rPr>
              <m:t>2</m:t>
            </m:r>
          </m:sup>
        </m:sSup>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P</m:t>
            </m:r>
          </m:e>
          <m:sub>
            <m:r>
              <w:rPr>
                <w:rFonts w:ascii="Cambria Math" w:eastAsia="Cambria Math" w:hAnsi="Cambria Math" w:cs="Cambria Math"/>
              </w:rPr>
              <m:t>e</m:t>
            </m:r>
          </m:sub>
        </m:sSub>
        <m:r>
          <w:rPr>
            <w:rFonts w:ascii="Cambria Math" w:eastAsia="Cambria Math" w:hAnsi="Cambria Math" w:cs="Cambria Math"/>
          </w:rPr>
          <m:t>H</m:t>
        </m:r>
      </m:oMath>
      <w:r>
        <w:rPr>
          <w:i/>
        </w:rPr>
        <w:t xml:space="preserve"> </w:t>
      </w:r>
    </w:p>
    <w:p w14:paraId="76E72A4C" w14:textId="77777777" w:rsidR="004C109E" w:rsidRDefault="004C109E">
      <w:pPr>
        <w:jc w:val="both"/>
      </w:pPr>
    </w:p>
    <w:p w14:paraId="1D4E9601" w14:textId="0F9272F0" w:rsidR="004C109E" w:rsidRDefault="00000000">
      <w:pPr>
        <w:spacing w:before="240" w:after="240"/>
        <w:jc w:val="both"/>
      </w:pPr>
      <w:bookmarkStart w:id="0" w:name="_heading=h.d6gkm820o14" w:colFirst="0" w:colLast="0"/>
      <w:bookmarkEnd w:id="0"/>
      <w:r>
        <w:t>where F</w:t>
      </w:r>
      <w:r>
        <w:rPr>
          <w:vertAlign w:val="subscript"/>
        </w:rPr>
        <w:t>m</w:t>
      </w:r>
      <w:r>
        <w:t xml:space="preserve"> is the </w:t>
      </w:r>
      <w:proofErr w:type="spellStart"/>
      <w:r>
        <w:t>magmastatic</w:t>
      </w:r>
      <w:proofErr w:type="spellEnd"/>
      <w:r>
        <w:t xml:space="preserve"> force, F</w:t>
      </w:r>
      <w:r>
        <w:rPr>
          <w:vertAlign w:val="subscript"/>
        </w:rPr>
        <w:t>e</w:t>
      </w:r>
      <w:r>
        <w:t xml:space="preserve"> is the magma thrust due to overpressure, </w:t>
      </w:r>
      <w:proofErr w:type="spellStart"/>
      <w:r>
        <w:rPr>
          <w:i/>
        </w:rPr>
        <w:t>γ</w:t>
      </w:r>
      <w:r>
        <w:rPr>
          <w:i/>
          <w:vertAlign w:val="subscript"/>
        </w:rPr>
        <w:t>m</w:t>
      </w:r>
      <w:proofErr w:type="spellEnd"/>
      <w:r>
        <w:rPr>
          <w:i/>
        </w:rPr>
        <w:t xml:space="preserve"> </w:t>
      </w:r>
      <w:r>
        <w:t xml:space="preserve">is the magma unit weight, </w:t>
      </w:r>
      <w:r>
        <w:rPr>
          <w:i/>
        </w:rPr>
        <w:t xml:space="preserve">H </w:t>
      </w:r>
      <w:r>
        <w:t xml:space="preserve">is the height of the tension crack, </w:t>
      </w:r>
      <w:r>
        <w:rPr>
          <w:i/>
        </w:rPr>
        <w:t>P</w:t>
      </w:r>
      <w:r>
        <w:rPr>
          <w:vertAlign w:val="subscript"/>
        </w:rPr>
        <w:t>0</w:t>
      </w:r>
      <w:r>
        <w:t xml:space="preserve"> is the overpressure. This formulation assumes a vertical fracture (θ = 90°), and a uniform distribution of pressure increasing linearly with depth. We varied magma density between 1500 and 2600 kg/m³ and fracture thickness between 1 and 10 m, calculating the corresponding horizontal force for magma column heights </w:t>
      </w:r>
      <w:r w:rsidR="008B719A">
        <w:t>up</w:t>
      </w:r>
      <w:r>
        <w:t xml:space="preserve"> to 300 m (Figure S1). </w:t>
      </w:r>
      <w:r>
        <w:lastRenderedPageBreak/>
        <w:t>The influence of ground acceleration due to explosive activity was not included in the stability analyses, as it was previously shown by Di Traglia et al. (2023a, b) that for accelerations consistent with paroxysmal explosions, the effect on crater rim stability is almost negligible. The results, summarised across six panels (each representing a different fracture thickness). Within each panel, the force increases progressively with both magma density and column height. For a given fracture thickness, curves corresponding to a density of 2600 kg/m³ consistently show higher force values compared to those for 1500 kg/m³. For instance, in the 10 m fracture panel, the horizontal force exceeds 11 x 10</w:t>
      </w:r>
      <w:r>
        <w:rPr>
          <w:vertAlign w:val="superscript"/>
        </w:rPr>
        <w:t>6</w:t>
      </w:r>
      <w:r>
        <w:t xml:space="preserve"> </w:t>
      </w:r>
      <w:proofErr w:type="spellStart"/>
      <w:r>
        <w:t>kN</w:t>
      </w:r>
      <w:proofErr w:type="spellEnd"/>
      <w:r>
        <w:t>/m. Conversely, forces remain relatively low for thinner fractures and low-density magma, with values remaining below 5 x 10</w:t>
      </w:r>
      <w:r>
        <w:rPr>
          <w:vertAlign w:val="superscript"/>
        </w:rPr>
        <w:t>5</w:t>
      </w:r>
      <w:r>
        <w:t xml:space="preserve"> </w:t>
      </w:r>
      <w:proofErr w:type="spellStart"/>
      <w:r>
        <w:t>kN</w:t>
      </w:r>
      <w:proofErr w:type="spellEnd"/>
      <w:r>
        <w:t xml:space="preserve">/m for 1 m thick fractures filled with magma of 1500 kg/m³ at 50 m height. Magma densification, resulting from vesicle collapse or passive degassing, significantly alters the mechanical regime within a fracture. As vesicles are lost, the effective bulk density of the magma increases, thereby elevating the </w:t>
      </w:r>
      <w:proofErr w:type="spellStart"/>
      <w:r>
        <w:t>magmastatic</w:t>
      </w:r>
      <w:proofErr w:type="spellEnd"/>
      <w:r>
        <w:t xml:space="preserve"> pressure at any given depth. </w:t>
      </w:r>
    </w:p>
    <w:p w14:paraId="6ADD6985" w14:textId="77777777" w:rsidR="004C109E" w:rsidRDefault="00000000">
      <w:pPr>
        <w:keepNext/>
        <w:spacing w:before="240" w:after="240"/>
        <w:jc w:val="both"/>
      </w:pPr>
      <w:r>
        <w:rPr>
          <w:noProof/>
        </w:rPr>
        <w:drawing>
          <wp:inline distT="0" distB="0" distL="0" distR="0" wp14:anchorId="3331E256" wp14:editId="1BC4D775">
            <wp:extent cx="6116320" cy="3397885"/>
            <wp:effectExtent l="0" t="0" r="0" b="0"/>
            <wp:docPr id="1551380334" name="image1.png" descr="Immagine che contiene testo, linea, Diagramma, diagramma&#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testo, linea, Diagramma, diagramma&#10;&#10;Descrizione generata automaticamente"/>
                    <pic:cNvPicPr preferRelativeResize="0"/>
                  </pic:nvPicPr>
                  <pic:blipFill>
                    <a:blip r:embed="rId6"/>
                    <a:srcRect/>
                    <a:stretch>
                      <a:fillRect/>
                    </a:stretch>
                  </pic:blipFill>
                  <pic:spPr>
                    <a:xfrm>
                      <a:off x="0" y="0"/>
                      <a:ext cx="6116320" cy="3397885"/>
                    </a:xfrm>
                    <a:prstGeom prst="rect">
                      <a:avLst/>
                    </a:prstGeom>
                    <a:ln/>
                  </pic:spPr>
                </pic:pic>
              </a:graphicData>
            </a:graphic>
          </wp:inline>
        </w:drawing>
      </w:r>
    </w:p>
    <w:p w14:paraId="4B260642" w14:textId="0222C43D" w:rsidR="004C109E" w:rsidRDefault="00000000">
      <w:pPr>
        <w:pBdr>
          <w:top w:val="nil"/>
          <w:left w:val="nil"/>
          <w:bottom w:val="nil"/>
          <w:right w:val="nil"/>
          <w:between w:val="nil"/>
        </w:pBdr>
        <w:spacing w:after="200"/>
        <w:jc w:val="both"/>
        <w:rPr>
          <w:i/>
          <w:color w:val="44546A"/>
          <w:sz w:val="18"/>
          <w:szCs w:val="18"/>
        </w:rPr>
      </w:pPr>
      <w:r>
        <w:rPr>
          <w:i/>
          <w:color w:val="44546A"/>
          <w:sz w:val="18"/>
          <w:szCs w:val="18"/>
        </w:rPr>
        <w:t>Figure S1. Horizontal force exerted by magma within a vertical fracture as a function of column height, for different fracture thicknesses (1–10 m). Solid and dashed lines correspond to magma densities of 2600 kg/m³ and 1500 kg/m³, respectively. The calculated values support the magmatic thrust conditions used in the limit-equilibrium modelling of crater rim instability at Arenal volcano (see Fig</w:t>
      </w:r>
      <w:r w:rsidR="00145DBE">
        <w:rPr>
          <w:i/>
          <w:color w:val="44546A"/>
          <w:sz w:val="18"/>
          <w:szCs w:val="18"/>
        </w:rPr>
        <w:t>.</w:t>
      </w:r>
      <w:r>
        <w:rPr>
          <w:i/>
          <w:color w:val="44546A"/>
          <w:sz w:val="18"/>
          <w:szCs w:val="18"/>
        </w:rPr>
        <w:t xml:space="preserve"> 5</w:t>
      </w:r>
      <w:r w:rsidR="00145DBE">
        <w:rPr>
          <w:i/>
          <w:color w:val="44546A"/>
          <w:sz w:val="18"/>
          <w:szCs w:val="18"/>
        </w:rPr>
        <w:t xml:space="preserve"> in main text</w:t>
      </w:r>
      <w:r>
        <w:rPr>
          <w:i/>
          <w:color w:val="44546A"/>
          <w:sz w:val="18"/>
          <w:szCs w:val="18"/>
        </w:rPr>
        <w:t>). Force increases non-linearly with column height and fracture thickness, and is significantly higher for denser magma.</w:t>
      </w:r>
    </w:p>
    <w:p w14:paraId="0CCADE08" w14:textId="77777777" w:rsidR="004C109E" w:rsidRDefault="004C109E">
      <w:pPr>
        <w:jc w:val="both"/>
      </w:pPr>
    </w:p>
    <w:p w14:paraId="5DB49A64" w14:textId="77777777" w:rsidR="004C109E" w:rsidRDefault="00000000">
      <w:pPr>
        <w:jc w:val="both"/>
        <w:rPr>
          <w:b/>
        </w:rPr>
      </w:pPr>
      <w:r>
        <w:rPr>
          <w:b/>
        </w:rPr>
        <w:t>References for S1</w:t>
      </w:r>
    </w:p>
    <w:p w14:paraId="7493E516" w14:textId="77777777" w:rsidR="004C109E" w:rsidRDefault="004C109E">
      <w:pPr>
        <w:jc w:val="both"/>
      </w:pPr>
    </w:p>
    <w:p w14:paraId="68C8795F" w14:textId="77777777" w:rsidR="004C109E" w:rsidRDefault="00000000">
      <w:pPr>
        <w:numPr>
          <w:ilvl w:val="0"/>
          <w:numId w:val="3"/>
        </w:numPr>
        <w:pBdr>
          <w:top w:val="nil"/>
          <w:left w:val="nil"/>
          <w:bottom w:val="nil"/>
          <w:right w:val="nil"/>
          <w:between w:val="nil"/>
        </w:pBdr>
        <w:jc w:val="both"/>
        <w:rPr>
          <w:color w:val="000000"/>
        </w:rPr>
      </w:pPr>
      <w:r>
        <w:rPr>
          <w:color w:val="000000"/>
        </w:rPr>
        <w:t>Barton, N. Shear strength criteria for rock, rock joints, rockfill and rock masses: Problems and some solutions. J. Rock Mech. Geotechnic. Eng. 5(4), 249-261. DOI: 10.1016/j.jrmge.2013.05.008</w:t>
      </w:r>
    </w:p>
    <w:p w14:paraId="6DE51F6E" w14:textId="77777777" w:rsidR="004C109E" w:rsidRDefault="00000000">
      <w:pPr>
        <w:numPr>
          <w:ilvl w:val="0"/>
          <w:numId w:val="3"/>
        </w:numPr>
        <w:pBdr>
          <w:top w:val="nil"/>
          <w:left w:val="nil"/>
          <w:bottom w:val="nil"/>
          <w:right w:val="nil"/>
          <w:between w:val="nil"/>
        </w:pBdr>
        <w:jc w:val="both"/>
      </w:pPr>
      <w:proofErr w:type="spellStart"/>
      <w:r>
        <w:rPr>
          <w:color w:val="000000"/>
        </w:rPr>
        <w:t>Borselli</w:t>
      </w:r>
      <w:proofErr w:type="spellEnd"/>
      <w:r>
        <w:rPr>
          <w:color w:val="000000"/>
        </w:rPr>
        <w:t xml:space="preserve">, L., et al. Flank collapse scenarios at </w:t>
      </w:r>
      <w:proofErr w:type="spellStart"/>
      <w:r>
        <w:rPr>
          <w:color w:val="000000"/>
        </w:rPr>
        <w:t>Volcán</w:t>
      </w:r>
      <w:proofErr w:type="spellEnd"/>
      <w:r>
        <w:rPr>
          <w:color w:val="000000"/>
        </w:rPr>
        <w:t xml:space="preserve"> de Colima, Mexico: a relative instability analysis. J. </w:t>
      </w:r>
      <w:proofErr w:type="spellStart"/>
      <w:r>
        <w:rPr>
          <w:color w:val="000000"/>
        </w:rPr>
        <w:t>Volcanol</w:t>
      </w:r>
      <w:proofErr w:type="spellEnd"/>
      <w:r>
        <w:rPr>
          <w:color w:val="000000"/>
        </w:rPr>
        <w:t>. Geotherm. Res. 208(1-2), 51-65. (2011). DOI: 10.1016/j.jvolgeores.2011.08.004</w:t>
      </w:r>
    </w:p>
    <w:p w14:paraId="09F3AAB6" w14:textId="77777777" w:rsidR="004C109E" w:rsidRDefault="00000000">
      <w:pPr>
        <w:numPr>
          <w:ilvl w:val="0"/>
          <w:numId w:val="3"/>
        </w:numPr>
        <w:pBdr>
          <w:top w:val="nil"/>
          <w:left w:val="nil"/>
          <w:bottom w:val="nil"/>
          <w:right w:val="nil"/>
          <w:between w:val="nil"/>
        </w:pBdr>
        <w:jc w:val="both"/>
      </w:pPr>
      <w:proofErr w:type="spellStart"/>
      <w:r>
        <w:rPr>
          <w:color w:val="000000"/>
        </w:rPr>
        <w:t>Borselli</w:t>
      </w:r>
      <w:proofErr w:type="spellEnd"/>
      <w:r>
        <w:rPr>
          <w:color w:val="000000"/>
        </w:rPr>
        <w:t xml:space="preserve">, L. "SSAP 5.2 - SLOPE STABILITY ANALYSIS PROGRAM". </w:t>
      </w:r>
      <w:r w:rsidRPr="00145DBE">
        <w:rPr>
          <w:color w:val="000000"/>
          <w:lang w:val="it-IT"/>
        </w:rPr>
        <w:t xml:space="preserve">MANUALE DI RIFERIMENTO. DEL CODICE SSAP Versione 5.2. </w:t>
      </w:r>
      <w:proofErr w:type="spellStart"/>
      <w:r>
        <w:rPr>
          <w:color w:val="000000"/>
        </w:rPr>
        <w:t>Researchgate</w:t>
      </w:r>
      <w:proofErr w:type="spellEnd"/>
      <w:r>
        <w:rPr>
          <w:color w:val="000000"/>
        </w:rPr>
        <w:t xml:space="preserve"> (2023). DOI: </w:t>
      </w:r>
      <w:r>
        <w:rPr>
          <w:color w:val="000000"/>
        </w:rPr>
        <w:lastRenderedPageBreak/>
        <w:t xml:space="preserve">https://dx.doi.org/10.13140/RG.2.2.19931.03361Morgenstern, N.R. and Price, V.E. The Analysis of the Stability of General Slip Surfaces. </w:t>
      </w:r>
      <w:proofErr w:type="spellStart"/>
      <w:r>
        <w:rPr>
          <w:color w:val="000000"/>
        </w:rPr>
        <w:t>Géotechnique</w:t>
      </w:r>
      <w:proofErr w:type="spellEnd"/>
      <w:r>
        <w:rPr>
          <w:color w:val="000000"/>
        </w:rPr>
        <w:t>, 15, 79-93 (1965).</w:t>
      </w:r>
    </w:p>
    <w:p w14:paraId="63E8C362" w14:textId="77777777" w:rsidR="004C109E" w:rsidRDefault="00000000">
      <w:pPr>
        <w:numPr>
          <w:ilvl w:val="0"/>
          <w:numId w:val="3"/>
        </w:numPr>
        <w:pBdr>
          <w:top w:val="nil"/>
          <w:left w:val="nil"/>
          <w:bottom w:val="nil"/>
          <w:right w:val="nil"/>
          <w:between w:val="nil"/>
        </w:pBdr>
        <w:jc w:val="both"/>
        <w:rPr>
          <w:color w:val="000000"/>
        </w:rPr>
      </w:pPr>
      <w:r w:rsidRPr="00145DBE">
        <w:rPr>
          <w:color w:val="000000"/>
          <w:lang w:val="it-IT"/>
        </w:rPr>
        <w:t xml:space="preserve">Di Traglia, F., et al. </w:t>
      </w:r>
      <w:r>
        <w:rPr>
          <w:color w:val="000000"/>
        </w:rPr>
        <w:t>Crater-rim collapse at Stromboli volcano: understanding the mechanisms leading from the failure of hot rocks to the development of glowing avalanches. Nat. Haz. 115(3), 2051-2068 (2023a). DOI: 10.1007/s11069-022-05626-y</w:t>
      </w:r>
    </w:p>
    <w:p w14:paraId="739C7A70" w14:textId="77777777" w:rsidR="004C109E" w:rsidRDefault="00000000">
      <w:pPr>
        <w:numPr>
          <w:ilvl w:val="0"/>
          <w:numId w:val="3"/>
        </w:numPr>
        <w:pBdr>
          <w:top w:val="nil"/>
          <w:left w:val="nil"/>
          <w:bottom w:val="nil"/>
          <w:right w:val="nil"/>
          <w:between w:val="nil"/>
        </w:pBdr>
        <w:jc w:val="both"/>
      </w:pPr>
      <w:r w:rsidRPr="00145DBE">
        <w:rPr>
          <w:color w:val="000000"/>
          <w:lang w:val="it-IT"/>
        </w:rPr>
        <w:t xml:space="preserve">Di Traglia, F., et al. </w:t>
      </w:r>
      <w:r>
        <w:rPr>
          <w:color w:val="000000"/>
        </w:rPr>
        <w:t>Assessing flank instability of Stromboli volcano (Italy) by reappraising the 30 December 2002 tsunamigenic landslides. Landslides 20, 1363–1380 (2023b). DOI: 10.1007/s10346-023-02043-5</w:t>
      </w:r>
    </w:p>
    <w:p w14:paraId="551213D8" w14:textId="77777777" w:rsidR="004C109E" w:rsidRDefault="00000000">
      <w:pPr>
        <w:numPr>
          <w:ilvl w:val="0"/>
          <w:numId w:val="3"/>
        </w:numPr>
        <w:pBdr>
          <w:top w:val="nil"/>
          <w:left w:val="nil"/>
          <w:bottom w:val="nil"/>
          <w:right w:val="nil"/>
          <w:between w:val="nil"/>
        </w:pBdr>
        <w:jc w:val="both"/>
        <w:rPr>
          <w:color w:val="000000"/>
        </w:rPr>
      </w:pPr>
      <w:r w:rsidRPr="00145DBE">
        <w:rPr>
          <w:color w:val="000000"/>
          <w:lang w:val="it-IT"/>
        </w:rPr>
        <w:t xml:space="preserve">Di Traglia, F., et al. </w:t>
      </w:r>
      <w:r>
        <w:rPr>
          <w:color w:val="000000"/>
        </w:rPr>
        <w:t xml:space="preserve">Generation of deposit-derived pyroclastic density currents by repeated crater rim failures at Stromboli Volcano (Italy). Bull </w:t>
      </w:r>
      <w:proofErr w:type="spellStart"/>
      <w:r>
        <w:rPr>
          <w:color w:val="000000"/>
        </w:rPr>
        <w:t>Volcanol</w:t>
      </w:r>
      <w:proofErr w:type="spellEnd"/>
      <w:r>
        <w:rPr>
          <w:color w:val="000000"/>
        </w:rPr>
        <w:t xml:space="preserve"> 8 (8), 69 (2024). DOI: 10.1007/s00445-024-01761-5 .</w:t>
      </w:r>
    </w:p>
    <w:p w14:paraId="31903ABC" w14:textId="77777777" w:rsidR="004C109E" w:rsidRDefault="00000000">
      <w:pPr>
        <w:numPr>
          <w:ilvl w:val="0"/>
          <w:numId w:val="3"/>
        </w:numPr>
        <w:pBdr>
          <w:top w:val="nil"/>
          <w:left w:val="nil"/>
          <w:bottom w:val="nil"/>
          <w:right w:val="nil"/>
          <w:between w:val="nil"/>
        </w:pBdr>
        <w:jc w:val="both"/>
        <w:rPr>
          <w:color w:val="000000"/>
        </w:rPr>
      </w:pPr>
      <w:r>
        <w:rPr>
          <w:color w:val="000000"/>
        </w:rPr>
        <w:t>Hoek, E., and Brown, E. T. The Hoek–Brown failure criterion and GSI–2018 edition. J. Rock Mech. Geotechnic. Eng. 11(3), 445-463 (2019). DOI: 10.1016/j.jrmge.2018.08.001</w:t>
      </w:r>
    </w:p>
    <w:p w14:paraId="0529FC0B" w14:textId="77777777" w:rsidR="004C109E" w:rsidRDefault="00000000">
      <w:pPr>
        <w:numPr>
          <w:ilvl w:val="0"/>
          <w:numId w:val="3"/>
        </w:numPr>
        <w:pBdr>
          <w:top w:val="nil"/>
          <w:left w:val="nil"/>
          <w:bottom w:val="nil"/>
          <w:right w:val="nil"/>
          <w:between w:val="nil"/>
        </w:pBdr>
        <w:jc w:val="both"/>
        <w:rPr>
          <w:color w:val="000000"/>
        </w:rPr>
      </w:pPr>
      <w:r>
        <w:rPr>
          <w:color w:val="000000"/>
        </w:rPr>
        <w:t>Lunardi, P., et al. Rock mechanics investigations for rock slope stability assessment. In International journal of rock mechanics and mining sciences &amp; geomechanics abstracts (Vol. 31, No. 4, pp. 323-345). Pergamon (1994).</w:t>
      </w:r>
    </w:p>
    <w:p w14:paraId="36B6D8E3" w14:textId="77777777" w:rsidR="004C109E" w:rsidRDefault="00000000">
      <w:pPr>
        <w:numPr>
          <w:ilvl w:val="0"/>
          <w:numId w:val="3"/>
        </w:numPr>
        <w:pBdr>
          <w:top w:val="nil"/>
          <w:left w:val="nil"/>
          <w:bottom w:val="nil"/>
          <w:right w:val="nil"/>
          <w:between w:val="nil"/>
        </w:pBdr>
        <w:jc w:val="both"/>
        <w:rPr>
          <w:color w:val="000000"/>
        </w:rPr>
      </w:pPr>
      <w:r>
        <w:rPr>
          <w:color w:val="000000"/>
        </w:rPr>
        <w:t xml:space="preserve">Villeneuve, M. C. &amp; Heap, M. J. Calculating the cohesion and internal friction angle of volcanic rocks and rock masses. </w:t>
      </w:r>
      <w:proofErr w:type="spellStart"/>
      <w:r>
        <w:rPr>
          <w:color w:val="000000"/>
        </w:rPr>
        <w:t>Volcanica</w:t>
      </w:r>
      <w:proofErr w:type="spellEnd"/>
      <w:r>
        <w:rPr>
          <w:color w:val="000000"/>
        </w:rPr>
        <w:t xml:space="preserve"> 4, 279–293 (2021). DOI: 10.30909/vol.04.02.279293</w:t>
      </w:r>
    </w:p>
    <w:p w14:paraId="1FAB3A5C" w14:textId="77777777" w:rsidR="004C109E" w:rsidRDefault="00000000">
      <w:pPr>
        <w:numPr>
          <w:ilvl w:val="0"/>
          <w:numId w:val="3"/>
        </w:numPr>
        <w:pBdr>
          <w:top w:val="nil"/>
          <w:left w:val="nil"/>
          <w:bottom w:val="nil"/>
          <w:right w:val="nil"/>
          <w:between w:val="nil"/>
        </w:pBdr>
        <w:jc w:val="both"/>
        <w:rPr>
          <w:color w:val="000000"/>
        </w:rPr>
      </w:pPr>
      <w:r>
        <w:rPr>
          <w:color w:val="000000"/>
        </w:rPr>
        <w:t>Villeneuve, M. C., et al. Defining the Hoek-Brown constant mi for volcanic lithologies. in Rock Mechanics and Engineering Geology in Volcanic Fields 261–268 (CRC Press, 2022).</w:t>
      </w:r>
    </w:p>
    <w:sectPr w:rsidR="004C109E">
      <w:pgSz w:w="11900" w:h="16840"/>
      <w:pgMar w:top="1417"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96348"/>
    <w:multiLevelType w:val="multilevel"/>
    <w:tmpl w:val="0DFE44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C107B84"/>
    <w:multiLevelType w:val="multilevel"/>
    <w:tmpl w:val="B6520C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35A7628"/>
    <w:multiLevelType w:val="multilevel"/>
    <w:tmpl w:val="52D08FB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24CB497F"/>
    <w:multiLevelType w:val="multilevel"/>
    <w:tmpl w:val="A52859EC"/>
    <w:lvl w:ilvl="0">
      <w:start w:val="1"/>
      <w:numFmt w:val="decimal"/>
      <w:pStyle w:val="MDPI38bullet"/>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AE30E3B"/>
    <w:multiLevelType w:val="multilevel"/>
    <w:tmpl w:val="47A28E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C1261EA"/>
    <w:multiLevelType w:val="multilevel"/>
    <w:tmpl w:val="2154D7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FD45D0B"/>
    <w:multiLevelType w:val="multilevel"/>
    <w:tmpl w:val="57329AC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443A1CC5"/>
    <w:multiLevelType w:val="multilevel"/>
    <w:tmpl w:val="EDEC33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D671552"/>
    <w:multiLevelType w:val="multilevel"/>
    <w:tmpl w:val="1A406B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EAE7DA3"/>
    <w:multiLevelType w:val="multilevel"/>
    <w:tmpl w:val="2FCC02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08F070A"/>
    <w:multiLevelType w:val="multilevel"/>
    <w:tmpl w:val="74E4EB8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330453189">
    <w:abstractNumId w:val="3"/>
  </w:num>
  <w:num w:numId="2" w16cid:durableId="1348604253">
    <w:abstractNumId w:val="7"/>
  </w:num>
  <w:num w:numId="3" w16cid:durableId="1242987451">
    <w:abstractNumId w:val="8"/>
  </w:num>
  <w:num w:numId="4" w16cid:durableId="1631593123">
    <w:abstractNumId w:val="9"/>
  </w:num>
  <w:num w:numId="5" w16cid:durableId="9141334">
    <w:abstractNumId w:val="10"/>
  </w:num>
  <w:num w:numId="6" w16cid:durableId="359086717">
    <w:abstractNumId w:val="5"/>
  </w:num>
  <w:num w:numId="7" w16cid:durableId="788746813">
    <w:abstractNumId w:val="2"/>
  </w:num>
  <w:num w:numId="8" w16cid:durableId="406995955">
    <w:abstractNumId w:val="0"/>
  </w:num>
  <w:num w:numId="9" w16cid:durableId="2125878490">
    <w:abstractNumId w:val="6"/>
  </w:num>
  <w:num w:numId="10" w16cid:durableId="2024934812">
    <w:abstractNumId w:val="1"/>
  </w:num>
  <w:num w:numId="11" w16cid:durableId="7966828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09E"/>
    <w:rsid w:val="000360D9"/>
    <w:rsid w:val="00145DBE"/>
    <w:rsid w:val="004C109E"/>
    <w:rsid w:val="008B719A"/>
    <w:rsid w:val="00D66963"/>
    <w:rsid w:val="00D819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F36FED0"/>
  <w15:docId w15:val="{AD4C58DD-DFDC-B34A-BC35-B8F33D789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NormaleWeb">
    <w:name w:val="Normal (Web)"/>
    <w:uiPriority w:val="99"/>
    <w:unhideWhenUsed/>
    <w:rsid w:val="007665B7"/>
    <w:pPr>
      <w:spacing w:before="100" w:beforeAutospacing="1" w:after="100" w:afterAutospacing="1"/>
    </w:pPr>
    <w:rPr>
      <w:rFonts w:ascii="Times New Roman" w:eastAsia="Times New Roman" w:hAnsi="Times New Roman" w:cs="Times New Roman"/>
    </w:rPr>
  </w:style>
  <w:style w:type="table" w:styleId="Grigliatabella">
    <w:name w:val="Table Grid"/>
    <w:basedOn w:val="Tabellanormale"/>
    <w:uiPriority w:val="39"/>
    <w:rsid w:val="00031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8bullet">
    <w:name w:val="MDPI_3.8_bullet"/>
    <w:qFormat/>
    <w:rsid w:val="003C284A"/>
    <w:pPr>
      <w:numPr>
        <w:numId w:val="1"/>
      </w:numPr>
      <w:adjustRightInd w:val="0"/>
      <w:snapToGrid w:val="0"/>
      <w:spacing w:line="228" w:lineRule="auto"/>
      <w:jc w:val="both"/>
    </w:pPr>
    <w:rPr>
      <w:rFonts w:ascii="Palatino Linotype" w:eastAsia="Times New Roman" w:hAnsi="Palatino Linotype" w:cs="Times New Roman"/>
      <w:color w:val="000000"/>
      <w:sz w:val="20"/>
      <w:szCs w:val="22"/>
      <w:lang w:eastAsia="de-DE" w:bidi="en-US"/>
    </w:rPr>
  </w:style>
  <w:style w:type="character" w:styleId="Enfasigrassetto">
    <w:name w:val="Strong"/>
    <w:basedOn w:val="Carpredefinitoparagrafo"/>
    <w:uiPriority w:val="22"/>
    <w:qFormat/>
    <w:rsid w:val="000606FE"/>
    <w:rPr>
      <w:b/>
      <w:bCs/>
    </w:rPr>
  </w:style>
  <w:style w:type="character" w:styleId="Testosegnaposto">
    <w:name w:val="Placeholder Text"/>
    <w:basedOn w:val="Carpredefinitoparagrafo"/>
    <w:uiPriority w:val="99"/>
    <w:semiHidden/>
    <w:rsid w:val="001C6E8C"/>
    <w:rPr>
      <w:color w:val="808080"/>
    </w:rPr>
  </w:style>
  <w:style w:type="character" w:customStyle="1" w:styleId="katex-mathml">
    <w:name w:val="katex-mathml"/>
    <w:basedOn w:val="Carpredefinitoparagrafo"/>
    <w:rsid w:val="001C6E8C"/>
  </w:style>
  <w:style w:type="character" w:customStyle="1" w:styleId="mord">
    <w:name w:val="mord"/>
    <w:basedOn w:val="Carpredefinitoparagrafo"/>
    <w:rsid w:val="001C6E8C"/>
  </w:style>
  <w:style w:type="character" w:customStyle="1" w:styleId="vlist-s">
    <w:name w:val="vlist-s"/>
    <w:basedOn w:val="Carpredefinitoparagrafo"/>
    <w:rsid w:val="001C6E8C"/>
  </w:style>
  <w:style w:type="character" w:customStyle="1" w:styleId="katex">
    <w:name w:val="katex"/>
    <w:basedOn w:val="Carpredefinitoparagrafo"/>
    <w:rsid w:val="00B14A58"/>
  </w:style>
  <w:style w:type="paragraph" w:styleId="Didascalia">
    <w:name w:val="caption"/>
    <w:uiPriority w:val="35"/>
    <w:unhideWhenUsed/>
    <w:qFormat/>
    <w:rsid w:val="003F06DB"/>
    <w:pPr>
      <w:spacing w:after="200"/>
    </w:pPr>
    <w:rPr>
      <w:i/>
      <w:iCs/>
      <w:color w:val="44546A" w:themeColor="text2"/>
      <w:sz w:val="18"/>
      <w:szCs w:val="18"/>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15" w:type="dxa"/>
        <w:right w:w="115" w:type="dxa"/>
      </w:tblCellMar>
    </w:tblPr>
  </w:style>
  <w:style w:type="paragraph" w:styleId="Paragrafoelenco">
    <w:name w:val="List Paragraph"/>
    <w:uiPriority w:val="34"/>
    <w:qFormat/>
    <w:rsid w:val="00836457"/>
    <w:pPr>
      <w:ind w:left="720"/>
      <w:contextualSpacing/>
    </w:pPr>
  </w:style>
  <w:style w:type="table" w:customStyle="1" w:styleId="a1">
    <w:basedOn w:val="TableNormal2"/>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15" w:type="dxa"/>
        <w:right w:w="115" w:type="dxa"/>
      </w:tblCellMar>
    </w:tblPr>
  </w:style>
  <w:style w:type="character" w:styleId="Rimandocommento">
    <w:name w:val="annotation reference"/>
    <w:basedOn w:val="Carpredefinitoparagrafo"/>
    <w:uiPriority w:val="99"/>
    <w:semiHidden/>
    <w:unhideWhenUsed/>
    <w:rsid w:val="00DB3BC4"/>
    <w:rPr>
      <w:sz w:val="16"/>
      <w:szCs w:val="16"/>
    </w:rPr>
  </w:style>
  <w:style w:type="paragraph" w:styleId="Testocommento">
    <w:name w:val="annotation text"/>
    <w:basedOn w:val="Normale"/>
    <w:link w:val="TestocommentoCarattere"/>
    <w:uiPriority w:val="99"/>
    <w:semiHidden/>
    <w:unhideWhenUsed/>
    <w:rsid w:val="00DB3BC4"/>
    <w:rPr>
      <w:sz w:val="20"/>
      <w:szCs w:val="20"/>
    </w:rPr>
  </w:style>
  <w:style w:type="character" w:customStyle="1" w:styleId="TestocommentoCarattere">
    <w:name w:val="Testo commento Carattere"/>
    <w:basedOn w:val="Carpredefinitoparagrafo"/>
    <w:link w:val="Testocommento"/>
    <w:uiPriority w:val="99"/>
    <w:semiHidden/>
    <w:rsid w:val="00DB3BC4"/>
    <w:rPr>
      <w:sz w:val="20"/>
      <w:szCs w:val="20"/>
    </w:rPr>
  </w:style>
  <w:style w:type="paragraph" w:styleId="Soggettocommento">
    <w:name w:val="annotation subject"/>
    <w:basedOn w:val="Testocommento"/>
    <w:next w:val="Testocommento"/>
    <w:link w:val="SoggettocommentoCarattere"/>
    <w:uiPriority w:val="99"/>
    <w:semiHidden/>
    <w:unhideWhenUsed/>
    <w:rsid w:val="00DB3BC4"/>
    <w:rPr>
      <w:b/>
      <w:bCs/>
    </w:rPr>
  </w:style>
  <w:style w:type="character" w:customStyle="1" w:styleId="SoggettocommentoCarattere">
    <w:name w:val="Soggetto commento Carattere"/>
    <w:basedOn w:val="TestocommentoCarattere"/>
    <w:link w:val="Soggettocommento"/>
    <w:uiPriority w:val="99"/>
    <w:semiHidden/>
    <w:rsid w:val="00DB3BC4"/>
    <w:rPr>
      <w:b/>
      <w:bCs/>
      <w:sz w:val="20"/>
      <w:szCs w:val="20"/>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0DI9oczn5/fEyzFf6muxSMOAcg==">CgMxLjAyCGguZ2pkZ3hzMg9pZC43YW9sbTU0Y25oamYyD2lkLm9zN2k3ZHFvaHYwcjINaC5kNmdrbTgyMG8xNDgAakkKNXN1Z2dlc3RJZEltcG9ydGU2Mjc1NTNiLWYzM2ItNGQxOS1iYWJkLThhZTBiMDNiODZkMl80EhBsb3JlbnpvIGJvcnNlbGxpakkKNXN1Z2dlc3RJZEltcG9ydGU2Mjc1NTNiLWYzM2ItNGQxOS1iYWJkLThhZTBiMDNiODZkMl8zEhBsb3JlbnpvIGJvcnNlbGxpakkKNXN1Z2dlc3RJZEltcG9ydGU2Mjc1NTNiLWYzM2ItNGQxOS1iYWJkLThhZTBiMDNiODZkMl8xEhBsb3JlbnpvIGJvcnNlbGxpciExenlVU0JaZkU0UXB5a2ZtT2F4a1diczZvUlNPZTVZT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2916</Words>
  <Characters>16622</Characters>
  <Application>Microsoft Office Word</Application>
  <DocSecurity>0</DocSecurity>
  <Lines>138</Lines>
  <Paragraphs>38</Paragraphs>
  <ScaleCrop>false</ScaleCrop>
  <Company/>
  <LinksUpToDate>false</LinksUpToDate>
  <CharactersWithSpaces>19500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Federico Ditraglia</dc:creator>
  <cp:lastModifiedBy>Federico Ditraglia</cp:lastModifiedBy>
  <cp:revision>6</cp:revision>
  <dcterms:created xsi:type="dcterms:W3CDTF">2025-08-04T09:54:00Z</dcterms:created>
  <dcterms:modified xsi:type="dcterms:W3CDTF">2025-08-14T15:20:00Z</dcterms:modified>
</cp:coreProperties>
</file>