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D31B8A" w14:textId="77777777" w:rsidR="0057789C" w:rsidRPr="00BC533C" w:rsidRDefault="0057789C" w:rsidP="0057789C">
      <w:pPr>
        <w:jc w:val="center"/>
        <w:rPr>
          <w:rFonts w:ascii="Arial" w:hAnsi="Arial" w:cs="Arial"/>
          <w:sz w:val="22"/>
          <w:szCs w:val="22"/>
        </w:rPr>
      </w:pPr>
      <w:r w:rsidRPr="00BC533C">
        <w:rPr>
          <w:rFonts w:ascii="Arial" w:hAnsi="Arial" w:cs="Arial"/>
          <w:sz w:val="22"/>
          <w:szCs w:val="22"/>
        </w:rPr>
        <w:t>Bulletin of Volcanology</w:t>
      </w:r>
    </w:p>
    <w:p w14:paraId="3077A12E" w14:textId="33D474A5" w:rsidR="0078727C" w:rsidRPr="00BC533C" w:rsidRDefault="0057789C" w:rsidP="0057789C">
      <w:pPr>
        <w:jc w:val="center"/>
        <w:rPr>
          <w:rFonts w:ascii="Arial" w:hAnsi="Arial" w:cs="Arial"/>
          <w:sz w:val="22"/>
          <w:szCs w:val="22"/>
        </w:rPr>
      </w:pPr>
      <w:r w:rsidRPr="00BC533C">
        <w:rPr>
          <w:rFonts w:ascii="Arial" w:hAnsi="Arial" w:cs="Arial"/>
          <w:sz w:val="22"/>
          <w:szCs w:val="22"/>
        </w:rPr>
        <w:t>Supporting Information for</w:t>
      </w:r>
    </w:p>
    <w:p w14:paraId="003CBFA4" w14:textId="77777777" w:rsidR="0057789C" w:rsidRPr="00BC533C" w:rsidRDefault="0057789C" w:rsidP="0057789C">
      <w:pPr>
        <w:jc w:val="center"/>
        <w:rPr>
          <w:rFonts w:ascii="Arial" w:hAnsi="Arial" w:cs="Arial"/>
          <w:sz w:val="22"/>
          <w:szCs w:val="22"/>
        </w:rPr>
      </w:pPr>
    </w:p>
    <w:p w14:paraId="689EEE47" w14:textId="4B3BCFD8" w:rsidR="0057789C" w:rsidRPr="00BC533C" w:rsidRDefault="0057789C" w:rsidP="0057789C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ykvqzcu8x74e" w:colFirst="0" w:colLast="0"/>
      <w:bookmarkEnd w:id="0"/>
      <w:r w:rsidRPr="00BC533C">
        <w:rPr>
          <w:rFonts w:ascii="Arial" w:hAnsi="Arial" w:cs="Arial"/>
          <w:b/>
          <w:bCs/>
          <w:color w:val="000000" w:themeColor="text1"/>
          <w:sz w:val="22"/>
          <w:szCs w:val="22"/>
        </w:rPr>
        <w:t>Morphological evolution of the 2021 Tajogaite cone (Cumbre Vieja, La Palma, Spain) between January 2022 and July 2024</w:t>
      </w:r>
    </w:p>
    <w:p w14:paraId="342814E7" w14:textId="77777777" w:rsidR="0057789C" w:rsidRPr="00BC533C" w:rsidRDefault="0057789C" w:rsidP="0057789C">
      <w:pPr>
        <w:spacing w:line="240" w:lineRule="auto"/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</w:p>
    <w:p w14:paraId="7A0F1885" w14:textId="4A50012D" w:rsidR="0057789C" w:rsidRPr="00BC533C" w:rsidRDefault="0057789C" w:rsidP="0057789C">
      <w:pPr>
        <w:spacing w:line="24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BC533C">
        <w:rPr>
          <w:rFonts w:ascii="Arial" w:hAnsi="Arial" w:cs="Arial"/>
          <w:sz w:val="22"/>
          <w:szCs w:val="22"/>
          <w:lang w:val="it-IT"/>
        </w:rPr>
        <w:t>R. Civico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1*</w:t>
      </w:r>
      <w:r w:rsidRPr="00BC533C">
        <w:rPr>
          <w:rFonts w:ascii="Arial" w:hAnsi="Arial" w:cs="Arial"/>
          <w:sz w:val="22"/>
          <w:szCs w:val="22"/>
          <w:lang w:val="it-IT"/>
        </w:rPr>
        <w:t>, T. Ricci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1</w:t>
      </w:r>
      <w:r w:rsidRPr="00BC533C">
        <w:rPr>
          <w:rFonts w:ascii="Arial" w:hAnsi="Arial" w:cs="Arial"/>
          <w:sz w:val="22"/>
          <w:szCs w:val="22"/>
          <w:lang w:val="it-IT"/>
        </w:rPr>
        <w:t>, U. Kueppers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2*</w:t>
      </w:r>
      <w:r w:rsidRPr="00BC533C">
        <w:rPr>
          <w:rFonts w:ascii="Arial" w:hAnsi="Arial" w:cs="Arial"/>
          <w:sz w:val="22"/>
          <w:szCs w:val="22"/>
          <w:lang w:val="it-IT"/>
        </w:rPr>
        <w:t>, V. Ortega-Ramos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3</w:t>
      </w:r>
      <w:r w:rsidRPr="00BC533C">
        <w:rPr>
          <w:rFonts w:ascii="Arial" w:hAnsi="Arial" w:cs="Arial"/>
          <w:sz w:val="22"/>
          <w:szCs w:val="22"/>
          <w:lang w:val="it-IT"/>
        </w:rPr>
        <w:t>, M. Przeor</w:t>
      </w:r>
      <w:r w:rsidR="00C12C3E">
        <w:rPr>
          <w:rFonts w:ascii="Arial" w:hAnsi="Arial" w:cs="Arial"/>
          <w:sz w:val="22"/>
          <w:szCs w:val="22"/>
          <w:vertAlign w:val="superscript"/>
          <w:lang w:val="it-IT"/>
        </w:rPr>
        <w:t>4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,</w:t>
      </w:r>
      <w:r w:rsidR="00C12C3E">
        <w:rPr>
          <w:rFonts w:ascii="Arial" w:hAnsi="Arial" w:cs="Arial"/>
          <w:sz w:val="22"/>
          <w:szCs w:val="22"/>
          <w:vertAlign w:val="superscript"/>
          <w:lang w:val="it-IT"/>
        </w:rPr>
        <w:t>3</w:t>
      </w:r>
      <w:r w:rsidRPr="00BC533C">
        <w:rPr>
          <w:rFonts w:ascii="Arial" w:hAnsi="Arial" w:cs="Arial"/>
          <w:sz w:val="22"/>
          <w:szCs w:val="22"/>
          <w:lang w:val="it-IT"/>
        </w:rPr>
        <w:t>, J. Taddeucci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1</w:t>
      </w:r>
      <w:r w:rsidRPr="00BC533C">
        <w:rPr>
          <w:rFonts w:ascii="Arial" w:hAnsi="Arial" w:cs="Arial"/>
          <w:sz w:val="22"/>
          <w:szCs w:val="22"/>
          <w:lang w:val="it-IT"/>
        </w:rPr>
        <w:t>, I. Cabrera-Pérez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3,</w:t>
      </w:r>
      <w:r w:rsidR="00C12C3E">
        <w:rPr>
          <w:rFonts w:ascii="Arial" w:hAnsi="Arial" w:cs="Arial"/>
          <w:sz w:val="22"/>
          <w:szCs w:val="22"/>
          <w:vertAlign w:val="superscript"/>
          <w:lang w:val="it-IT"/>
        </w:rPr>
        <w:t>4</w:t>
      </w:r>
      <w:r w:rsidRPr="00BC533C">
        <w:rPr>
          <w:rFonts w:ascii="Arial" w:hAnsi="Arial" w:cs="Arial"/>
          <w:sz w:val="22"/>
          <w:szCs w:val="22"/>
          <w:lang w:val="it-IT"/>
        </w:rPr>
        <w:t>, W. Stoiber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2</w:t>
      </w:r>
      <w:r w:rsidRPr="00BC533C">
        <w:rPr>
          <w:rFonts w:ascii="Arial" w:hAnsi="Arial" w:cs="Arial"/>
          <w:sz w:val="22"/>
          <w:szCs w:val="22"/>
          <w:lang w:val="it-IT"/>
        </w:rPr>
        <w:t>, P. Scarlato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1</w:t>
      </w:r>
      <w:r w:rsidRPr="00BC533C">
        <w:rPr>
          <w:rFonts w:ascii="Arial" w:hAnsi="Arial" w:cs="Arial"/>
          <w:sz w:val="22"/>
          <w:szCs w:val="22"/>
          <w:lang w:val="it-IT"/>
        </w:rPr>
        <w:t>, L. D’Auria</w:t>
      </w:r>
      <w:r w:rsidRPr="00BC533C">
        <w:rPr>
          <w:rFonts w:ascii="Arial" w:hAnsi="Arial" w:cs="Arial"/>
          <w:sz w:val="22"/>
          <w:szCs w:val="22"/>
          <w:vertAlign w:val="superscript"/>
          <w:lang w:val="it-IT"/>
        </w:rPr>
        <w:t>3,</w:t>
      </w:r>
      <w:r w:rsidR="00C12C3E">
        <w:rPr>
          <w:rFonts w:ascii="Arial" w:hAnsi="Arial" w:cs="Arial"/>
          <w:sz w:val="22"/>
          <w:szCs w:val="22"/>
          <w:vertAlign w:val="superscript"/>
          <w:lang w:val="it-IT"/>
        </w:rPr>
        <w:t>5</w:t>
      </w:r>
    </w:p>
    <w:p w14:paraId="302CA7CC" w14:textId="77777777" w:rsidR="0057789C" w:rsidRPr="00BC533C" w:rsidRDefault="0057789C" w:rsidP="0057789C">
      <w:pPr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</w:pPr>
      <w:r w:rsidRPr="00BC533C">
        <w:rPr>
          <w:rFonts w:ascii="Arial" w:eastAsia="Arial" w:hAnsi="Arial" w:cs="Arial"/>
          <w:kern w:val="0"/>
          <w:sz w:val="22"/>
          <w:szCs w:val="22"/>
          <w:vertAlign w:val="superscript"/>
          <w:lang w:val="it-IT"/>
          <w14:ligatures w14:val="none"/>
        </w:rPr>
        <w:t>1</w:t>
      </w:r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 xml:space="preserve"> Istituto Nazionale di Geofisica e Vulcanologia, Sezione Roma 1, Roma, Italy</w:t>
      </w:r>
    </w:p>
    <w:p w14:paraId="3C2DF754" w14:textId="77777777" w:rsidR="0057789C" w:rsidRPr="00674518" w:rsidRDefault="0057789C" w:rsidP="0057789C">
      <w:pPr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 w:rsidRPr="00674518">
        <w:rPr>
          <w:rFonts w:ascii="Arial" w:eastAsia="Arial" w:hAnsi="Arial" w:cs="Arial"/>
          <w:kern w:val="0"/>
          <w:sz w:val="22"/>
          <w:szCs w:val="22"/>
          <w:vertAlign w:val="superscript"/>
          <w14:ligatures w14:val="none"/>
        </w:rPr>
        <w:t>2</w:t>
      </w:r>
      <w:r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Department of Earth and Environmental Sciences, Ludwig-Maximilians-Universität München, Munich, Germany</w:t>
      </w:r>
    </w:p>
    <w:p w14:paraId="4A763086" w14:textId="77777777" w:rsidR="0057789C" w:rsidRPr="00BC533C" w:rsidRDefault="0057789C" w:rsidP="0057789C">
      <w:pPr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</w:pPr>
      <w:r w:rsidRPr="00BC533C">
        <w:rPr>
          <w:rFonts w:ascii="Arial" w:eastAsia="Arial" w:hAnsi="Arial" w:cs="Arial"/>
          <w:kern w:val="0"/>
          <w:sz w:val="22"/>
          <w:szCs w:val="22"/>
          <w:vertAlign w:val="superscript"/>
          <w:lang w:val="it-IT"/>
          <w14:ligatures w14:val="none"/>
        </w:rPr>
        <w:t>3</w:t>
      </w:r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 xml:space="preserve"> </w:t>
      </w:r>
      <w:proofErr w:type="spellStart"/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Instituto</w:t>
      </w:r>
      <w:proofErr w:type="spellEnd"/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 xml:space="preserve"> Volcanológico de </w:t>
      </w:r>
      <w:proofErr w:type="spellStart"/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Canarias</w:t>
      </w:r>
      <w:proofErr w:type="spellEnd"/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 xml:space="preserve"> (INVOLCAN), Puerto de la Cruz, Tenerife, Canary </w:t>
      </w:r>
      <w:proofErr w:type="spellStart"/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Islands</w:t>
      </w:r>
      <w:proofErr w:type="spellEnd"/>
      <w:r w:rsidRPr="00BC533C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, Spain</w:t>
      </w:r>
    </w:p>
    <w:p w14:paraId="637E50C7" w14:textId="04D86DEB" w:rsidR="0057789C" w:rsidRPr="00674518" w:rsidRDefault="00C12C3E" w:rsidP="0057789C">
      <w:pPr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vertAlign w:val="superscript"/>
          <w14:ligatures w14:val="none"/>
        </w:rPr>
        <w:t>4</w:t>
      </w:r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Department of Earth Sciences, University of Geneva, Rue des </w:t>
      </w:r>
      <w:proofErr w:type="spellStart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>Maraîchers</w:t>
      </w:r>
      <w:proofErr w:type="spellEnd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13, 1205, Geneva, Switzerland</w:t>
      </w:r>
    </w:p>
    <w:p w14:paraId="7FEDCA5D" w14:textId="023F076E" w:rsidR="0057789C" w:rsidRPr="00674518" w:rsidRDefault="00C12C3E" w:rsidP="0057789C">
      <w:pPr>
        <w:spacing w:after="0" w:line="240" w:lineRule="auto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kern w:val="0"/>
          <w:sz w:val="22"/>
          <w:szCs w:val="22"/>
          <w:vertAlign w:val="superscript"/>
          <w14:ligatures w14:val="none"/>
        </w:rPr>
        <w:t>5</w:t>
      </w:r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Instituto Tecnológico y de </w:t>
      </w:r>
      <w:proofErr w:type="spellStart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>Energías</w:t>
      </w:r>
      <w:proofErr w:type="spellEnd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>Renovables</w:t>
      </w:r>
      <w:proofErr w:type="spellEnd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(ITER), Granadilla de </w:t>
      </w:r>
      <w:proofErr w:type="spellStart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>Abona</w:t>
      </w:r>
      <w:proofErr w:type="spellEnd"/>
      <w:r w:rsidR="0057789C" w:rsidRPr="00674518">
        <w:rPr>
          <w:rFonts w:ascii="Arial" w:eastAsia="Arial" w:hAnsi="Arial" w:cs="Arial"/>
          <w:kern w:val="0"/>
          <w:sz w:val="22"/>
          <w:szCs w:val="22"/>
          <w14:ligatures w14:val="none"/>
        </w:rPr>
        <w:t>, Tenerife, Canary Islands, Spain</w:t>
      </w:r>
    </w:p>
    <w:p w14:paraId="0AE6E09B" w14:textId="77777777" w:rsidR="0057789C" w:rsidRPr="00BC533C" w:rsidRDefault="0057789C" w:rsidP="0057789C">
      <w:pPr>
        <w:jc w:val="center"/>
        <w:rPr>
          <w:rFonts w:ascii="Arial" w:hAnsi="Arial" w:cs="Arial"/>
          <w:sz w:val="22"/>
          <w:szCs w:val="22"/>
        </w:rPr>
      </w:pPr>
    </w:p>
    <w:p w14:paraId="2FFD596C" w14:textId="77777777" w:rsidR="00C20CE7" w:rsidRPr="00BC533C" w:rsidRDefault="00C20CE7" w:rsidP="0057789C">
      <w:pPr>
        <w:jc w:val="center"/>
        <w:rPr>
          <w:rFonts w:ascii="Arial" w:hAnsi="Arial" w:cs="Arial"/>
          <w:sz w:val="22"/>
          <w:szCs w:val="22"/>
        </w:rPr>
      </w:pPr>
    </w:p>
    <w:p w14:paraId="1748677C" w14:textId="77777777" w:rsidR="00C20CE7" w:rsidRPr="00BC533C" w:rsidRDefault="00C20CE7" w:rsidP="00C20CE7">
      <w:pPr>
        <w:rPr>
          <w:rFonts w:ascii="Arial" w:hAnsi="Arial" w:cs="Arial"/>
          <w:b/>
          <w:sz w:val="22"/>
          <w:szCs w:val="22"/>
        </w:rPr>
      </w:pPr>
      <w:r w:rsidRPr="00BC533C">
        <w:rPr>
          <w:rFonts w:ascii="Arial" w:hAnsi="Arial" w:cs="Arial"/>
          <w:b/>
          <w:sz w:val="22"/>
          <w:szCs w:val="22"/>
        </w:rPr>
        <w:t xml:space="preserve">Contents of this file </w:t>
      </w:r>
    </w:p>
    <w:p w14:paraId="4FB6AC67" w14:textId="77777777" w:rsidR="00C20CE7" w:rsidRPr="00BC533C" w:rsidRDefault="00C20CE7" w:rsidP="00C20CE7">
      <w:pPr>
        <w:rPr>
          <w:rFonts w:ascii="Arial" w:hAnsi="Arial" w:cs="Arial"/>
          <w:sz w:val="22"/>
          <w:szCs w:val="22"/>
        </w:rPr>
      </w:pPr>
    </w:p>
    <w:p w14:paraId="71AA2378" w14:textId="2D491A76" w:rsidR="00C20CE7" w:rsidRPr="00BC533C" w:rsidRDefault="00C20CE7" w:rsidP="00C20CE7">
      <w:pPr>
        <w:rPr>
          <w:rFonts w:ascii="Arial" w:hAnsi="Arial" w:cs="Arial"/>
          <w:sz w:val="22"/>
          <w:szCs w:val="22"/>
        </w:rPr>
      </w:pPr>
      <w:r w:rsidRPr="00BC533C">
        <w:rPr>
          <w:rFonts w:ascii="Arial" w:hAnsi="Arial" w:cs="Arial"/>
          <w:sz w:val="22"/>
          <w:szCs w:val="22"/>
        </w:rPr>
        <w:t>Figures and captions S1, S2 and S4</w:t>
      </w:r>
    </w:p>
    <w:p w14:paraId="73CB11E3" w14:textId="6CC6CD8F" w:rsidR="00C20CE7" w:rsidRPr="00BC533C" w:rsidRDefault="00C20CE7" w:rsidP="00C20CE7">
      <w:pPr>
        <w:rPr>
          <w:rFonts w:ascii="Arial" w:hAnsi="Arial" w:cs="Arial"/>
          <w:sz w:val="22"/>
          <w:szCs w:val="22"/>
        </w:rPr>
      </w:pPr>
      <w:r w:rsidRPr="00BC533C">
        <w:rPr>
          <w:rFonts w:ascii="Arial" w:hAnsi="Arial" w:cs="Arial"/>
          <w:sz w:val="22"/>
          <w:szCs w:val="22"/>
        </w:rPr>
        <w:t>Caption for S3</w:t>
      </w:r>
      <w:r w:rsidR="00BC533C" w:rsidRPr="00BC533C">
        <w:rPr>
          <w:rFonts w:ascii="Arial" w:hAnsi="Arial" w:cs="Arial"/>
          <w:sz w:val="22"/>
          <w:szCs w:val="22"/>
        </w:rPr>
        <w:t xml:space="preserve"> (movie)</w:t>
      </w:r>
    </w:p>
    <w:p w14:paraId="369A04B8" w14:textId="77777777" w:rsidR="00C20CE7" w:rsidRPr="00BC533C" w:rsidRDefault="00C20CE7" w:rsidP="00C20CE7">
      <w:pPr>
        <w:rPr>
          <w:rFonts w:ascii="Arial" w:hAnsi="Arial" w:cs="Arial"/>
          <w:sz w:val="22"/>
          <w:szCs w:val="22"/>
        </w:rPr>
      </w:pPr>
    </w:p>
    <w:p w14:paraId="068EE478" w14:textId="43553F7B" w:rsidR="00C20CE7" w:rsidRPr="00BC533C" w:rsidRDefault="00C20CE7" w:rsidP="00C20CE7">
      <w:pPr>
        <w:rPr>
          <w:rFonts w:ascii="Arial" w:hAnsi="Arial" w:cs="Arial"/>
          <w:sz w:val="22"/>
          <w:szCs w:val="22"/>
        </w:rPr>
      </w:pPr>
      <w:r w:rsidRPr="00BC533C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3871199E" wp14:editId="074CF88E">
            <wp:extent cx="5943600" cy="6389370"/>
            <wp:effectExtent l="0" t="0" r="0" b="0"/>
            <wp:docPr id="899766247" name="Picture 1" descr="A collage of images of a volcan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766247" name="Picture 1" descr="A collage of images of a volcan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71DE3" w14:textId="2F1906A2" w:rsidR="00C20CE7" w:rsidRPr="00BC533C" w:rsidRDefault="00C20CE7" w:rsidP="00C20CE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C533C">
        <w:rPr>
          <w:rFonts w:ascii="Arial" w:hAnsi="Arial" w:cs="Arial"/>
          <w:i/>
          <w:iCs/>
          <w:sz w:val="22"/>
          <w:szCs w:val="22"/>
        </w:rPr>
        <w:t>Figure S</w:t>
      </w:r>
      <w:r w:rsidR="002C4FC2" w:rsidRPr="00BC533C">
        <w:rPr>
          <w:rFonts w:ascii="Arial" w:hAnsi="Arial" w:cs="Arial"/>
          <w:i/>
          <w:iCs/>
          <w:sz w:val="22"/>
          <w:szCs w:val="22"/>
        </w:rPr>
        <w:t>1</w:t>
      </w:r>
      <w:r w:rsidRPr="00BC533C">
        <w:rPr>
          <w:rFonts w:ascii="Arial" w:hAnsi="Arial" w:cs="Arial"/>
          <w:i/>
          <w:iCs/>
          <w:sz w:val="22"/>
          <w:szCs w:val="22"/>
        </w:rPr>
        <w:t xml:space="preserve"> </w:t>
      </w:r>
      <w:r w:rsidR="002F1489" w:rsidRPr="00BC533C">
        <w:rPr>
          <w:rFonts w:ascii="Arial" w:hAnsi="Arial" w:cs="Arial"/>
          <w:i/>
          <w:iCs/>
          <w:sz w:val="22"/>
          <w:szCs w:val="22"/>
        </w:rPr>
        <w:t>-</w:t>
      </w:r>
      <w:r w:rsidRPr="00BC533C">
        <w:rPr>
          <w:rFonts w:ascii="Arial" w:hAnsi="Arial" w:cs="Arial"/>
          <w:i/>
          <w:iCs/>
          <w:sz w:val="22"/>
          <w:szCs w:val="22"/>
        </w:rPr>
        <w:t xml:space="preserve"> a) Location of La Palma within the Canary Islands archipelago; b) La Palma Island and location of the Tajogaite cone; c) View of the Tajogaite cone in July 2024 and extent of the area covered by six subsequent UAS surveys. Dashed-line </w:t>
      </w:r>
      <w:proofErr w:type="spellStart"/>
      <w:r w:rsidRPr="00BC533C">
        <w:rPr>
          <w:rFonts w:ascii="Arial" w:hAnsi="Arial" w:cs="Arial"/>
          <w:i/>
          <w:iCs/>
          <w:sz w:val="22"/>
          <w:szCs w:val="22"/>
        </w:rPr>
        <w:t>boxe</w:t>
      </w:r>
      <w:proofErr w:type="spellEnd"/>
      <w:r w:rsidRPr="00BC533C">
        <w:rPr>
          <w:rFonts w:ascii="Arial" w:hAnsi="Arial" w:cs="Arial"/>
          <w:i/>
          <w:iCs/>
          <w:sz w:val="22"/>
          <w:szCs w:val="22"/>
        </w:rPr>
        <w:t xml:space="preserve"> indicate</w:t>
      </w:r>
      <w:r w:rsidR="00FD37E0" w:rsidRPr="00BC533C">
        <w:rPr>
          <w:rFonts w:ascii="Arial" w:hAnsi="Arial" w:cs="Arial"/>
          <w:i/>
          <w:iCs/>
          <w:sz w:val="22"/>
          <w:szCs w:val="22"/>
        </w:rPr>
        <w:t>s</w:t>
      </w:r>
      <w:r w:rsidRPr="00BC533C">
        <w:rPr>
          <w:rFonts w:ascii="Arial" w:hAnsi="Arial" w:cs="Arial"/>
          <w:i/>
          <w:iCs/>
          <w:sz w:val="22"/>
          <w:szCs w:val="22"/>
        </w:rPr>
        <w:t xml:space="preserve"> the position of figure S</w:t>
      </w:r>
      <w:r w:rsidR="002C4FC2" w:rsidRPr="00BC533C">
        <w:rPr>
          <w:rFonts w:ascii="Arial" w:hAnsi="Arial" w:cs="Arial"/>
          <w:i/>
          <w:iCs/>
          <w:sz w:val="22"/>
          <w:szCs w:val="22"/>
        </w:rPr>
        <w:t>1</w:t>
      </w:r>
      <w:r w:rsidRPr="00BC533C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proofErr w:type="gramStart"/>
      <w:r w:rsidRPr="00BC533C">
        <w:rPr>
          <w:rFonts w:ascii="Arial" w:hAnsi="Arial" w:cs="Arial"/>
          <w:i/>
          <w:iCs/>
          <w:sz w:val="22"/>
          <w:szCs w:val="22"/>
        </w:rPr>
        <w:t>b,c</w:t>
      </w:r>
      <w:proofErr w:type="gramEnd"/>
      <w:r w:rsidRPr="00BC533C">
        <w:rPr>
          <w:rFonts w:ascii="Arial" w:hAnsi="Arial" w:cs="Arial"/>
          <w:i/>
          <w:iCs/>
          <w:sz w:val="22"/>
          <w:szCs w:val="22"/>
        </w:rPr>
        <w:t>,</w:t>
      </w:r>
      <w:proofErr w:type="gramStart"/>
      <w:r w:rsidRPr="00BC533C">
        <w:rPr>
          <w:rFonts w:ascii="Arial" w:hAnsi="Arial" w:cs="Arial"/>
          <w:i/>
          <w:iCs/>
          <w:sz w:val="22"/>
          <w:szCs w:val="22"/>
        </w:rPr>
        <w:t>d,e</w:t>
      </w:r>
      <w:proofErr w:type="gramEnd"/>
      <w:r w:rsidRPr="00BC533C">
        <w:rPr>
          <w:rFonts w:ascii="Arial" w:hAnsi="Arial" w:cs="Arial"/>
          <w:i/>
          <w:iCs/>
          <w:sz w:val="22"/>
          <w:szCs w:val="22"/>
        </w:rPr>
        <w:t>,f</w:t>
      </w:r>
      <w:proofErr w:type="spellEnd"/>
      <w:r w:rsidRPr="00BC533C">
        <w:rPr>
          <w:rFonts w:ascii="Arial" w:hAnsi="Arial" w:cs="Arial"/>
          <w:i/>
          <w:iCs/>
          <w:sz w:val="22"/>
          <w:szCs w:val="22"/>
        </w:rPr>
        <w:t>.</w:t>
      </w:r>
      <w:r w:rsidR="00FD37E0" w:rsidRPr="00BC533C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proofErr w:type="gramStart"/>
      <w:r w:rsidR="00FD37E0" w:rsidRPr="00BC533C">
        <w:rPr>
          <w:rFonts w:ascii="Arial" w:hAnsi="Arial" w:cs="Arial"/>
          <w:i/>
          <w:iCs/>
          <w:sz w:val="22"/>
          <w:szCs w:val="22"/>
        </w:rPr>
        <w:t>B,c</w:t>
      </w:r>
      <w:proofErr w:type="gramEnd"/>
      <w:r w:rsidR="00FD37E0" w:rsidRPr="00BC533C">
        <w:rPr>
          <w:rFonts w:ascii="Arial" w:hAnsi="Arial" w:cs="Arial"/>
          <w:i/>
          <w:iCs/>
          <w:sz w:val="22"/>
          <w:szCs w:val="22"/>
        </w:rPr>
        <w:t>,</w:t>
      </w:r>
      <w:proofErr w:type="gramStart"/>
      <w:r w:rsidR="00FD37E0" w:rsidRPr="00BC533C">
        <w:rPr>
          <w:rFonts w:ascii="Arial" w:hAnsi="Arial" w:cs="Arial"/>
          <w:i/>
          <w:iCs/>
          <w:sz w:val="22"/>
          <w:szCs w:val="22"/>
        </w:rPr>
        <w:t>d,e</w:t>
      </w:r>
      <w:proofErr w:type="spellEnd"/>
      <w:proofErr w:type="gramEnd"/>
      <w:r w:rsidR="00FD37E0" w:rsidRPr="00BC533C">
        <w:rPr>
          <w:rFonts w:ascii="Arial" w:hAnsi="Arial" w:cs="Arial"/>
          <w:i/>
          <w:iCs/>
          <w:sz w:val="22"/>
          <w:szCs w:val="22"/>
        </w:rPr>
        <w:t xml:space="preserve"> and f) Multidirectional </w:t>
      </w:r>
      <w:proofErr w:type="spellStart"/>
      <w:r w:rsidR="00FD37E0" w:rsidRPr="00BC533C">
        <w:rPr>
          <w:rFonts w:ascii="Arial" w:hAnsi="Arial" w:cs="Arial"/>
          <w:i/>
          <w:iCs/>
          <w:sz w:val="22"/>
          <w:szCs w:val="22"/>
        </w:rPr>
        <w:t>hillshades</w:t>
      </w:r>
      <w:proofErr w:type="spellEnd"/>
      <w:r w:rsidR="00FD37E0" w:rsidRPr="00BC533C">
        <w:rPr>
          <w:rFonts w:ascii="Arial" w:hAnsi="Arial" w:cs="Arial"/>
          <w:i/>
          <w:iCs/>
          <w:sz w:val="22"/>
          <w:szCs w:val="22"/>
        </w:rPr>
        <w:t xml:space="preserve"> of the DSMs of the Tajogaite cone.</w:t>
      </w:r>
    </w:p>
    <w:p w14:paraId="50B45BE2" w14:textId="77777777" w:rsidR="00FD37E0" w:rsidRPr="00BC533C" w:rsidRDefault="00FD37E0" w:rsidP="00C20CE7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285AF96" w14:textId="70443FF1" w:rsidR="00FD37E0" w:rsidRPr="00BC533C" w:rsidRDefault="002C4FC2" w:rsidP="00C20CE7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C533C">
        <w:rPr>
          <w:rFonts w:ascii="Arial" w:hAnsi="Arial" w:cs="Arial"/>
          <w:i/>
          <w:iCs/>
          <w:noProof/>
          <w:sz w:val="22"/>
          <w:szCs w:val="22"/>
        </w:rPr>
        <w:lastRenderedPageBreak/>
        <w:drawing>
          <wp:inline distT="0" distB="0" distL="0" distR="0" wp14:anchorId="0555EF60" wp14:editId="1299D63C">
            <wp:extent cx="5943600" cy="6121400"/>
            <wp:effectExtent l="0" t="0" r="0" b="0"/>
            <wp:docPr id="721161953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161953" name="Picture 2" descr="A screenshot of a compu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E7DC0" w14:textId="04FAB93A" w:rsidR="00C20CE7" w:rsidRDefault="002C4FC2" w:rsidP="00C20CE7">
      <w:pPr>
        <w:rPr>
          <w:rFonts w:ascii="Arial" w:hAnsi="Arial" w:cs="Arial"/>
          <w:i/>
          <w:iCs/>
          <w:sz w:val="22"/>
          <w:szCs w:val="22"/>
        </w:rPr>
      </w:pPr>
      <w:r w:rsidRPr="00BC533C">
        <w:rPr>
          <w:rFonts w:ascii="Arial" w:hAnsi="Arial" w:cs="Arial"/>
          <w:i/>
          <w:iCs/>
          <w:sz w:val="22"/>
          <w:szCs w:val="22"/>
        </w:rPr>
        <w:t>Figure S2 - Change detection results for the period January 2022 - July 2024</w:t>
      </w:r>
      <w:r w:rsidR="001B64D2" w:rsidRPr="00BC533C">
        <w:rPr>
          <w:rFonts w:ascii="Arial" w:hAnsi="Arial" w:cs="Arial"/>
          <w:i/>
          <w:iCs/>
          <w:sz w:val="22"/>
          <w:szCs w:val="22"/>
        </w:rPr>
        <w:t>.</w:t>
      </w:r>
    </w:p>
    <w:p w14:paraId="37884173" w14:textId="7AA85EEB" w:rsidR="00BC533C" w:rsidRPr="00BC533C" w:rsidRDefault="00BC533C" w:rsidP="00C20CE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Movie S3 </w:t>
      </w:r>
      <w:r w:rsidR="00674518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74518">
        <w:rPr>
          <w:rFonts w:ascii="Arial" w:hAnsi="Arial" w:cs="Arial"/>
          <w:i/>
          <w:iCs/>
          <w:sz w:val="22"/>
          <w:szCs w:val="22"/>
        </w:rPr>
        <w:t>Animation of the m</w:t>
      </w:r>
      <w:r w:rsidR="00674518" w:rsidRPr="00674518">
        <w:rPr>
          <w:rFonts w:ascii="Arial" w:hAnsi="Arial" w:cs="Arial"/>
          <w:i/>
          <w:iCs/>
          <w:sz w:val="22"/>
          <w:szCs w:val="22"/>
        </w:rPr>
        <w:t>ultidirectional DSMs</w:t>
      </w:r>
      <w:r w:rsidR="00674518">
        <w:rPr>
          <w:rFonts w:ascii="Arial" w:hAnsi="Arial" w:cs="Arial"/>
          <w:i/>
          <w:iCs/>
          <w:sz w:val="22"/>
          <w:szCs w:val="22"/>
        </w:rPr>
        <w:t>’</w:t>
      </w:r>
      <w:r w:rsidR="00674518" w:rsidRPr="00674518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674518" w:rsidRPr="00674518">
        <w:rPr>
          <w:rFonts w:ascii="Arial" w:hAnsi="Arial" w:cs="Arial"/>
          <w:i/>
          <w:iCs/>
          <w:sz w:val="22"/>
          <w:szCs w:val="22"/>
        </w:rPr>
        <w:t>hillshades</w:t>
      </w:r>
      <w:proofErr w:type="spellEnd"/>
      <w:r w:rsidR="00674518" w:rsidRPr="00674518">
        <w:rPr>
          <w:rFonts w:ascii="Arial" w:hAnsi="Arial" w:cs="Arial"/>
          <w:i/>
          <w:iCs/>
          <w:sz w:val="22"/>
          <w:szCs w:val="22"/>
        </w:rPr>
        <w:t xml:space="preserve"> of the Tajogaite cone</w:t>
      </w:r>
      <w:r w:rsidR="003A4F05">
        <w:rPr>
          <w:rFonts w:ascii="Arial" w:hAnsi="Arial" w:cs="Arial"/>
          <w:i/>
          <w:iCs/>
          <w:sz w:val="22"/>
          <w:szCs w:val="22"/>
        </w:rPr>
        <w:t xml:space="preserve">. At both the beginning and the end of the animation the </w:t>
      </w:r>
      <w:r w:rsidR="003A4F05" w:rsidRPr="003A4F05">
        <w:rPr>
          <w:rFonts w:ascii="Arial" w:hAnsi="Arial" w:cs="Arial"/>
          <w:i/>
          <w:iCs/>
          <w:sz w:val="22"/>
          <w:szCs w:val="22"/>
        </w:rPr>
        <w:t>volcano-tectonic feature</w:t>
      </w:r>
      <w:r w:rsidR="003A4F05">
        <w:rPr>
          <w:rFonts w:ascii="Arial" w:hAnsi="Arial" w:cs="Arial"/>
          <w:i/>
          <w:iCs/>
          <w:sz w:val="22"/>
          <w:szCs w:val="22"/>
        </w:rPr>
        <w:t xml:space="preserve"> of Fig. 5 is shown.</w:t>
      </w:r>
    </w:p>
    <w:p w14:paraId="04C7DD1F" w14:textId="77777777" w:rsidR="00C20CE7" w:rsidRPr="00BC533C" w:rsidRDefault="00C20CE7" w:rsidP="00C20CE7">
      <w:pPr>
        <w:spacing w:before="100" w:beforeAutospacing="1" w:after="100" w:afterAutospacing="1"/>
        <w:ind w:firstLine="720"/>
        <w:contextualSpacing/>
        <w:rPr>
          <w:rFonts w:ascii="Arial" w:hAnsi="Arial" w:cs="Arial"/>
          <w:b/>
          <w:bCs/>
          <w:sz w:val="22"/>
          <w:szCs w:val="22"/>
        </w:rPr>
      </w:pPr>
    </w:p>
    <w:p w14:paraId="63B44F05" w14:textId="7FF101EF" w:rsidR="00C20CE7" w:rsidRPr="00BC533C" w:rsidRDefault="001B64D2" w:rsidP="00C20CE7">
      <w:pPr>
        <w:rPr>
          <w:rFonts w:ascii="Arial" w:hAnsi="Arial" w:cs="Arial"/>
          <w:sz w:val="22"/>
          <w:szCs w:val="22"/>
        </w:rPr>
      </w:pPr>
      <w:r w:rsidRPr="00BC533C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5BE42389" wp14:editId="0E9630BF">
            <wp:extent cx="5943600" cy="4204970"/>
            <wp:effectExtent l="0" t="0" r="0" b="0"/>
            <wp:docPr id="853712232" name="Picture 3" descr="A close-up of a ma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12232" name="Picture 3" descr="A close-up of a map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9256A" w14:textId="374FE1CC" w:rsidR="001B64D2" w:rsidRPr="00BC533C" w:rsidRDefault="001B64D2" w:rsidP="001B64D2">
      <w:pPr>
        <w:rPr>
          <w:rFonts w:ascii="Arial" w:hAnsi="Arial" w:cs="Arial"/>
          <w:i/>
          <w:iCs/>
          <w:sz w:val="22"/>
          <w:szCs w:val="22"/>
        </w:rPr>
      </w:pPr>
      <w:r w:rsidRPr="00BC533C">
        <w:rPr>
          <w:rFonts w:ascii="Arial" w:hAnsi="Arial" w:cs="Arial"/>
          <w:i/>
          <w:iCs/>
          <w:sz w:val="22"/>
          <w:szCs w:val="22"/>
        </w:rPr>
        <w:t>Figure S4 - Long (NW-SE - 320m) and short (SW-NE - 300m) axis of the elliptic horizontal area described in Section 4.4.</w:t>
      </w:r>
    </w:p>
    <w:sectPr w:rsidR="001B64D2" w:rsidRPr="00BC5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A344C0E"/>
    <w:multiLevelType w:val="multilevel"/>
    <w:tmpl w:val="08FE7B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533176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9C"/>
    <w:rsid w:val="00064E44"/>
    <w:rsid w:val="00083D0A"/>
    <w:rsid w:val="001B64D2"/>
    <w:rsid w:val="002C41EE"/>
    <w:rsid w:val="002C4FC2"/>
    <w:rsid w:val="002F1489"/>
    <w:rsid w:val="00375A8C"/>
    <w:rsid w:val="003A4F05"/>
    <w:rsid w:val="0057789C"/>
    <w:rsid w:val="00674518"/>
    <w:rsid w:val="00702DDE"/>
    <w:rsid w:val="0078727C"/>
    <w:rsid w:val="00965426"/>
    <w:rsid w:val="00BC533C"/>
    <w:rsid w:val="00C12C3E"/>
    <w:rsid w:val="00C20CE7"/>
    <w:rsid w:val="00DC272E"/>
    <w:rsid w:val="00DC542A"/>
    <w:rsid w:val="00FD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5F2031"/>
  <w15:chartTrackingRefBased/>
  <w15:docId w15:val="{F5034231-4620-7441-A281-D2079E10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8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8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8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8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8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8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8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8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8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8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8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8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8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8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Civico</dc:creator>
  <cp:keywords/>
  <dc:description/>
  <cp:lastModifiedBy>Riccardo Civico</cp:lastModifiedBy>
  <cp:revision>3</cp:revision>
  <dcterms:created xsi:type="dcterms:W3CDTF">2026-05-26T15:23:00Z</dcterms:created>
  <dcterms:modified xsi:type="dcterms:W3CDTF">2026-07-07T18:06:00Z</dcterms:modified>
</cp:coreProperties>
</file>