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0DA8D" w14:textId="77777777" w:rsidR="00247C4D" w:rsidRPr="00247C4D" w:rsidRDefault="00247C4D" w:rsidP="00247C4D">
      <w:pPr>
        <w:spacing w:after="0" w:line="480" w:lineRule="auto"/>
        <w:jc w:val="center"/>
        <w:rPr>
          <w:rFonts w:ascii="Times New Roman" w:hAnsi="Times New Roman" w:cs="Times New Roman"/>
          <w:b/>
          <w:color w:val="000000" w:themeColor="text1"/>
          <w:sz w:val="24"/>
          <w:szCs w:val="24"/>
        </w:rPr>
      </w:pPr>
      <w:r w:rsidRPr="00247C4D">
        <w:rPr>
          <w:rFonts w:ascii="Times New Roman" w:hAnsi="Times New Roman" w:cs="Times New Roman"/>
          <w:b/>
          <w:color w:val="000000" w:themeColor="text1"/>
          <w:sz w:val="24"/>
          <w:szCs w:val="24"/>
        </w:rPr>
        <w:t>Bibliometric and Thematic Review of Research Studies Reporting Swallowing Data across Multiple Consistencies (2012-2024)</w:t>
      </w:r>
    </w:p>
    <w:p w14:paraId="5FE7E194" w14:textId="0A2897BF" w:rsidR="00247C4D" w:rsidRDefault="00247C4D" w:rsidP="00247C4D">
      <w:pPr>
        <w:jc w:val="center"/>
        <w:rPr>
          <w:rFonts w:ascii="Times New Roman" w:hAnsi="Times New Roman" w:cs="Times New Roman"/>
          <w:b/>
          <w:sz w:val="24"/>
          <w:szCs w:val="24"/>
        </w:rPr>
      </w:pPr>
      <w:r w:rsidRPr="00D0120F">
        <w:rPr>
          <w:rFonts w:ascii="Times New Roman" w:hAnsi="Times New Roman" w:cs="Times New Roman"/>
          <w:b/>
          <w:sz w:val="24"/>
          <w:szCs w:val="24"/>
        </w:rPr>
        <w:t>Supplemental Materials</w:t>
      </w:r>
      <w:r w:rsidR="0010297C">
        <w:rPr>
          <w:rFonts w:ascii="Times New Roman" w:hAnsi="Times New Roman" w:cs="Times New Roman"/>
          <w:b/>
          <w:sz w:val="24"/>
          <w:szCs w:val="24"/>
        </w:rPr>
        <w:t xml:space="preserve"> </w:t>
      </w:r>
    </w:p>
    <w:p w14:paraId="0B4012EA" w14:textId="77777777" w:rsidR="0010297C" w:rsidRDefault="0010297C" w:rsidP="00247C4D">
      <w:pPr>
        <w:jc w:val="center"/>
        <w:rPr>
          <w:rFonts w:ascii="Times New Roman" w:hAnsi="Times New Roman" w:cs="Times New Roman"/>
          <w:b/>
          <w:sz w:val="24"/>
          <w:szCs w:val="24"/>
        </w:rPr>
      </w:pPr>
    </w:p>
    <w:p w14:paraId="54B43029" w14:textId="77777777" w:rsidR="0010297C" w:rsidRDefault="0010297C" w:rsidP="00247C4D">
      <w:pPr>
        <w:jc w:val="center"/>
        <w:rPr>
          <w:rFonts w:ascii="Times New Roman" w:hAnsi="Times New Roman" w:cs="Times New Roman"/>
          <w:b/>
          <w:sz w:val="24"/>
          <w:szCs w:val="24"/>
        </w:rPr>
      </w:pPr>
    </w:p>
    <w:p w14:paraId="5252320F" w14:textId="59FCDCEC" w:rsidR="0010297C" w:rsidRPr="00D0120F" w:rsidRDefault="0010297C" w:rsidP="0010297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Table of Contents</w:t>
      </w:r>
    </w:p>
    <w:sdt>
      <w:sdtPr>
        <w:rPr>
          <w:rFonts w:asciiTheme="minorHAnsi" w:eastAsiaTheme="minorHAnsi" w:hAnsiTheme="minorHAnsi" w:cstheme="minorBidi"/>
          <w:color w:val="auto"/>
          <w:sz w:val="22"/>
          <w:szCs w:val="22"/>
        </w:rPr>
        <w:id w:val="-538979335"/>
        <w:docPartObj>
          <w:docPartGallery w:val="Table of Contents"/>
          <w:docPartUnique/>
        </w:docPartObj>
      </w:sdtPr>
      <w:sdtEndPr>
        <w:rPr>
          <w:b/>
          <w:bCs/>
          <w:noProof/>
        </w:rPr>
      </w:sdtEndPr>
      <w:sdtContent>
        <w:p w14:paraId="063DE753" w14:textId="325C490A" w:rsidR="0010297C" w:rsidRPr="0010297C" w:rsidRDefault="0010297C" w:rsidP="0010297C">
          <w:pPr>
            <w:pStyle w:val="TOCHeading"/>
            <w:spacing w:line="480" w:lineRule="auto"/>
            <w:rPr>
              <w:rFonts w:ascii="Times New Roman" w:hAnsi="Times New Roman" w:cs="Times New Roman"/>
              <w:sz w:val="24"/>
              <w:szCs w:val="24"/>
            </w:rPr>
          </w:pPr>
        </w:p>
        <w:p w14:paraId="7848E1F1" w14:textId="176CB54C" w:rsidR="006075EF" w:rsidRPr="006075EF" w:rsidRDefault="0010297C" w:rsidP="006075EF">
          <w:pPr>
            <w:pStyle w:val="TOC1"/>
            <w:tabs>
              <w:tab w:val="left" w:pos="440"/>
              <w:tab w:val="right" w:leader="dot" w:pos="9230"/>
            </w:tabs>
            <w:spacing w:line="480" w:lineRule="auto"/>
            <w:ind w:left="426" w:hanging="426"/>
            <w:rPr>
              <w:rFonts w:ascii="Times New Roman" w:eastAsiaTheme="minorEastAsia" w:hAnsi="Times New Roman" w:cs="Times New Roman"/>
              <w:noProof/>
              <w:sz w:val="24"/>
              <w:szCs w:val="24"/>
              <w:lang w:val="en-CA" w:eastAsia="en-CA"/>
            </w:rPr>
          </w:pPr>
          <w:r w:rsidRPr="0010297C">
            <w:rPr>
              <w:rFonts w:ascii="Times New Roman" w:hAnsi="Times New Roman" w:cs="Times New Roman"/>
              <w:sz w:val="24"/>
              <w:szCs w:val="24"/>
            </w:rPr>
            <w:fldChar w:fldCharType="begin"/>
          </w:r>
          <w:r w:rsidRPr="0010297C">
            <w:rPr>
              <w:rFonts w:ascii="Times New Roman" w:hAnsi="Times New Roman" w:cs="Times New Roman"/>
              <w:sz w:val="24"/>
              <w:szCs w:val="24"/>
            </w:rPr>
            <w:instrText xml:space="preserve"> TOC \o "1-3" \h \z \u </w:instrText>
          </w:r>
          <w:r w:rsidRPr="0010297C">
            <w:rPr>
              <w:rFonts w:ascii="Times New Roman" w:hAnsi="Times New Roman" w:cs="Times New Roman"/>
              <w:sz w:val="24"/>
              <w:szCs w:val="24"/>
            </w:rPr>
            <w:fldChar w:fldCharType="separate"/>
          </w:r>
          <w:hyperlink w:anchor="_Toc231831484" w:history="1">
            <w:r w:rsidR="006075EF" w:rsidRPr="006075EF">
              <w:rPr>
                <w:rStyle w:val="Hyperlink"/>
                <w:rFonts w:ascii="Times New Roman" w:hAnsi="Times New Roman" w:cs="Times New Roman"/>
                <w:noProof/>
                <w:sz w:val="24"/>
                <w:szCs w:val="24"/>
              </w:rPr>
              <w:t>1.</w:t>
            </w:r>
            <w:r w:rsidR="006075EF" w:rsidRPr="006075EF">
              <w:rPr>
                <w:rFonts w:ascii="Times New Roman" w:eastAsiaTheme="minorEastAsia" w:hAnsi="Times New Roman" w:cs="Times New Roman"/>
                <w:noProof/>
                <w:sz w:val="24"/>
                <w:szCs w:val="24"/>
                <w:lang w:val="en-CA" w:eastAsia="en-CA"/>
              </w:rPr>
              <w:tab/>
            </w:r>
            <w:r w:rsidR="006075EF" w:rsidRPr="006075EF">
              <w:rPr>
                <w:rStyle w:val="Hyperlink"/>
                <w:rFonts w:ascii="Times New Roman" w:hAnsi="Times New Roman" w:cs="Times New Roman"/>
                <w:b/>
                <w:noProof/>
                <w:sz w:val="24"/>
                <w:szCs w:val="24"/>
              </w:rPr>
              <w:t>Preferred Reporting Items for Systematic reviews and Meta-Analyses extension for Scoping Reviews (PRISMA-ScR) Checklist</w:t>
            </w:r>
            <w:r w:rsidR="006075EF" w:rsidRPr="006075EF">
              <w:rPr>
                <w:rFonts w:ascii="Times New Roman" w:hAnsi="Times New Roman" w:cs="Times New Roman"/>
                <w:noProof/>
                <w:webHidden/>
                <w:sz w:val="24"/>
                <w:szCs w:val="24"/>
              </w:rPr>
              <w:tab/>
            </w:r>
            <w:r w:rsidR="006075EF" w:rsidRPr="006075EF">
              <w:rPr>
                <w:rFonts w:ascii="Times New Roman" w:hAnsi="Times New Roman" w:cs="Times New Roman"/>
                <w:noProof/>
                <w:webHidden/>
                <w:sz w:val="24"/>
                <w:szCs w:val="24"/>
              </w:rPr>
              <w:fldChar w:fldCharType="begin"/>
            </w:r>
            <w:r w:rsidR="006075EF" w:rsidRPr="006075EF">
              <w:rPr>
                <w:rFonts w:ascii="Times New Roman" w:hAnsi="Times New Roman" w:cs="Times New Roman"/>
                <w:noProof/>
                <w:webHidden/>
                <w:sz w:val="24"/>
                <w:szCs w:val="24"/>
              </w:rPr>
              <w:instrText xml:space="preserve"> PAGEREF _Toc231831484 \h </w:instrText>
            </w:r>
            <w:r w:rsidR="006075EF" w:rsidRPr="006075EF">
              <w:rPr>
                <w:rFonts w:ascii="Times New Roman" w:hAnsi="Times New Roman" w:cs="Times New Roman"/>
                <w:noProof/>
                <w:webHidden/>
                <w:sz w:val="24"/>
                <w:szCs w:val="24"/>
              </w:rPr>
            </w:r>
            <w:r w:rsidR="006075EF" w:rsidRPr="006075EF">
              <w:rPr>
                <w:rFonts w:ascii="Times New Roman" w:hAnsi="Times New Roman" w:cs="Times New Roman"/>
                <w:noProof/>
                <w:webHidden/>
                <w:sz w:val="24"/>
                <w:szCs w:val="24"/>
              </w:rPr>
              <w:fldChar w:fldCharType="separate"/>
            </w:r>
            <w:r w:rsidR="006075EF" w:rsidRPr="006075EF">
              <w:rPr>
                <w:rFonts w:ascii="Times New Roman" w:hAnsi="Times New Roman" w:cs="Times New Roman"/>
                <w:noProof/>
                <w:webHidden/>
                <w:sz w:val="24"/>
                <w:szCs w:val="24"/>
              </w:rPr>
              <w:t>2</w:t>
            </w:r>
            <w:r w:rsidR="006075EF" w:rsidRPr="006075EF">
              <w:rPr>
                <w:rFonts w:ascii="Times New Roman" w:hAnsi="Times New Roman" w:cs="Times New Roman"/>
                <w:noProof/>
                <w:webHidden/>
                <w:sz w:val="24"/>
                <w:szCs w:val="24"/>
              </w:rPr>
              <w:fldChar w:fldCharType="end"/>
            </w:r>
          </w:hyperlink>
        </w:p>
        <w:p w14:paraId="1F10E5D8" w14:textId="70C94E1A" w:rsidR="006075EF" w:rsidRPr="006075EF" w:rsidRDefault="00F62791" w:rsidP="006075EF">
          <w:pPr>
            <w:pStyle w:val="TOC1"/>
            <w:tabs>
              <w:tab w:val="left" w:pos="440"/>
              <w:tab w:val="right" w:leader="dot" w:pos="9230"/>
            </w:tabs>
            <w:spacing w:line="480" w:lineRule="auto"/>
            <w:ind w:left="426" w:hanging="426"/>
            <w:rPr>
              <w:rFonts w:ascii="Times New Roman" w:eastAsiaTheme="minorEastAsia" w:hAnsi="Times New Roman" w:cs="Times New Roman"/>
              <w:noProof/>
              <w:sz w:val="24"/>
              <w:szCs w:val="24"/>
              <w:lang w:val="en-CA" w:eastAsia="en-CA"/>
            </w:rPr>
          </w:pPr>
          <w:hyperlink w:anchor="_Toc231831485" w:history="1">
            <w:r w:rsidR="006075EF" w:rsidRPr="006075EF">
              <w:rPr>
                <w:rStyle w:val="Hyperlink"/>
                <w:rFonts w:ascii="Times New Roman" w:hAnsi="Times New Roman" w:cs="Times New Roman"/>
                <w:noProof/>
                <w:sz w:val="24"/>
                <w:szCs w:val="24"/>
              </w:rPr>
              <w:t>2.</w:t>
            </w:r>
            <w:r w:rsidR="006075EF" w:rsidRPr="006075EF">
              <w:rPr>
                <w:rFonts w:ascii="Times New Roman" w:eastAsiaTheme="minorEastAsia" w:hAnsi="Times New Roman" w:cs="Times New Roman"/>
                <w:noProof/>
                <w:sz w:val="24"/>
                <w:szCs w:val="24"/>
                <w:lang w:val="en-CA" w:eastAsia="en-CA"/>
              </w:rPr>
              <w:tab/>
            </w:r>
            <w:r w:rsidR="006075EF" w:rsidRPr="006075EF">
              <w:rPr>
                <w:rStyle w:val="Hyperlink"/>
                <w:rFonts w:ascii="Times New Roman" w:hAnsi="Times New Roman" w:cs="Times New Roman"/>
                <w:b/>
                <w:noProof/>
                <w:sz w:val="24"/>
                <w:szCs w:val="24"/>
              </w:rPr>
              <w:t>Questions enumerated during full-text article review</w:t>
            </w:r>
            <w:r w:rsidR="006075EF" w:rsidRPr="006075EF">
              <w:rPr>
                <w:rFonts w:ascii="Times New Roman" w:hAnsi="Times New Roman" w:cs="Times New Roman"/>
                <w:noProof/>
                <w:webHidden/>
                <w:sz w:val="24"/>
                <w:szCs w:val="24"/>
              </w:rPr>
              <w:tab/>
            </w:r>
            <w:r w:rsidR="006075EF" w:rsidRPr="006075EF">
              <w:rPr>
                <w:rFonts w:ascii="Times New Roman" w:hAnsi="Times New Roman" w:cs="Times New Roman"/>
                <w:noProof/>
                <w:webHidden/>
                <w:sz w:val="24"/>
                <w:szCs w:val="24"/>
              </w:rPr>
              <w:fldChar w:fldCharType="begin"/>
            </w:r>
            <w:r w:rsidR="006075EF" w:rsidRPr="006075EF">
              <w:rPr>
                <w:rFonts w:ascii="Times New Roman" w:hAnsi="Times New Roman" w:cs="Times New Roman"/>
                <w:noProof/>
                <w:webHidden/>
                <w:sz w:val="24"/>
                <w:szCs w:val="24"/>
              </w:rPr>
              <w:instrText xml:space="preserve"> PAGEREF _Toc231831485 \h </w:instrText>
            </w:r>
            <w:r w:rsidR="006075EF" w:rsidRPr="006075EF">
              <w:rPr>
                <w:rFonts w:ascii="Times New Roman" w:hAnsi="Times New Roman" w:cs="Times New Roman"/>
                <w:noProof/>
                <w:webHidden/>
                <w:sz w:val="24"/>
                <w:szCs w:val="24"/>
              </w:rPr>
            </w:r>
            <w:r w:rsidR="006075EF" w:rsidRPr="006075EF">
              <w:rPr>
                <w:rFonts w:ascii="Times New Roman" w:hAnsi="Times New Roman" w:cs="Times New Roman"/>
                <w:noProof/>
                <w:webHidden/>
                <w:sz w:val="24"/>
                <w:szCs w:val="24"/>
              </w:rPr>
              <w:fldChar w:fldCharType="separate"/>
            </w:r>
            <w:r w:rsidR="006075EF" w:rsidRPr="006075EF">
              <w:rPr>
                <w:rFonts w:ascii="Times New Roman" w:hAnsi="Times New Roman" w:cs="Times New Roman"/>
                <w:noProof/>
                <w:webHidden/>
                <w:sz w:val="24"/>
                <w:szCs w:val="24"/>
              </w:rPr>
              <w:t>6</w:t>
            </w:r>
            <w:r w:rsidR="006075EF" w:rsidRPr="006075EF">
              <w:rPr>
                <w:rFonts w:ascii="Times New Roman" w:hAnsi="Times New Roman" w:cs="Times New Roman"/>
                <w:noProof/>
                <w:webHidden/>
                <w:sz w:val="24"/>
                <w:szCs w:val="24"/>
              </w:rPr>
              <w:fldChar w:fldCharType="end"/>
            </w:r>
          </w:hyperlink>
        </w:p>
        <w:p w14:paraId="664E5CB8" w14:textId="6BAE8095" w:rsidR="006075EF" w:rsidRPr="006075EF" w:rsidRDefault="00F62791" w:rsidP="006075EF">
          <w:pPr>
            <w:pStyle w:val="TOC1"/>
            <w:tabs>
              <w:tab w:val="left" w:pos="440"/>
              <w:tab w:val="right" w:leader="dot" w:pos="9230"/>
            </w:tabs>
            <w:spacing w:line="480" w:lineRule="auto"/>
            <w:ind w:left="426" w:hanging="426"/>
            <w:rPr>
              <w:rFonts w:ascii="Times New Roman" w:eastAsiaTheme="minorEastAsia" w:hAnsi="Times New Roman" w:cs="Times New Roman"/>
              <w:noProof/>
              <w:sz w:val="24"/>
              <w:szCs w:val="24"/>
              <w:lang w:val="en-CA" w:eastAsia="en-CA"/>
            </w:rPr>
          </w:pPr>
          <w:hyperlink w:anchor="_Toc231831486" w:history="1">
            <w:r w:rsidR="006075EF" w:rsidRPr="006075EF">
              <w:rPr>
                <w:rStyle w:val="Hyperlink"/>
                <w:rFonts w:ascii="Times New Roman" w:hAnsi="Times New Roman" w:cs="Times New Roman"/>
                <w:noProof/>
                <w:sz w:val="24"/>
                <w:szCs w:val="24"/>
              </w:rPr>
              <w:t>3.</w:t>
            </w:r>
            <w:r w:rsidR="006075EF" w:rsidRPr="006075EF">
              <w:rPr>
                <w:rFonts w:ascii="Times New Roman" w:eastAsiaTheme="minorEastAsia" w:hAnsi="Times New Roman" w:cs="Times New Roman"/>
                <w:noProof/>
                <w:sz w:val="24"/>
                <w:szCs w:val="24"/>
                <w:lang w:val="en-CA" w:eastAsia="en-CA"/>
              </w:rPr>
              <w:tab/>
            </w:r>
            <w:r w:rsidR="006075EF" w:rsidRPr="006075EF">
              <w:rPr>
                <w:rStyle w:val="Hyperlink"/>
                <w:rFonts w:ascii="Times New Roman" w:hAnsi="Times New Roman" w:cs="Times New Roman"/>
                <w:b/>
                <w:noProof/>
                <w:sz w:val="24"/>
                <w:szCs w:val="24"/>
              </w:rPr>
              <w:t>Reference list for the full-text review set (to be generated)</w:t>
            </w:r>
            <w:r w:rsidR="006075EF" w:rsidRPr="006075EF">
              <w:rPr>
                <w:rFonts w:ascii="Times New Roman" w:hAnsi="Times New Roman" w:cs="Times New Roman"/>
                <w:noProof/>
                <w:webHidden/>
                <w:sz w:val="24"/>
                <w:szCs w:val="24"/>
              </w:rPr>
              <w:tab/>
            </w:r>
            <w:r w:rsidR="006075EF" w:rsidRPr="006075EF">
              <w:rPr>
                <w:rFonts w:ascii="Times New Roman" w:hAnsi="Times New Roman" w:cs="Times New Roman"/>
                <w:noProof/>
                <w:webHidden/>
                <w:sz w:val="24"/>
                <w:szCs w:val="24"/>
              </w:rPr>
              <w:fldChar w:fldCharType="begin"/>
            </w:r>
            <w:r w:rsidR="006075EF" w:rsidRPr="006075EF">
              <w:rPr>
                <w:rFonts w:ascii="Times New Roman" w:hAnsi="Times New Roman" w:cs="Times New Roman"/>
                <w:noProof/>
                <w:webHidden/>
                <w:sz w:val="24"/>
                <w:szCs w:val="24"/>
              </w:rPr>
              <w:instrText xml:space="preserve"> PAGEREF _Toc231831486 \h </w:instrText>
            </w:r>
            <w:r w:rsidR="006075EF" w:rsidRPr="006075EF">
              <w:rPr>
                <w:rFonts w:ascii="Times New Roman" w:hAnsi="Times New Roman" w:cs="Times New Roman"/>
                <w:noProof/>
                <w:webHidden/>
                <w:sz w:val="24"/>
                <w:szCs w:val="24"/>
              </w:rPr>
            </w:r>
            <w:r w:rsidR="006075EF" w:rsidRPr="006075EF">
              <w:rPr>
                <w:rFonts w:ascii="Times New Roman" w:hAnsi="Times New Roman" w:cs="Times New Roman"/>
                <w:noProof/>
                <w:webHidden/>
                <w:sz w:val="24"/>
                <w:szCs w:val="24"/>
              </w:rPr>
              <w:fldChar w:fldCharType="separate"/>
            </w:r>
            <w:r w:rsidR="006075EF" w:rsidRPr="006075EF">
              <w:rPr>
                <w:rFonts w:ascii="Times New Roman" w:hAnsi="Times New Roman" w:cs="Times New Roman"/>
                <w:noProof/>
                <w:webHidden/>
                <w:sz w:val="24"/>
                <w:szCs w:val="24"/>
              </w:rPr>
              <w:t>8</w:t>
            </w:r>
            <w:r w:rsidR="006075EF" w:rsidRPr="006075EF">
              <w:rPr>
                <w:rFonts w:ascii="Times New Roman" w:hAnsi="Times New Roman" w:cs="Times New Roman"/>
                <w:noProof/>
                <w:webHidden/>
                <w:sz w:val="24"/>
                <w:szCs w:val="24"/>
              </w:rPr>
              <w:fldChar w:fldCharType="end"/>
            </w:r>
          </w:hyperlink>
        </w:p>
        <w:p w14:paraId="6747E319" w14:textId="40056F0A" w:rsidR="006075EF" w:rsidRPr="006075EF" w:rsidRDefault="00F62791" w:rsidP="006075EF">
          <w:pPr>
            <w:pStyle w:val="TOC1"/>
            <w:tabs>
              <w:tab w:val="left" w:pos="440"/>
              <w:tab w:val="right" w:leader="dot" w:pos="9230"/>
            </w:tabs>
            <w:spacing w:line="480" w:lineRule="auto"/>
            <w:ind w:left="426" w:hanging="426"/>
            <w:rPr>
              <w:rFonts w:ascii="Times New Roman" w:eastAsiaTheme="minorEastAsia" w:hAnsi="Times New Roman" w:cs="Times New Roman"/>
              <w:noProof/>
              <w:sz w:val="24"/>
              <w:szCs w:val="24"/>
              <w:lang w:val="en-CA" w:eastAsia="en-CA"/>
            </w:rPr>
          </w:pPr>
          <w:hyperlink w:anchor="_Toc231831487" w:history="1">
            <w:r w:rsidR="006075EF" w:rsidRPr="006075EF">
              <w:rPr>
                <w:rStyle w:val="Hyperlink"/>
                <w:rFonts w:ascii="Times New Roman" w:hAnsi="Times New Roman" w:cs="Times New Roman"/>
                <w:noProof/>
                <w:sz w:val="24"/>
                <w:szCs w:val="24"/>
              </w:rPr>
              <w:t>4.</w:t>
            </w:r>
            <w:r w:rsidR="006075EF" w:rsidRPr="006075EF">
              <w:rPr>
                <w:rFonts w:ascii="Times New Roman" w:eastAsiaTheme="minorEastAsia" w:hAnsi="Times New Roman" w:cs="Times New Roman"/>
                <w:noProof/>
                <w:sz w:val="24"/>
                <w:szCs w:val="24"/>
                <w:lang w:val="en-CA" w:eastAsia="en-CA"/>
              </w:rPr>
              <w:tab/>
            </w:r>
            <w:r w:rsidR="006075EF" w:rsidRPr="006075EF">
              <w:rPr>
                <w:rStyle w:val="Hyperlink"/>
                <w:rFonts w:ascii="Times New Roman" w:hAnsi="Times New Roman" w:cs="Times New Roman"/>
                <w:b/>
                <w:noProof/>
                <w:sz w:val="24"/>
                <w:szCs w:val="24"/>
              </w:rPr>
              <w:t>Definitions used in study design classification</w:t>
            </w:r>
            <w:r w:rsidR="006075EF" w:rsidRPr="006075EF">
              <w:rPr>
                <w:rFonts w:ascii="Times New Roman" w:hAnsi="Times New Roman" w:cs="Times New Roman"/>
                <w:noProof/>
                <w:webHidden/>
                <w:sz w:val="24"/>
                <w:szCs w:val="24"/>
              </w:rPr>
              <w:tab/>
            </w:r>
            <w:r w:rsidR="006075EF" w:rsidRPr="006075EF">
              <w:rPr>
                <w:rFonts w:ascii="Times New Roman" w:hAnsi="Times New Roman" w:cs="Times New Roman"/>
                <w:noProof/>
                <w:webHidden/>
                <w:sz w:val="24"/>
                <w:szCs w:val="24"/>
              </w:rPr>
              <w:fldChar w:fldCharType="begin"/>
            </w:r>
            <w:r w:rsidR="006075EF" w:rsidRPr="006075EF">
              <w:rPr>
                <w:rFonts w:ascii="Times New Roman" w:hAnsi="Times New Roman" w:cs="Times New Roman"/>
                <w:noProof/>
                <w:webHidden/>
                <w:sz w:val="24"/>
                <w:szCs w:val="24"/>
              </w:rPr>
              <w:instrText xml:space="preserve"> PAGEREF _Toc231831487 \h </w:instrText>
            </w:r>
            <w:r w:rsidR="006075EF" w:rsidRPr="006075EF">
              <w:rPr>
                <w:rFonts w:ascii="Times New Roman" w:hAnsi="Times New Roman" w:cs="Times New Roman"/>
                <w:noProof/>
                <w:webHidden/>
                <w:sz w:val="24"/>
                <w:szCs w:val="24"/>
              </w:rPr>
            </w:r>
            <w:r w:rsidR="006075EF" w:rsidRPr="006075EF">
              <w:rPr>
                <w:rFonts w:ascii="Times New Roman" w:hAnsi="Times New Roman" w:cs="Times New Roman"/>
                <w:noProof/>
                <w:webHidden/>
                <w:sz w:val="24"/>
                <w:szCs w:val="24"/>
              </w:rPr>
              <w:fldChar w:fldCharType="separate"/>
            </w:r>
            <w:r w:rsidR="006075EF" w:rsidRPr="006075EF">
              <w:rPr>
                <w:rFonts w:ascii="Times New Roman" w:hAnsi="Times New Roman" w:cs="Times New Roman"/>
                <w:noProof/>
                <w:webHidden/>
                <w:sz w:val="24"/>
                <w:szCs w:val="24"/>
              </w:rPr>
              <w:t>46</w:t>
            </w:r>
            <w:r w:rsidR="006075EF" w:rsidRPr="006075EF">
              <w:rPr>
                <w:rFonts w:ascii="Times New Roman" w:hAnsi="Times New Roman" w:cs="Times New Roman"/>
                <w:noProof/>
                <w:webHidden/>
                <w:sz w:val="24"/>
                <w:szCs w:val="24"/>
              </w:rPr>
              <w:fldChar w:fldCharType="end"/>
            </w:r>
          </w:hyperlink>
        </w:p>
        <w:p w14:paraId="4BE01145" w14:textId="096628FA" w:rsidR="006075EF" w:rsidRPr="006075EF" w:rsidRDefault="00F62791" w:rsidP="006075EF">
          <w:pPr>
            <w:pStyle w:val="TOC1"/>
            <w:tabs>
              <w:tab w:val="left" w:pos="440"/>
              <w:tab w:val="right" w:leader="dot" w:pos="9230"/>
            </w:tabs>
            <w:spacing w:line="480" w:lineRule="auto"/>
            <w:ind w:left="426" w:hanging="426"/>
            <w:rPr>
              <w:rFonts w:ascii="Times New Roman" w:eastAsiaTheme="minorEastAsia" w:hAnsi="Times New Roman" w:cs="Times New Roman"/>
              <w:noProof/>
              <w:sz w:val="24"/>
              <w:szCs w:val="24"/>
              <w:lang w:val="en-CA" w:eastAsia="en-CA"/>
            </w:rPr>
          </w:pPr>
          <w:hyperlink w:anchor="_Toc231831488" w:history="1">
            <w:r w:rsidR="006075EF" w:rsidRPr="006075EF">
              <w:rPr>
                <w:rStyle w:val="Hyperlink"/>
                <w:rFonts w:ascii="Times New Roman" w:hAnsi="Times New Roman" w:cs="Times New Roman"/>
                <w:noProof/>
                <w:sz w:val="24"/>
                <w:szCs w:val="24"/>
              </w:rPr>
              <w:t>5.</w:t>
            </w:r>
            <w:r w:rsidR="006075EF" w:rsidRPr="006075EF">
              <w:rPr>
                <w:rFonts w:ascii="Times New Roman" w:eastAsiaTheme="minorEastAsia" w:hAnsi="Times New Roman" w:cs="Times New Roman"/>
                <w:noProof/>
                <w:sz w:val="24"/>
                <w:szCs w:val="24"/>
                <w:lang w:val="en-CA" w:eastAsia="en-CA"/>
              </w:rPr>
              <w:tab/>
            </w:r>
            <w:r w:rsidR="006075EF" w:rsidRPr="006075EF">
              <w:rPr>
                <w:rStyle w:val="Hyperlink"/>
                <w:rFonts w:ascii="Times New Roman" w:hAnsi="Times New Roman" w:cs="Times New Roman"/>
                <w:b/>
                <w:noProof/>
                <w:sz w:val="24"/>
                <w:szCs w:val="24"/>
              </w:rPr>
              <w:t>List of described stimuli used across the full-text article set (n = 465)</w:t>
            </w:r>
            <w:r w:rsidR="006075EF" w:rsidRPr="006075EF">
              <w:rPr>
                <w:rFonts w:ascii="Times New Roman" w:hAnsi="Times New Roman" w:cs="Times New Roman"/>
                <w:noProof/>
                <w:webHidden/>
                <w:sz w:val="24"/>
                <w:szCs w:val="24"/>
              </w:rPr>
              <w:tab/>
            </w:r>
            <w:r w:rsidR="006075EF" w:rsidRPr="006075EF">
              <w:rPr>
                <w:rFonts w:ascii="Times New Roman" w:hAnsi="Times New Roman" w:cs="Times New Roman"/>
                <w:noProof/>
                <w:webHidden/>
                <w:sz w:val="24"/>
                <w:szCs w:val="24"/>
              </w:rPr>
              <w:fldChar w:fldCharType="begin"/>
            </w:r>
            <w:r w:rsidR="006075EF" w:rsidRPr="006075EF">
              <w:rPr>
                <w:rFonts w:ascii="Times New Roman" w:hAnsi="Times New Roman" w:cs="Times New Roman"/>
                <w:noProof/>
                <w:webHidden/>
                <w:sz w:val="24"/>
                <w:szCs w:val="24"/>
              </w:rPr>
              <w:instrText xml:space="preserve"> PAGEREF _Toc231831488 \h </w:instrText>
            </w:r>
            <w:r w:rsidR="006075EF" w:rsidRPr="006075EF">
              <w:rPr>
                <w:rFonts w:ascii="Times New Roman" w:hAnsi="Times New Roman" w:cs="Times New Roman"/>
                <w:noProof/>
                <w:webHidden/>
                <w:sz w:val="24"/>
                <w:szCs w:val="24"/>
              </w:rPr>
            </w:r>
            <w:r w:rsidR="006075EF" w:rsidRPr="006075EF">
              <w:rPr>
                <w:rFonts w:ascii="Times New Roman" w:hAnsi="Times New Roman" w:cs="Times New Roman"/>
                <w:noProof/>
                <w:webHidden/>
                <w:sz w:val="24"/>
                <w:szCs w:val="24"/>
              </w:rPr>
              <w:fldChar w:fldCharType="separate"/>
            </w:r>
            <w:r w:rsidR="006075EF" w:rsidRPr="006075EF">
              <w:rPr>
                <w:rFonts w:ascii="Times New Roman" w:hAnsi="Times New Roman" w:cs="Times New Roman"/>
                <w:noProof/>
                <w:webHidden/>
                <w:sz w:val="24"/>
                <w:szCs w:val="24"/>
              </w:rPr>
              <w:t>47</w:t>
            </w:r>
            <w:r w:rsidR="006075EF" w:rsidRPr="006075EF">
              <w:rPr>
                <w:rFonts w:ascii="Times New Roman" w:hAnsi="Times New Roman" w:cs="Times New Roman"/>
                <w:noProof/>
                <w:webHidden/>
                <w:sz w:val="24"/>
                <w:szCs w:val="24"/>
              </w:rPr>
              <w:fldChar w:fldCharType="end"/>
            </w:r>
          </w:hyperlink>
        </w:p>
        <w:p w14:paraId="6E036013" w14:textId="62DC4DDB" w:rsidR="006075EF" w:rsidRPr="006075EF" w:rsidRDefault="00F62791" w:rsidP="006075EF">
          <w:pPr>
            <w:pStyle w:val="TOC1"/>
            <w:tabs>
              <w:tab w:val="left" w:pos="440"/>
              <w:tab w:val="right" w:leader="dot" w:pos="9230"/>
            </w:tabs>
            <w:spacing w:line="480" w:lineRule="auto"/>
            <w:ind w:left="426" w:hanging="426"/>
            <w:rPr>
              <w:rFonts w:ascii="Times New Roman" w:eastAsiaTheme="minorEastAsia" w:hAnsi="Times New Roman" w:cs="Times New Roman"/>
              <w:noProof/>
              <w:sz w:val="24"/>
              <w:szCs w:val="24"/>
              <w:lang w:val="en-CA" w:eastAsia="en-CA"/>
            </w:rPr>
          </w:pPr>
          <w:hyperlink w:anchor="_Toc231831489" w:history="1">
            <w:r w:rsidR="006075EF" w:rsidRPr="006075EF">
              <w:rPr>
                <w:rStyle w:val="Hyperlink"/>
                <w:rFonts w:ascii="Times New Roman" w:hAnsi="Times New Roman" w:cs="Times New Roman"/>
                <w:noProof/>
                <w:sz w:val="24"/>
                <w:szCs w:val="24"/>
              </w:rPr>
              <w:t>6.</w:t>
            </w:r>
            <w:r w:rsidR="006075EF" w:rsidRPr="006075EF">
              <w:rPr>
                <w:rFonts w:ascii="Times New Roman" w:eastAsiaTheme="minorEastAsia" w:hAnsi="Times New Roman" w:cs="Times New Roman"/>
                <w:noProof/>
                <w:sz w:val="24"/>
                <w:szCs w:val="24"/>
                <w:lang w:val="en-CA" w:eastAsia="en-CA"/>
              </w:rPr>
              <w:tab/>
            </w:r>
            <w:r w:rsidR="006075EF" w:rsidRPr="006075EF">
              <w:rPr>
                <w:rStyle w:val="Hyperlink"/>
                <w:rFonts w:ascii="Times New Roman" w:hAnsi="Times New Roman" w:cs="Times New Roman"/>
                <w:b/>
                <w:noProof/>
                <w:sz w:val="24"/>
                <w:szCs w:val="24"/>
              </w:rPr>
              <w:t>Full list of clinical diagnoses represented in the full-text review set</w:t>
            </w:r>
            <w:r w:rsidR="006075EF" w:rsidRPr="006075EF">
              <w:rPr>
                <w:rFonts w:ascii="Times New Roman" w:hAnsi="Times New Roman" w:cs="Times New Roman"/>
                <w:noProof/>
                <w:webHidden/>
                <w:sz w:val="24"/>
                <w:szCs w:val="24"/>
              </w:rPr>
              <w:tab/>
            </w:r>
            <w:r w:rsidR="006075EF" w:rsidRPr="006075EF">
              <w:rPr>
                <w:rFonts w:ascii="Times New Roman" w:hAnsi="Times New Roman" w:cs="Times New Roman"/>
                <w:noProof/>
                <w:webHidden/>
                <w:sz w:val="24"/>
                <w:szCs w:val="24"/>
              </w:rPr>
              <w:fldChar w:fldCharType="begin"/>
            </w:r>
            <w:r w:rsidR="006075EF" w:rsidRPr="006075EF">
              <w:rPr>
                <w:rFonts w:ascii="Times New Roman" w:hAnsi="Times New Roman" w:cs="Times New Roman"/>
                <w:noProof/>
                <w:webHidden/>
                <w:sz w:val="24"/>
                <w:szCs w:val="24"/>
              </w:rPr>
              <w:instrText xml:space="preserve"> PAGEREF _Toc231831489 \h </w:instrText>
            </w:r>
            <w:r w:rsidR="006075EF" w:rsidRPr="006075EF">
              <w:rPr>
                <w:rFonts w:ascii="Times New Roman" w:hAnsi="Times New Roman" w:cs="Times New Roman"/>
                <w:noProof/>
                <w:webHidden/>
                <w:sz w:val="24"/>
                <w:szCs w:val="24"/>
              </w:rPr>
            </w:r>
            <w:r w:rsidR="006075EF" w:rsidRPr="006075EF">
              <w:rPr>
                <w:rFonts w:ascii="Times New Roman" w:hAnsi="Times New Roman" w:cs="Times New Roman"/>
                <w:noProof/>
                <w:webHidden/>
                <w:sz w:val="24"/>
                <w:szCs w:val="24"/>
              </w:rPr>
              <w:fldChar w:fldCharType="separate"/>
            </w:r>
            <w:r w:rsidR="006075EF" w:rsidRPr="006075EF">
              <w:rPr>
                <w:rFonts w:ascii="Times New Roman" w:hAnsi="Times New Roman" w:cs="Times New Roman"/>
                <w:noProof/>
                <w:webHidden/>
                <w:sz w:val="24"/>
                <w:szCs w:val="24"/>
              </w:rPr>
              <w:t>54</w:t>
            </w:r>
            <w:r w:rsidR="006075EF" w:rsidRPr="006075EF">
              <w:rPr>
                <w:rFonts w:ascii="Times New Roman" w:hAnsi="Times New Roman" w:cs="Times New Roman"/>
                <w:noProof/>
                <w:webHidden/>
                <w:sz w:val="24"/>
                <w:szCs w:val="24"/>
              </w:rPr>
              <w:fldChar w:fldCharType="end"/>
            </w:r>
          </w:hyperlink>
        </w:p>
        <w:p w14:paraId="0FE00C3C" w14:textId="3B48F0C1" w:rsidR="0010297C" w:rsidRDefault="0010297C" w:rsidP="0010297C">
          <w:pPr>
            <w:spacing w:line="480" w:lineRule="auto"/>
          </w:pPr>
          <w:r w:rsidRPr="0010297C">
            <w:rPr>
              <w:rFonts w:ascii="Times New Roman" w:hAnsi="Times New Roman" w:cs="Times New Roman"/>
              <w:b/>
              <w:bCs/>
              <w:noProof/>
              <w:sz w:val="24"/>
              <w:szCs w:val="24"/>
            </w:rPr>
            <w:fldChar w:fldCharType="end"/>
          </w:r>
        </w:p>
      </w:sdtContent>
    </w:sdt>
    <w:p w14:paraId="402FB481" w14:textId="77777777" w:rsidR="00A25788" w:rsidRDefault="00A25788">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47A2782C" w14:textId="677CF77F" w:rsidR="008B2EEE" w:rsidRPr="00163DFD" w:rsidRDefault="008B2EEE" w:rsidP="00163DFD">
      <w:pPr>
        <w:pStyle w:val="Heading1"/>
        <w:numPr>
          <w:ilvl w:val="0"/>
          <w:numId w:val="5"/>
        </w:numPr>
        <w:spacing w:after="240"/>
        <w:ind w:left="567" w:hanging="567"/>
        <w:rPr>
          <w:rFonts w:ascii="Times New Roman" w:hAnsi="Times New Roman" w:cs="Times New Roman"/>
          <w:b/>
          <w:color w:val="auto"/>
          <w:sz w:val="24"/>
          <w:szCs w:val="24"/>
        </w:rPr>
      </w:pPr>
      <w:bookmarkStart w:id="0" w:name="_Toc231831484"/>
      <w:r w:rsidRPr="00163DFD">
        <w:rPr>
          <w:rFonts w:ascii="Times New Roman" w:hAnsi="Times New Roman" w:cs="Times New Roman"/>
          <w:b/>
          <w:color w:val="auto"/>
          <w:sz w:val="24"/>
          <w:szCs w:val="24"/>
        </w:rPr>
        <w:lastRenderedPageBreak/>
        <w:t>Preferred Reporting Items for Systematic reviews and Meta-Analyses extension for Scoping Reviews (PRISMA-ScR) Checklist</w:t>
      </w:r>
      <w:bookmarkEnd w:id="0"/>
      <w:r w:rsidRPr="00163DFD">
        <w:rPr>
          <w:rFonts w:ascii="Times New Roman" w:hAnsi="Times New Roman" w:cs="Times New Roman"/>
          <w:b/>
          <w:color w:val="auto"/>
          <w:sz w:val="24"/>
          <w:szCs w:val="24"/>
        </w:rPr>
        <w:t xml:space="preserve"> </w:t>
      </w:r>
    </w:p>
    <w:tbl>
      <w:tblPr>
        <w:tblStyle w:val="TableGridLight1"/>
        <w:tblW w:w="0" w:type="auto"/>
        <w:tblLook w:val="04A0" w:firstRow="1" w:lastRow="0" w:firstColumn="1" w:lastColumn="0" w:noHBand="0" w:noVBand="1"/>
      </w:tblPr>
      <w:tblGrid>
        <w:gridCol w:w="1823"/>
        <w:gridCol w:w="850"/>
        <w:gridCol w:w="7"/>
        <w:gridCol w:w="2650"/>
        <w:gridCol w:w="13"/>
        <w:gridCol w:w="3887"/>
      </w:tblGrid>
      <w:tr w:rsidR="008B2EEE" w:rsidRPr="008B2EEE" w14:paraId="43DC9272" w14:textId="77777777" w:rsidTr="008B2EEE">
        <w:trPr>
          <w:tblHeader/>
        </w:trPr>
        <w:tc>
          <w:tcPr>
            <w:tcW w:w="1555" w:type="dxa"/>
            <w:shd w:val="clear" w:color="auto" w:fill="5B9BD5" w:themeFill="accent1"/>
            <w:vAlign w:val="center"/>
          </w:tcPr>
          <w:p w14:paraId="3EE90B8C" w14:textId="77777777" w:rsidR="008B2EEE" w:rsidRPr="008B2EEE" w:rsidRDefault="008B2EEE" w:rsidP="008B2EEE">
            <w:pPr>
              <w:jc w:val="center"/>
              <w:rPr>
                <w:rFonts w:ascii="Times New Roman" w:hAnsi="Times New Roman" w:cs="Times New Roman"/>
                <w:b/>
                <w:color w:val="F2F2F2" w:themeColor="background1" w:themeShade="F2"/>
                <w:sz w:val="24"/>
                <w:szCs w:val="24"/>
              </w:rPr>
            </w:pPr>
            <w:r w:rsidRPr="008B2EEE">
              <w:rPr>
                <w:rFonts w:ascii="Times New Roman" w:hAnsi="Times New Roman" w:cs="Times New Roman"/>
                <w:b/>
                <w:bCs/>
                <w:color w:val="F2F2F2" w:themeColor="background1" w:themeShade="F2"/>
                <w:sz w:val="24"/>
                <w:szCs w:val="24"/>
              </w:rPr>
              <w:t>SECTION</w:t>
            </w:r>
          </w:p>
        </w:tc>
        <w:tc>
          <w:tcPr>
            <w:tcW w:w="857" w:type="dxa"/>
            <w:gridSpan w:val="2"/>
            <w:shd w:val="clear" w:color="auto" w:fill="5B9BD5" w:themeFill="accent1"/>
            <w:vAlign w:val="center"/>
          </w:tcPr>
          <w:p w14:paraId="0D6CD25A" w14:textId="77777777" w:rsidR="008B2EEE" w:rsidRPr="008B2EEE" w:rsidRDefault="008B2EEE" w:rsidP="008B2EEE">
            <w:pPr>
              <w:autoSpaceDE w:val="0"/>
              <w:autoSpaceDN w:val="0"/>
              <w:adjustRightInd w:val="0"/>
              <w:jc w:val="center"/>
              <w:rPr>
                <w:rFonts w:ascii="Times New Roman" w:hAnsi="Times New Roman" w:cs="Times New Roman"/>
                <w:b/>
                <w:color w:val="F2F2F2" w:themeColor="background1" w:themeShade="F2"/>
                <w:sz w:val="24"/>
                <w:szCs w:val="24"/>
              </w:rPr>
            </w:pPr>
            <w:r w:rsidRPr="008B2EEE">
              <w:rPr>
                <w:rFonts w:ascii="Times New Roman" w:hAnsi="Times New Roman" w:cs="Times New Roman"/>
                <w:b/>
                <w:bCs/>
                <w:color w:val="F2F2F2" w:themeColor="background1" w:themeShade="F2"/>
                <w:sz w:val="24"/>
                <w:szCs w:val="24"/>
              </w:rPr>
              <w:t>ITEM</w:t>
            </w:r>
          </w:p>
        </w:tc>
        <w:tc>
          <w:tcPr>
            <w:tcW w:w="4520" w:type="dxa"/>
            <w:shd w:val="clear" w:color="auto" w:fill="5B9BD5" w:themeFill="accent1"/>
            <w:vAlign w:val="center"/>
          </w:tcPr>
          <w:p w14:paraId="22CE8E07" w14:textId="77777777" w:rsidR="008B2EEE" w:rsidRPr="008B2EEE" w:rsidRDefault="008B2EEE" w:rsidP="008B2EEE">
            <w:pPr>
              <w:jc w:val="center"/>
              <w:rPr>
                <w:rFonts w:ascii="Times New Roman" w:hAnsi="Times New Roman" w:cs="Times New Roman"/>
                <w:b/>
                <w:color w:val="F2F2F2" w:themeColor="background1" w:themeShade="F2"/>
                <w:sz w:val="24"/>
                <w:szCs w:val="24"/>
              </w:rPr>
            </w:pPr>
            <w:r w:rsidRPr="008B2EEE">
              <w:rPr>
                <w:rFonts w:ascii="Times New Roman" w:hAnsi="Times New Roman" w:cs="Times New Roman"/>
                <w:b/>
                <w:color w:val="F2F2F2" w:themeColor="background1" w:themeShade="F2"/>
                <w:sz w:val="24"/>
                <w:szCs w:val="24"/>
              </w:rPr>
              <w:t>PRISMA-ScR CHECKLIST ITEM</w:t>
            </w:r>
          </w:p>
        </w:tc>
        <w:tc>
          <w:tcPr>
            <w:tcW w:w="0" w:type="auto"/>
            <w:gridSpan w:val="2"/>
            <w:shd w:val="clear" w:color="auto" w:fill="5B9BD5" w:themeFill="accent1"/>
            <w:vAlign w:val="center"/>
          </w:tcPr>
          <w:p w14:paraId="692B7962" w14:textId="77777777" w:rsidR="008B2EEE" w:rsidRPr="008B2EEE" w:rsidRDefault="008B2EEE" w:rsidP="008B2EEE">
            <w:pPr>
              <w:jc w:val="center"/>
              <w:rPr>
                <w:rFonts w:ascii="Times New Roman" w:hAnsi="Times New Roman" w:cs="Times New Roman"/>
                <w:b/>
                <w:color w:val="F2F2F2" w:themeColor="background1" w:themeShade="F2"/>
                <w:sz w:val="24"/>
                <w:szCs w:val="24"/>
              </w:rPr>
            </w:pPr>
            <w:r w:rsidRPr="008B2EEE">
              <w:rPr>
                <w:rFonts w:ascii="Times New Roman" w:hAnsi="Times New Roman" w:cs="Times New Roman"/>
                <w:b/>
                <w:color w:val="F2F2F2" w:themeColor="background1" w:themeShade="F2"/>
                <w:sz w:val="24"/>
                <w:szCs w:val="24"/>
              </w:rPr>
              <w:t>REPORTED IN SECTION</w:t>
            </w:r>
          </w:p>
        </w:tc>
      </w:tr>
      <w:tr w:rsidR="008B2EEE" w:rsidRPr="008B2EEE" w14:paraId="760CB167" w14:textId="77777777" w:rsidTr="008B2EEE">
        <w:tc>
          <w:tcPr>
            <w:tcW w:w="0" w:type="auto"/>
            <w:gridSpan w:val="6"/>
            <w:shd w:val="clear" w:color="auto" w:fill="DEEAF6" w:themeFill="accent1" w:themeFillTint="33"/>
            <w:vAlign w:val="center"/>
          </w:tcPr>
          <w:p w14:paraId="7FEB0430" w14:textId="77777777" w:rsidR="008B2EEE" w:rsidRPr="008B2EEE" w:rsidRDefault="008B2EEE" w:rsidP="00A25788">
            <w:pPr>
              <w:rPr>
                <w:rFonts w:ascii="Times New Roman" w:hAnsi="Times New Roman" w:cs="Times New Roman"/>
                <w:b/>
                <w:sz w:val="24"/>
                <w:szCs w:val="24"/>
              </w:rPr>
            </w:pPr>
            <w:r w:rsidRPr="008B2EEE">
              <w:rPr>
                <w:rFonts w:ascii="Times New Roman" w:hAnsi="Times New Roman" w:cs="Times New Roman"/>
                <w:b/>
                <w:sz w:val="24"/>
                <w:szCs w:val="24"/>
              </w:rPr>
              <w:t>TITLE</w:t>
            </w:r>
          </w:p>
        </w:tc>
      </w:tr>
      <w:tr w:rsidR="008B2EEE" w:rsidRPr="008B2EEE" w14:paraId="1431165A" w14:textId="77777777" w:rsidTr="008B2EEE">
        <w:tc>
          <w:tcPr>
            <w:tcW w:w="1555" w:type="dxa"/>
            <w:vAlign w:val="center"/>
          </w:tcPr>
          <w:p w14:paraId="5FFEA1F2"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Title</w:t>
            </w:r>
          </w:p>
        </w:tc>
        <w:tc>
          <w:tcPr>
            <w:tcW w:w="857" w:type="dxa"/>
            <w:gridSpan w:val="2"/>
            <w:vAlign w:val="center"/>
          </w:tcPr>
          <w:p w14:paraId="46979F8C"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w:t>
            </w:r>
          </w:p>
        </w:tc>
        <w:tc>
          <w:tcPr>
            <w:tcW w:w="4520" w:type="dxa"/>
            <w:vAlign w:val="center"/>
          </w:tcPr>
          <w:p w14:paraId="41D0A782"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Identify the report as a scoping review.</w:t>
            </w:r>
          </w:p>
        </w:tc>
        <w:sdt>
          <w:sdtPr>
            <w:rPr>
              <w:rFonts w:ascii="Times New Roman" w:hAnsi="Times New Roman" w:cs="Times New Roman"/>
              <w:sz w:val="24"/>
              <w:szCs w:val="24"/>
            </w:rPr>
            <w:id w:val="-1886790070"/>
            <w:placeholder>
              <w:docPart w:val="7CB257F3EEEC476EBCF1B88D4FA31981"/>
            </w:placeholder>
          </w:sdtPr>
          <w:sdtEndPr/>
          <w:sdtContent>
            <w:tc>
              <w:tcPr>
                <w:tcW w:w="0" w:type="auto"/>
                <w:gridSpan w:val="2"/>
                <w:vAlign w:val="center"/>
              </w:tcPr>
              <w:p w14:paraId="7CB70468"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Title: Bibliometric and Thematic Review</w:t>
                </w:r>
              </w:p>
            </w:tc>
          </w:sdtContent>
        </w:sdt>
      </w:tr>
      <w:tr w:rsidR="008B2EEE" w:rsidRPr="008B2EEE" w14:paraId="571AAFB1" w14:textId="77777777" w:rsidTr="008B2EEE">
        <w:tc>
          <w:tcPr>
            <w:tcW w:w="0" w:type="auto"/>
            <w:gridSpan w:val="6"/>
            <w:shd w:val="clear" w:color="auto" w:fill="DEEAF6" w:themeFill="accent1" w:themeFillTint="33"/>
            <w:vAlign w:val="center"/>
          </w:tcPr>
          <w:p w14:paraId="3A3324E1" w14:textId="77777777" w:rsidR="008B2EEE" w:rsidRPr="008B2EEE" w:rsidRDefault="008B2EEE" w:rsidP="00A25788">
            <w:pPr>
              <w:rPr>
                <w:rFonts w:ascii="Times New Roman" w:hAnsi="Times New Roman" w:cs="Times New Roman"/>
                <w:b/>
                <w:sz w:val="24"/>
                <w:szCs w:val="24"/>
              </w:rPr>
            </w:pPr>
            <w:r w:rsidRPr="008B2EEE">
              <w:rPr>
                <w:rFonts w:ascii="Times New Roman" w:hAnsi="Times New Roman" w:cs="Times New Roman"/>
                <w:b/>
                <w:sz w:val="24"/>
                <w:szCs w:val="24"/>
              </w:rPr>
              <w:t>ABSTRACT</w:t>
            </w:r>
          </w:p>
        </w:tc>
      </w:tr>
      <w:tr w:rsidR="008B2EEE" w:rsidRPr="008B2EEE" w14:paraId="5F281743" w14:textId="77777777" w:rsidTr="008B2EEE">
        <w:tc>
          <w:tcPr>
            <w:tcW w:w="1555" w:type="dxa"/>
            <w:vAlign w:val="center"/>
          </w:tcPr>
          <w:p w14:paraId="35D2FEFB"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Structured summary</w:t>
            </w:r>
          </w:p>
        </w:tc>
        <w:tc>
          <w:tcPr>
            <w:tcW w:w="857" w:type="dxa"/>
            <w:gridSpan w:val="2"/>
            <w:vAlign w:val="center"/>
          </w:tcPr>
          <w:p w14:paraId="7A8CA950"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2</w:t>
            </w:r>
          </w:p>
        </w:tc>
        <w:tc>
          <w:tcPr>
            <w:tcW w:w="4520" w:type="dxa"/>
            <w:vAlign w:val="center"/>
          </w:tcPr>
          <w:p w14:paraId="014862DE"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4"/>
              <w:szCs w:val="24"/>
            </w:rPr>
            <w:id w:val="1190178197"/>
            <w:placeholder>
              <w:docPart w:val="7CB257F3EEEC476EBCF1B88D4FA31981"/>
            </w:placeholder>
          </w:sdtPr>
          <w:sdtEndPr/>
          <w:sdtContent>
            <w:tc>
              <w:tcPr>
                <w:tcW w:w="0" w:type="auto"/>
                <w:gridSpan w:val="2"/>
                <w:vAlign w:val="center"/>
              </w:tcPr>
              <w:p w14:paraId="51059B6A"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Abstract: Journal uses unstructured abstract format, but elements are included).</w:t>
                </w:r>
              </w:p>
            </w:tc>
          </w:sdtContent>
        </w:sdt>
      </w:tr>
      <w:tr w:rsidR="008B2EEE" w:rsidRPr="008B2EEE" w14:paraId="5080BB95" w14:textId="77777777" w:rsidTr="008B2EEE">
        <w:tc>
          <w:tcPr>
            <w:tcW w:w="0" w:type="auto"/>
            <w:gridSpan w:val="6"/>
            <w:shd w:val="clear" w:color="auto" w:fill="DEEAF6" w:themeFill="accent1" w:themeFillTint="33"/>
            <w:vAlign w:val="center"/>
          </w:tcPr>
          <w:p w14:paraId="20113DE8" w14:textId="77777777" w:rsidR="008B2EEE" w:rsidRPr="008B2EEE" w:rsidRDefault="008B2EEE" w:rsidP="00A25788">
            <w:pPr>
              <w:tabs>
                <w:tab w:val="left" w:pos="1774"/>
              </w:tabs>
              <w:rPr>
                <w:rFonts w:ascii="Times New Roman" w:hAnsi="Times New Roman" w:cs="Times New Roman"/>
                <w:b/>
                <w:sz w:val="24"/>
                <w:szCs w:val="24"/>
              </w:rPr>
            </w:pPr>
            <w:r w:rsidRPr="008B2EEE">
              <w:rPr>
                <w:rFonts w:ascii="Times New Roman" w:hAnsi="Times New Roman" w:cs="Times New Roman"/>
                <w:b/>
                <w:sz w:val="24"/>
                <w:szCs w:val="24"/>
              </w:rPr>
              <w:t>INTRODUCTION</w:t>
            </w:r>
          </w:p>
        </w:tc>
      </w:tr>
      <w:tr w:rsidR="008B2EEE" w:rsidRPr="008B2EEE" w14:paraId="0DA61AE0" w14:textId="77777777" w:rsidTr="008B2EEE">
        <w:trPr>
          <w:trHeight w:val="530"/>
        </w:trPr>
        <w:tc>
          <w:tcPr>
            <w:tcW w:w="1555" w:type="dxa"/>
            <w:vAlign w:val="center"/>
          </w:tcPr>
          <w:p w14:paraId="75A915D9"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Rationale</w:t>
            </w:r>
          </w:p>
        </w:tc>
        <w:tc>
          <w:tcPr>
            <w:tcW w:w="857" w:type="dxa"/>
            <w:gridSpan w:val="2"/>
            <w:vAlign w:val="center"/>
          </w:tcPr>
          <w:p w14:paraId="72B8140C"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3</w:t>
            </w:r>
          </w:p>
        </w:tc>
        <w:tc>
          <w:tcPr>
            <w:tcW w:w="4520" w:type="dxa"/>
            <w:vAlign w:val="center"/>
          </w:tcPr>
          <w:p w14:paraId="1AE6180F"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Describe the rationale for the review in the context of what is already known. Explain why the review questions/objectives lend themselves to a scoping review approach.</w:t>
            </w:r>
          </w:p>
        </w:tc>
        <w:sdt>
          <w:sdtPr>
            <w:rPr>
              <w:rFonts w:ascii="Times New Roman" w:hAnsi="Times New Roman" w:cs="Times New Roman"/>
              <w:sz w:val="24"/>
              <w:szCs w:val="24"/>
            </w:rPr>
            <w:id w:val="56057269"/>
            <w:placeholder>
              <w:docPart w:val="7CB257F3EEEC476EBCF1B88D4FA31981"/>
            </w:placeholder>
          </w:sdtPr>
          <w:sdtEndPr/>
          <w:sdtContent>
            <w:tc>
              <w:tcPr>
                <w:tcW w:w="0" w:type="auto"/>
                <w:gridSpan w:val="2"/>
                <w:vAlign w:val="center"/>
              </w:tcPr>
              <w:p w14:paraId="0835A921"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Introduction</w:t>
                </w:r>
              </w:p>
            </w:tc>
          </w:sdtContent>
        </w:sdt>
      </w:tr>
      <w:tr w:rsidR="008B2EEE" w:rsidRPr="008B2EEE" w14:paraId="332045AF" w14:textId="77777777" w:rsidTr="008B2EEE">
        <w:trPr>
          <w:trHeight w:val="800"/>
        </w:trPr>
        <w:tc>
          <w:tcPr>
            <w:tcW w:w="1555" w:type="dxa"/>
            <w:vAlign w:val="center"/>
          </w:tcPr>
          <w:p w14:paraId="3861CC95"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Objectives</w:t>
            </w:r>
          </w:p>
        </w:tc>
        <w:tc>
          <w:tcPr>
            <w:tcW w:w="857" w:type="dxa"/>
            <w:gridSpan w:val="2"/>
            <w:vAlign w:val="center"/>
          </w:tcPr>
          <w:p w14:paraId="1AF2355E"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4</w:t>
            </w:r>
          </w:p>
        </w:tc>
        <w:tc>
          <w:tcPr>
            <w:tcW w:w="4520" w:type="dxa"/>
            <w:vAlign w:val="center"/>
          </w:tcPr>
          <w:p w14:paraId="58F60454"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4"/>
              <w:szCs w:val="24"/>
            </w:rPr>
            <w:id w:val="-1797599034"/>
            <w:placeholder>
              <w:docPart w:val="7CB257F3EEEC476EBCF1B88D4FA31981"/>
            </w:placeholder>
          </w:sdtPr>
          <w:sdtEndPr/>
          <w:sdtContent>
            <w:tc>
              <w:tcPr>
                <w:tcW w:w="0" w:type="auto"/>
                <w:gridSpan w:val="2"/>
                <w:vAlign w:val="center"/>
              </w:tcPr>
              <w:p w14:paraId="7110F8A8"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Introduction</w:t>
                </w:r>
              </w:p>
            </w:tc>
          </w:sdtContent>
        </w:sdt>
      </w:tr>
      <w:tr w:rsidR="008B2EEE" w:rsidRPr="008B2EEE" w14:paraId="36B59033" w14:textId="77777777" w:rsidTr="008B2EEE">
        <w:tc>
          <w:tcPr>
            <w:tcW w:w="0" w:type="auto"/>
            <w:gridSpan w:val="6"/>
            <w:shd w:val="clear" w:color="auto" w:fill="DEEAF6" w:themeFill="accent1" w:themeFillTint="33"/>
            <w:vAlign w:val="center"/>
          </w:tcPr>
          <w:p w14:paraId="781E1FC4" w14:textId="77777777" w:rsidR="008B2EEE" w:rsidRPr="008B2EEE" w:rsidRDefault="008B2EEE" w:rsidP="00A25788">
            <w:pPr>
              <w:rPr>
                <w:rFonts w:ascii="Times New Roman" w:hAnsi="Times New Roman" w:cs="Times New Roman"/>
                <w:b/>
                <w:sz w:val="24"/>
                <w:szCs w:val="24"/>
              </w:rPr>
            </w:pPr>
            <w:r w:rsidRPr="008B2EEE">
              <w:rPr>
                <w:rFonts w:ascii="Times New Roman" w:hAnsi="Times New Roman" w:cs="Times New Roman"/>
                <w:b/>
                <w:sz w:val="24"/>
                <w:szCs w:val="24"/>
              </w:rPr>
              <w:t>METHODS</w:t>
            </w:r>
          </w:p>
        </w:tc>
      </w:tr>
      <w:tr w:rsidR="008B2EEE" w:rsidRPr="008B2EEE" w14:paraId="54F300CD" w14:textId="77777777" w:rsidTr="008B2EEE">
        <w:tc>
          <w:tcPr>
            <w:tcW w:w="1555" w:type="dxa"/>
            <w:vAlign w:val="center"/>
          </w:tcPr>
          <w:p w14:paraId="6E69C0E0" w14:textId="29BE2C7F" w:rsidR="008B2EEE" w:rsidRPr="008B2EEE" w:rsidRDefault="008B2EEE" w:rsidP="008B2EEE">
            <w:pPr>
              <w:ind w:left="180"/>
              <w:rPr>
                <w:rFonts w:ascii="Times New Roman" w:hAnsi="Times New Roman" w:cs="Times New Roman"/>
                <w:sz w:val="24"/>
                <w:szCs w:val="24"/>
              </w:rPr>
            </w:pPr>
            <w:r w:rsidRPr="008B2EEE">
              <w:rPr>
                <w:rFonts w:ascii="Times New Roman" w:hAnsi="Times New Roman" w:cs="Times New Roman"/>
                <w:sz w:val="24"/>
                <w:szCs w:val="24"/>
              </w:rPr>
              <w:t>Protocol</w:t>
            </w:r>
            <w:r>
              <w:rPr>
                <w:rFonts w:ascii="Times New Roman" w:hAnsi="Times New Roman" w:cs="Times New Roman"/>
                <w:sz w:val="24"/>
                <w:szCs w:val="24"/>
              </w:rPr>
              <w:t xml:space="preserve">, </w:t>
            </w:r>
            <w:r w:rsidRPr="008B2EEE">
              <w:rPr>
                <w:rFonts w:ascii="Times New Roman" w:hAnsi="Times New Roman" w:cs="Times New Roman"/>
                <w:sz w:val="24"/>
                <w:szCs w:val="24"/>
              </w:rPr>
              <w:t>and registration</w:t>
            </w:r>
          </w:p>
        </w:tc>
        <w:tc>
          <w:tcPr>
            <w:tcW w:w="857" w:type="dxa"/>
            <w:gridSpan w:val="2"/>
            <w:vAlign w:val="center"/>
          </w:tcPr>
          <w:p w14:paraId="6A195519"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5</w:t>
            </w:r>
          </w:p>
        </w:tc>
        <w:tc>
          <w:tcPr>
            <w:tcW w:w="4520" w:type="dxa"/>
            <w:vAlign w:val="center"/>
          </w:tcPr>
          <w:p w14:paraId="68E28682"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 xml:space="preserve">Indicate whether a review protocol exists; state if and where it can be accessed (e.g., a Web </w:t>
            </w:r>
            <w:r w:rsidRPr="008B2EEE">
              <w:rPr>
                <w:rFonts w:ascii="Times New Roman" w:hAnsi="Times New Roman" w:cs="Times New Roman"/>
                <w:sz w:val="24"/>
                <w:szCs w:val="24"/>
              </w:rPr>
              <w:lastRenderedPageBreak/>
              <w:t>address); and if available, provide registration information, including the registration number.</w:t>
            </w:r>
          </w:p>
        </w:tc>
        <w:sdt>
          <w:sdtPr>
            <w:rPr>
              <w:rFonts w:ascii="Times New Roman" w:hAnsi="Times New Roman" w:cs="Times New Roman"/>
              <w:sz w:val="24"/>
              <w:szCs w:val="24"/>
            </w:rPr>
            <w:id w:val="-1888323895"/>
            <w:placeholder>
              <w:docPart w:val="7CB257F3EEEC476EBCF1B88D4FA31981"/>
            </w:placeholder>
          </w:sdtPr>
          <w:sdtEndPr/>
          <w:sdtContent>
            <w:tc>
              <w:tcPr>
                <w:tcW w:w="0" w:type="auto"/>
                <w:gridSpan w:val="2"/>
                <w:vAlign w:val="center"/>
              </w:tcPr>
              <w:p w14:paraId="554F0EAE"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Methods</w:t>
                </w:r>
              </w:p>
            </w:tc>
          </w:sdtContent>
        </w:sdt>
      </w:tr>
      <w:tr w:rsidR="008B2EEE" w:rsidRPr="008B2EEE" w14:paraId="5C6D7CD8" w14:textId="77777777" w:rsidTr="008B2EEE">
        <w:tc>
          <w:tcPr>
            <w:tcW w:w="1555" w:type="dxa"/>
            <w:vAlign w:val="center"/>
          </w:tcPr>
          <w:p w14:paraId="09729F47"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Eligibility criteria</w:t>
            </w:r>
          </w:p>
        </w:tc>
        <w:tc>
          <w:tcPr>
            <w:tcW w:w="857" w:type="dxa"/>
            <w:gridSpan w:val="2"/>
            <w:vAlign w:val="center"/>
          </w:tcPr>
          <w:p w14:paraId="0D55225D"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6</w:t>
            </w:r>
          </w:p>
        </w:tc>
        <w:tc>
          <w:tcPr>
            <w:tcW w:w="4520" w:type="dxa"/>
            <w:vAlign w:val="center"/>
          </w:tcPr>
          <w:p w14:paraId="16140CC6"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Specify characteristics of the sources of evidence used as eligibility criteria (e.g., years considered, language, and publication status), and provide a rationale.</w:t>
            </w:r>
          </w:p>
        </w:tc>
        <w:sdt>
          <w:sdtPr>
            <w:rPr>
              <w:rFonts w:ascii="Times New Roman" w:hAnsi="Times New Roman" w:cs="Times New Roman"/>
              <w:sz w:val="24"/>
              <w:szCs w:val="24"/>
            </w:rPr>
            <w:id w:val="623510431"/>
            <w:placeholder>
              <w:docPart w:val="7CB257F3EEEC476EBCF1B88D4FA31981"/>
            </w:placeholder>
          </w:sdtPr>
          <w:sdtEndPr/>
          <w:sdtContent>
            <w:tc>
              <w:tcPr>
                <w:tcW w:w="0" w:type="auto"/>
                <w:gridSpan w:val="2"/>
                <w:vAlign w:val="center"/>
              </w:tcPr>
              <w:p w14:paraId="1A3ACA3E"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Methods</w:t>
                </w:r>
              </w:p>
            </w:tc>
          </w:sdtContent>
        </w:sdt>
      </w:tr>
      <w:tr w:rsidR="008B2EEE" w:rsidRPr="008B2EEE" w14:paraId="3F7547C4" w14:textId="77777777" w:rsidTr="008B2EEE">
        <w:trPr>
          <w:trHeight w:val="260"/>
        </w:trPr>
        <w:tc>
          <w:tcPr>
            <w:tcW w:w="1555" w:type="dxa"/>
            <w:vAlign w:val="center"/>
          </w:tcPr>
          <w:p w14:paraId="6F5B5FE1" w14:textId="76E9A4CC" w:rsidR="008B2EEE" w:rsidRPr="008B2EEE" w:rsidRDefault="008B2EEE" w:rsidP="008B2EEE">
            <w:pPr>
              <w:ind w:left="180"/>
              <w:rPr>
                <w:rFonts w:ascii="Times New Roman" w:hAnsi="Times New Roman" w:cs="Times New Roman"/>
                <w:sz w:val="24"/>
                <w:szCs w:val="24"/>
              </w:rPr>
            </w:pPr>
            <w:r w:rsidRPr="008B2EEE">
              <w:rPr>
                <w:rFonts w:ascii="Times New Roman" w:hAnsi="Times New Roman" w:cs="Times New Roman"/>
                <w:sz w:val="24"/>
                <w:szCs w:val="24"/>
              </w:rPr>
              <w:t>Information sources</w:t>
            </w:r>
          </w:p>
        </w:tc>
        <w:tc>
          <w:tcPr>
            <w:tcW w:w="857" w:type="dxa"/>
            <w:gridSpan w:val="2"/>
            <w:vAlign w:val="center"/>
          </w:tcPr>
          <w:p w14:paraId="1F7A2CC8"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7</w:t>
            </w:r>
          </w:p>
        </w:tc>
        <w:tc>
          <w:tcPr>
            <w:tcW w:w="4520" w:type="dxa"/>
            <w:vAlign w:val="center"/>
          </w:tcPr>
          <w:p w14:paraId="2D14B9D1"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4"/>
              <w:szCs w:val="24"/>
            </w:rPr>
            <w:id w:val="1510949160"/>
            <w:placeholder>
              <w:docPart w:val="7CB257F3EEEC476EBCF1B88D4FA31981"/>
            </w:placeholder>
          </w:sdtPr>
          <w:sdtEndPr/>
          <w:sdtContent>
            <w:tc>
              <w:tcPr>
                <w:tcW w:w="0" w:type="auto"/>
                <w:gridSpan w:val="2"/>
                <w:vAlign w:val="center"/>
              </w:tcPr>
              <w:p w14:paraId="0F295381"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Methods (with reference to additional information in the main paper)</w:t>
                </w:r>
              </w:p>
            </w:tc>
          </w:sdtContent>
        </w:sdt>
      </w:tr>
      <w:tr w:rsidR="008B2EEE" w:rsidRPr="008B2EEE" w14:paraId="21F7E020" w14:textId="77777777" w:rsidTr="008B2EEE">
        <w:tc>
          <w:tcPr>
            <w:tcW w:w="1555" w:type="dxa"/>
            <w:vAlign w:val="center"/>
          </w:tcPr>
          <w:p w14:paraId="114F041F"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Search</w:t>
            </w:r>
          </w:p>
        </w:tc>
        <w:tc>
          <w:tcPr>
            <w:tcW w:w="857" w:type="dxa"/>
            <w:gridSpan w:val="2"/>
            <w:vAlign w:val="center"/>
          </w:tcPr>
          <w:p w14:paraId="1F5DCB8A"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8</w:t>
            </w:r>
          </w:p>
        </w:tc>
        <w:tc>
          <w:tcPr>
            <w:tcW w:w="4520" w:type="dxa"/>
            <w:vAlign w:val="center"/>
          </w:tcPr>
          <w:p w14:paraId="6C564266"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Present the full electronic search strategy for at least 1 database, including any limits used, such that it could be repeated.</w:t>
            </w:r>
          </w:p>
        </w:tc>
        <w:sdt>
          <w:sdtPr>
            <w:rPr>
              <w:rFonts w:ascii="Times New Roman" w:hAnsi="Times New Roman" w:cs="Times New Roman"/>
              <w:sz w:val="24"/>
              <w:szCs w:val="24"/>
            </w:rPr>
            <w:id w:val="964171142"/>
            <w:placeholder>
              <w:docPart w:val="7CB257F3EEEC476EBCF1B88D4FA31981"/>
            </w:placeholder>
          </w:sdtPr>
          <w:sdtEndPr/>
          <w:sdtContent>
            <w:tc>
              <w:tcPr>
                <w:tcW w:w="0" w:type="auto"/>
                <w:gridSpan w:val="2"/>
                <w:vAlign w:val="center"/>
              </w:tcPr>
              <w:p w14:paraId="443E3805" w14:textId="094CD8F0" w:rsidR="008B2EEE" w:rsidRPr="008B2EEE" w:rsidRDefault="008B2EEE" w:rsidP="00F62791">
                <w:pPr>
                  <w:rPr>
                    <w:rFonts w:ascii="Times New Roman" w:hAnsi="Times New Roman" w:cs="Times New Roman"/>
                    <w:sz w:val="24"/>
                    <w:szCs w:val="24"/>
                  </w:rPr>
                </w:pPr>
                <w:r w:rsidRPr="008B2EEE">
                  <w:rPr>
                    <w:rFonts w:ascii="Times New Roman" w:hAnsi="Times New Roman" w:cs="Times New Roman"/>
                    <w:sz w:val="24"/>
                    <w:szCs w:val="24"/>
                  </w:rPr>
                  <w:t xml:space="preserve">Methods (reference to the </w:t>
                </w:r>
                <w:r w:rsidR="00F62791">
                  <w:rPr>
                    <w:rFonts w:ascii="Times New Roman" w:hAnsi="Times New Roman" w:cs="Times New Roman"/>
                    <w:sz w:val="24"/>
                    <w:szCs w:val="24"/>
                  </w:rPr>
                  <w:t>appendix</w:t>
                </w:r>
                <w:r w:rsidRPr="008B2EEE">
                  <w:rPr>
                    <w:rFonts w:ascii="Times New Roman" w:hAnsi="Times New Roman" w:cs="Times New Roman"/>
                    <w:sz w:val="24"/>
                    <w:szCs w:val="24"/>
                  </w:rPr>
                  <w:t xml:space="preserve"> of the main paper)</w:t>
                </w:r>
              </w:p>
            </w:tc>
          </w:sdtContent>
        </w:sdt>
      </w:tr>
      <w:tr w:rsidR="008B2EEE" w:rsidRPr="008B2EEE" w14:paraId="2014E56E" w14:textId="77777777" w:rsidTr="008B2EEE">
        <w:tc>
          <w:tcPr>
            <w:tcW w:w="1555" w:type="dxa"/>
            <w:vAlign w:val="center"/>
          </w:tcPr>
          <w:p w14:paraId="3D5DE9F7" w14:textId="24F70CA9" w:rsidR="008B2EEE" w:rsidRPr="008B2EEE" w:rsidRDefault="008B2EEE" w:rsidP="008B2EEE">
            <w:pPr>
              <w:ind w:left="180"/>
              <w:rPr>
                <w:rFonts w:ascii="Times New Roman" w:hAnsi="Times New Roman" w:cs="Times New Roman"/>
                <w:sz w:val="24"/>
                <w:szCs w:val="24"/>
              </w:rPr>
            </w:pPr>
            <w:r w:rsidRPr="008B2EEE">
              <w:rPr>
                <w:rFonts w:ascii="Times New Roman" w:hAnsi="Times New Roman" w:cs="Times New Roman"/>
                <w:sz w:val="24"/>
                <w:szCs w:val="24"/>
              </w:rPr>
              <w:t>Selection of sources of evidence</w:t>
            </w:r>
          </w:p>
        </w:tc>
        <w:tc>
          <w:tcPr>
            <w:tcW w:w="857" w:type="dxa"/>
            <w:gridSpan w:val="2"/>
            <w:vAlign w:val="center"/>
          </w:tcPr>
          <w:p w14:paraId="56E5875D"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9</w:t>
            </w:r>
          </w:p>
        </w:tc>
        <w:tc>
          <w:tcPr>
            <w:tcW w:w="4520" w:type="dxa"/>
            <w:vAlign w:val="center"/>
          </w:tcPr>
          <w:p w14:paraId="3E86E46F"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State the process for selecting sources of evidence (i.e., screening and eligibility) included in the scoping review.</w:t>
            </w:r>
          </w:p>
        </w:tc>
        <w:sdt>
          <w:sdtPr>
            <w:rPr>
              <w:rFonts w:ascii="Times New Roman" w:hAnsi="Times New Roman" w:cs="Times New Roman"/>
              <w:sz w:val="24"/>
              <w:szCs w:val="24"/>
            </w:rPr>
            <w:id w:val="-2090377787"/>
            <w:placeholder>
              <w:docPart w:val="7CB257F3EEEC476EBCF1B88D4FA31981"/>
            </w:placeholder>
          </w:sdtPr>
          <w:sdtEndPr/>
          <w:sdtContent>
            <w:tc>
              <w:tcPr>
                <w:tcW w:w="0" w:type="auto"/>
                <w:gridSpan w:val="2"/>
                <w:vAlign w:val="center"/>
              </w:tcPr>
              <w:p w14:paraId="57F65482"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Introduction and methods</w:t>
                </w:r>
              </w:p>
            </w:tc>
          </w:sdtContent>
        </w:sdt>
      </w:tr>
      <w:tr w:rsidR="008B2EEE" w:rsidRPr="008B2EEE" w14:paraId="6488854E" w14:textId="77777777" w:rsidTr="008B2EEE">
        <w:tc>
          <w:tcPr>
            <w:tcW w:w="1555" w:type="dxa"/>
            <w:vAlign w:val="center"/>
          </w:tcPr>
          <w:p w14:paraId="5CB27D82" w14:textId="7C640A96" w:rsidR="008B2EEE" w:rsidRPr="008B2EEE" w:rsidRDefault="008B2EEE" w:rsidP="008B2EEE">
            <w:pPr>
              <w:ind w:left="180"/>
              <w:rPr>
                <w:rFonts w:ascii="Times New Roman" w:hAnsi="Times New Roman" w:cs="Times New Roman"/>
                <w:sz w:val="24"/>
                <w:szCs w:val="24"/>
              </w:rPr>
            </w:pPr>
            <w:r w:rsidRPr="008B2EEE">
              <w:rPr>
                <w:rFonts w:ascii="Times New Roman" w:hAnsi="Times New Roman" w:cs="Times New Roman"/>
                <w:sz w:val="24"/>
                <w:szCs w:val="24"/>
              </w:rPr>
              <w:t>Data charting process</w:t>
            </w:r>
          </w:p>
        </w:tc>
        <w:tc>
          <w:tcPr>
            <w:tcW w:w="857" w:type="dxa"/>
            <w:gridSpan w:val="2"/>
            <w:vAlign w:val="center"/>
          </w:tcPr>
          <w:p w14:paraId="4685C82E"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10</w:t>
            </w:r>
          </w:p>
        </w:tc>
        <w:tc>
          <w:tcPr>
            <w:tcW w:w="4520" w:type="dxa"/>
            <w:vAlign w:val="center"/>
          </w:tcPr>
          <w:p w14:paraId="155D7264"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4"/>
              <w:szCs w:val="24"/>
            </w:rPr>
            <w:id w:val="1943252725"/>
            <w:placeholder>
              <w:docPart w:val="7CB257F3EEEC476EBCF1B88D4FA31981"/>
            </w:placeholder>
          </w:sdtPr>
          <w:sdtEndPr/>
          <w:sdtContent>
            <w:tc>
              <w:tcPr>
                <w:tcW w:w="0" w:type="auto"/>
                <w:gridSpan w:val="2"/>
                <w:vAlign w:val="center"/>
              </w:tcPr>
              <w:p w14:paraId="3CFA2C76"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Methods</w:t>
                </w:r>
              </w:p>
            </w:tc>
          </w:sdtContent>
        </w:sdt>
      </w:tr>
      <w:tr w:rsidR="008B2EEE" w:rsidRPr="008B2EEE" w14:paraId="1C6BD3E6" w14:textId="77777777" w:rsidTr="008B2EEE">
        <w:trPr>
          <w:trHeight w:val="260"/>
        </w:trPr>
        <w:tc>
          <w:tcPr>
            <w:tcW w:w="1555" w:type="dxa"/>
            <w:vAlign w:val="center"/>
          </w:tcPr>
          <w:p w14:paraId="646EE464"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Data items</w:t>
            </w:r>
          </w:p>
        </w:tc>
        <w:tc>
          <w:tcPr>
            <w:tcW w:w="857" w:type="dxa"/>
            <w:gridSpan w:val="2"/>
            <w:vAlign w:val="center"/>
          </w:tcPr>
          <w:p w14:paraId="0D3CAF1E"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11</w:t>
            </w:r>
          </w:p>
        </w:tc>
        <w:tc>
          <w:tcPr>
            <w:tcW w:w="4520" w:type="dxa"/>
            <w:vAlign w:val="center"/>
          </w:tcPr>
          <w:p w14:paraId="6C16BCC1"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List and define all variables for which data were sought and any assumptions and simplifications made.</w:t>
            </w:r>
          </w:p>
        </w:tc>
        <w:tc>
          <w:tcPr>
            <w:tcW w:w="0" w:type="auto"/>
            <w:gridSpan w:val="2"/>
            <w:vAlign w:val="center"/>
          </w:tcPr>
          <w:p w14:paraId="3F54346B"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Full list of questions in supplemental materials</w:t>
            </w:r>
          </w:p>
        </w:tc>
      </w:tr>
      <w:tr w:rsidR="008B2EEE" w:rsidRPr="008B2EEE" w14:paraId="4D58FCEC" w14:textId="77777777" w:rsidTr="008B2EEE">
        <w:tc>
          <w:tcPr>
            <w:tcW w:w="1555" w:type="dxa"/>
            <w:vAlign w:val="center"/>
          </w:tcPr>
          <w:p w14:paraId="6FACEF06" w14:textId="34AD8616" w:rsidR="008B2EEE" w:rsidRPr="008B2EEE" w:rsidRDefault="008B2EEE" w:rsidP="008B2EEE">
            <w:pPr>
              <w:ind w:left="180"/>
              <w:rPr>
                <w:rFonts w:ascii="Times New Roman" w:hAnsi="Times New Roman" w:cs="Times New Roman"/>
                <w:sz w:val="24"/>
                <w:szCs w:val="24"/>
              </w:rPr>
            </w:pPr>
            <w:r w:rsidRPr="008B2EEE">
              <w:rPr>
                <w:rFonts w:ascii="Times New Roman" w:hAnsi="Times New Roman" w:cs="Times New Roman"/>
                <w:sz w:val="24"/>
                <w:szCs w:val="24"/>
              </w:rPr>
              <w:t>Critical appraisal of individual sources of evidence</w:t>
            </w:r>
          </w:p>
        </w:tc>
        <w:tc>
          <w:tcPr>
            <w:tcW w:w="857" w:type="dxa"/>
            <w:gridSpan w:val="2"/>
            <w:vAlign w:val="center"/>
          </w:tcPr>
          <w:p w14:paraId="585ABC87"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12</w:t>
            </w:r>
          </w:p>
        </w:tc>
        <w:tc>
          <w:tcPr>
            <w:tcW w:w="4520" w:type="dxa"/>
            <w:vAlign w:val="center"/>
          </w:tcPr>
          <w:p w14:paraId="2BFF70EB"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4"/>
              <w:szCs w:val="24"/>
            </w:rPr>
            <w:id w:val="-336618198"/>
            <w:placeholder>
              <w:docPart w:val="7CB257F3EEEC476EBCF1B88D4FA31981"/>
            </w:placeholder>
          </w:sdtPr>
          <w:sdtEndPr/>
          <w:sdtContent>
            <w:tc>
              <w:tcPr>
                <w:tcW w:w="0" w:type="auto"/>
                <w:gridSpan w:val="2"/>
                <w:vAlign w:val="center"/>
              </w:tcPr>
              <w:p w14:paraId="019BB41A"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Criteria for classifying degree of reporting as well-reported vs poorly reported are described in the methods section.</w:t>
                </w:r>
              </w:p>
            </w:tc>
          </w:sdtContent>
        </w:sdt>
      </w:tr>
      <w:tr w:rsidR="008B2EEE" w:rsidRPr="008B2EEE" w14:paraId="1F7F5A84" w14:textId="77777777" w:rsidTr="008B2EEE">
        <w:tc>
          <w:tcPr>
            <w:tcW w:w="1555" w:type="dxa"/>
            <w:vAlign w:val="center"/>
          </w:tcPr>
          <w:p w14:paraId="69EBBB68"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Synthesis of results</w:t>
            </w:r>
          </w:p>
        </w:tc>
        <w:tc>
          <w:tcPr>
            <w:tcW w:w="857" w:type="dxa"/>
            <w:gridSpan w:val="2"/>
            <w:vAlign w:val="center"/>
          </w:tcPr>
          <w:p w14:paraId="138169A3"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13</w:t>
            </w:r>
          </w:p>
        </w:tc>
        <w:tc>
          <w:tcPr>
            <w:tcW w:w="4520" w:type="dxa"/>
            <w:vAlign w:val="center"/>
          </w:tcPr>
          <w:p w14:paraId="66BE586C"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Describe the methods of handling and summarizing the data that were charted.</w:t>
            </w:r>
          </w:p>
        </w:tc>
        <w:sdt>
          <w:sdtPr>
            <w:rPr>
              <w:rFonts w:ascii="Times New Roman" w:hAnsi="Times New Roman" w:cs="Times New Roman"/>
              <w:sz w:val="24"/>
              <w:szCs w:val="24"/>
            </w:rPr>
            <w:id w:val="1751841620"/>
            <w:placeholder>
              <w:docPart w:val="7CB257F3EEEC476EBCF1B88D4FA31981"/>
            </w:placeholder>
          </w:sdtPr>
          <w:sdtEndPr/>
          <w:sdtContent>
            <w:tc>
              <w:tcPr>
                <w:tcW w:w="0" w:type="auto"/>
                <w:gridSpan w:val="2"/>
                <w:vAlign w:val="center"/>
              </w:tcPr>
              <w:p w14:paraId="2F5308A4"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Methods section</w:t>
                </w:r>
              </w:p>
            </w:tc>
          </w:sdtContent>
        </w:sdt>
      </w:tr>
      <w:tr w:rsidR="008B2EEE" w:rsidRPr="008B2EEE" w14:paraId="2F67BD74" w14:textId="77777777" w:rsidTr="008B2EEE">
        <w:tc>
          <w:tcPr>
            <w:tcW w:w="9209" w:type="dxa"/>
            <w:gridSpan w:val="6"/>
            <w:shd w:val="clear" w:color="auto" w:fill="DEEAF6" w:themeFill="accent1" w:themeFillTint="33"/>
            <w:vAlign w:val="center"/>
          </w:tcPr>
          <w:p w14:paraId="73C032BF" w14:textId="4BA07431" w:rsidR="008B2EEE" w:rsidRPr="008B2EEE" w:rsidRDefault="008B2EEE" w:rsidP="00A25788">
            <w:pPr>
              <w:rPr>
                <w:rFonts w:ascii="Times New Roman" w:hAnsi="Times New Roman" w:cs="Times New Roman"/>
                <w:b/>
                <w:sz w:val="24"/>
                <w:szCs w:val="24"/>
              </w:rPr>
            </w:pPr>
            <w:r w:rsidRPr="008B2EEE">
              <w:rPr>
                <w:rFonts w:ascii="Times New Roman" w:hAnsi="Times New Roman" w:cs="Times New Roman"/>
                <w:b/>
                <w:sz w:val="24"/>
                <w:szCs w:val="24"/>
              </w:rPr>
              <w:t>RESULTS</w:t>
            </w:r>
          </w:p>
        </w:tc>
      </w:tr>
      <w:tr w:rsidR="008B2EEE" w:rsidRPr="008B2EEE" w14:paraId="0A08FA7A" w14:textId="77777777" w:rsidTr="008B2EEE">
        <w:tc>
          <w:tcPr>
            <w:tcW w:w="1555" w:type="dxa"/>
            <w:vAlign w:val="center"/>
          </w:tcPr>
          <w:p w14:paraId="39DBCC8E"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Selection of sources of evidence</w:t>
            </w:r>
          </w:p>
        </w:tc>
        <w:tc>
          <w:tcPr>
            <w:tcW w:w="850" w:type="dxa"/>
            <w:vAlign w:val="center"/>
          </w:tcPr>
          <w:p w14:paraId="40432D04"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14</w:t>
            </w:r>
          </w:p>
        </w:tc>
        <w:tc>
          <w:tcPr>
            <w:tcW w:w="4536" w:type="dxa"/>
            <w:gridSpan w:val="3"/>
            <w:vAlign w:val="center"/>
          </w:tcPr>
          <w:p w14:paraId="6C22CC97"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4"/>
              <w:szCs w:val="24"/>
            </w:rPr>
            <w:id w:val="-83771692"/>
            <w:placeholder>
              <w:docPart w:val="7CB257F3EEEC476EBCF1B88D4FA31981"/>
            </w:placeholder>
          </w:sdtPr>
          <w:sdtEndPr/>
          <w:sdtContent>
            <w:tc>
              <w:tcPr>
                <w:tcW w:w="2268" w:type="dxa"/>
                <w:vAlign w:val="center"/>
              </w:tcPr>
              <w:p w14:paraId="0E0FAA67"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PRISMA Flow diagram in Figure 1</w:t>
                </w:r>
              </w:p>
            </w:tc>
          </w:sdtContent>
        </w:sdt>
      </w:tr>
      <w:tr w:rsidR="008B2EEE" w:rsidRPr="008B2EEE" w14:paraId="5B614E10" w14:textId="77777777" w:rsidTr="008B2EEE">
        <w:tc>
          <w:tcPr>
            <w:tcW w:w="1555" w:type="dxa"/>
            <w:vAlign w:val="center"/>
          </w:tcPr>
          <w:p w14:paraId="157DD19F"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Characteristics of sources of evidence</w:t>
            </w:r>
          </w:p>
        </w:tc>
        <w:tc>
          <w:tcPr>
            <w:tcW w:w="850" w:type="dxa"/>
            <w:vAlign w:val="center"/>
          </w:tcPr>
          <w:p w14:paraId="16DF7630"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15</w:t>
            </w:r>
          </w:p>
        </w:tc>
        <w:tc>
          <w:tcPr>
            <w:tcW w:w="4536" w:type="dxa"/>
            <w:gridSpan w:val="3"/>
            <w:vAlign w:val="center"/>
          </w:tcPr>
          <w:p w14:paraId="15C5D679"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For each source of evidence, present characteristics for which data were charted and provide the citations.</w:t>
            </w:r>
          </w:p>
        </w:tc>
        <w:sdt>
          <w:sdtPr>
            <w:rPr>
              <w:rFonts w:ascii="Times New Roman" w:hAnsi="Times New Roman" w:cs="Times New Roman"/>
              <w:sz w:val="24"/>
              <w:szCs w:val="24"/>
            </w:rPr>
            <w:id w:val="-137040765"/>
            <w:placeholder>
              <w:docPart w:val="7CB257F3EEEC476EBCF1B88D4FA31981"/>
            </w:placeholder>
          </w:sdtPr>
          <w:sdtEndPr/>
          <w:sdtContent>
            <w:tc>
              <w:tcPr>
                <w:tcW w:w="2268" w:type="dxa"/>
                <w:vAlign w:val="center"/>
              </w:tcPr>
              <w:p w14:paraId="61C19AED"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Results are reported in aggregate with individual citations as appropriate</w:t>
                </w:r>
              </w:p>
            </w:tc>
          </w:sdtContent>
        </w:sdt>
      </w:tr>
      <w:tr w:rsidR="008B2EEE" w:rsidRPr="008B2EEE" w14:paraId="204D8D7B" w14:textId="77777777" w:rsidTr="008B2EEE">
        <w:tc>
          <w:tcPr>
            <w:tcW w:w="1555" w:type="dxa"/>
            <w:vAlign w:val="center"/>
          </w:tcPr>
          <w:p w14:paraId="3EFC9F18"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Critical appraisal within sources of evidence</w:t>
            </w:r>
          </w:p>
        </w:tc>
        <w:tc>
          <w:tcPr>
            <w:tcW w:w="850" w:type="dxa"/>
            <w:vAlign w:val="center"/>
          </w:tcPr>
          <w:p w14:paraId="7C70290B"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16</w:t>
            </w:r>
          </w:p>
        </w:tc>
        <w:tc>
          <w:tcPr>
            <w:tcW w:w="4536" w:type="dxa"/>
            <w:gridSpan w:val="3"/>
            <w:vAlign w:val="center"/>
          </w:tcPr>
          <w:p w14:paraId="75E37637"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If done, present data on critical appraisal of included sources of evidence (see item 12).</w:t>
            </w:r>
          </w:p>
        </w:tc>
        <w:sdt>
          <w:sdtPr>
            <w:rPr>
              <w:rFonts w:ascii="Times New Roman" w:hAnsi="Times New Roman" w:cs="Times New Roman"/>
              <w:sz w:val="24"/>
              <w:szCs w:val="24"/>
            </w:rPr>
            <w:id w:val="945268124"/>
            <w:placeholder>
              <w:docPart w:val="7CB257F3EEEC476EBCF1B88D4FA31981"/>
            </w:placeholder>
          </w:sdtPr>
          <w:sdtEndPr/>
          <w:sdtContent>
            <w:tc>
              <w:tcPr>
                <w:tcW w:w="2268" w:type="dxa"/>
                <w:vAlign w:val="center"/>
              </w:tcPr>
              <w:p w14:paraId="323B197D"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Described in methods section: Binary yes/no status for each element that was considered.</w:t>
                </w:r>
              </w:p>
            </w:tc>
          </w:sdtContent>
        </w:sdt>
      </w:tr>
      <w:tr w:rsidR="008B2EEE" w:rsidRPr="008B2EEE" w14:paraId="2C65362F" w14:textId="77777777" w:rsidTr="008B2EEE">
        <w:tc>
          <w:tcPr>
            <w:tcW w:w="1555" w:type="dxa"/>
            <w:vAlign w:val="center"/>
          </w:tcPr>
          <w:p w14:paraId="5A395C95"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Results of individual sources of evidence</w:t>
            </w:r>
          </w:p>
        </w:tc>
        <w:tc>
          <w:tcPr>
            <w:tcW w:w="850" w:type="dxa"/>
            <w:vAlign w:val="center"/>
          </w:tcPr>
          <w:p w14:paraId="65A1A31B"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17</w:t>
            </w:r>
          </w:p>
        </w:tc>
        <w:tc>
          <w:tcPr>
            <w:tcW w:w="4536" w:type="dxa"/>
            <w:gridSpan w:val="3"/>
            <w:vAlign w:val="center"/>
          </w:tcPr>
          <w:p w14:paraId="04FB40FE"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For each included source of evidence, present the relevant data that were charted that relate to the review questions and objectives.</w:t>
            </w:r>
          </w:p>
        </w:tc>
        <w:sdt>
          <w:sdtPr>
            <w:rPr>
              <w:rFonts w:ascii="Times New Roman" w:hAnsi="Times New Roman" w:cs="Times New Roman"/>
              <w:sz w:val="24"/>
              <w:szCs w:val="24"/>
            </w:rPr>
            <w:id w:val="-1628242984"/>
            <w:placeholder>
              <w:docPart w:val="7CB257F3EEEC476EBCF1B88D4FA31981"/>
            </w:placeholder>
          </w:sdtPr>
          <w:sdtEndPr/>
          <w:sdtContent>
            <w:tc>
              <w:tcPr>
                <w:tcW w:w="2268" w:type="dxa"/>
                <w:vAlign w:val="center"/>
              </w:tcPr>
              <w:p w14:paraId="35F8FF41"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Results are reported in aggregate with individual citations where appropriate.</w:t>
                </w:r>
              </w:p>
            </w:tc>
          </w:sdtContent>
        </w:sdt>
      </w:tr>
      <w:tr w:rsidR="008B2EEE" w:rsidRPr="008B2EEE" w14:paraId="5E135CBA" w14:textId="77777777" w:rsidTr="008B2EEE">
        <w:tc>
          <w:tcPr>
            <w:tcW w:w="1555" w:type="dxa"/>
            <w:vAlign w:val="center"/>
          </w:tcPr>
          <w:p w14:paraId="41DC6D2F"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Synthesis of results</w:t>
            </w:r>
          </w:p>
        </w:tc>
        <w:tc>
          <w:tcPr>
            <w:tcW w:w="850" w:type="dxa"/>
            <w:vAlign w:val="center"/>
          </w:tcPr>
          <w:p w14:paraId="4055822F"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18</w:t>
            </w:r>
          </w:p>
        </w:tc>
        <w:tc>
          <w:tcPr>
            <w:tcW w:w="4536" w:type="dxa"/>
            <w:gridSpan w:val="3"/>
            <w:vAlign w:val="center"/>
          </w:tcPr>
          <w:p w14:paraId="2B70244F"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Summarize and/or present the charting results as they relate to the review questions and objectives.</w:t>
            </w:r>
          </w:p>
        </w:tc>
        <w:sdt>
          <w:sdtPr>
            <w:rPr>
              <w:rFonts w:ascii="Times New Roman" w:hAnsi="Times New Roman" w:cs="Times New Roman"/>
              <w:sz w:val="24"/>
              <w:szCs w:val="24"/>
            </w:rPr>
            <w:id w:val="547573417"/>
            <w:placeholder>
              <w:docPart w:val="7CB257F3EEEC476EBCF1B88D4FA31981"/>
            </w:placeholder>
          </w:sdtPr>
          <w:sdtEndPr/>
          <w:sdtContent>
            <w:tc>
              <w:tcPr>
                <w:tcW w:w="2268" w:type="dxa"/>
                <w:vAlign w:val="center"/>
              </w:tcPr>
              <w:p w14:paraId="082DBF5F"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Results section, tables and figures.</w:t>
                </w:r>
              </w:p>
            </w:tc>
          </w:sdtContent>
        </w:sdt>
      </w:tr>
      <w:tr w:rsidR="008B2EEE" w:rsidRPr="008B2EEE" w14:paraId="52CA444E" w14:textId="77777777" w:rsidTr="008B2EEE">
        <w:tc>
          <w:tcPr>
            <w:tcW w:w="9209" w:type="dxa"/>
            <w:gridSpan w:val="6"/>
            <w:shd w:val="clear" w:color="auto" w:fill="DEEAF6" w:themeFill="accent1" w:themeFillTint="33"/>
            <w:vAlign w:val="center"/>
          </w:tcPr>
          <w:p w14:paraId="27D934C5" w14:textId="77777777" w:rsidR="008B2EEE" w:rsidRPr="008B2EEE" w:rsidRDefault="008B2EEE" w:rsidP="00A25788">
            <w:pPr>
              <w:rPr>
                <w:rFonts w:ascii="Times New Roman" w:hAnsi="Times New Roman" w:cs="Times New Roman"/>
                <w:b/>
                <w:sz w:val="24"/>
                <w:szCs w:val="24"/>
              </w:rPr>
            </w:pPr>
            <w:r w:rsidRPr="008B2EEE">
              <w:rPr>
                <w:rFonts w:ascii="Times New Roman" w:hAnsi="Times New Roman" w:cs="Times New Roman"/>
                <w:b/>
                <w:sz w:val="24"/>
                <w:szCs w:val="24"/>
              </w:rPr>
              <w:t>DISCUSSION</w:t>
            </w:r>
          </w:p>
        </w:tc>
      </w:tr>
      <w:tr w:rsidR="008B2EEE" w:rsidRPr="008B2EEE" w14:paraId="2997DF2A" w14:textId="77777777" w:rsidTr="008B2EEE">
        <w:tc>
          <w:tcPr>
            <w:tcW w:w="1555" w:type="dxa"/>
            <w:vAlign w:val="center"/>
          </w:tcPr>
          <w:p w14:paraId="34AB3CE7"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Summary of evidence</w:t>
            </w:r>
          </w:p>
        </w:tc>
        <w:tc>
          <w:tcPr>
            <w:tcW w:w="850" w:type="dxa"/>
            <w:vAlign w:val="center"/>
          </w:tcPr>
          <w:p w14:paraId="284C3838"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19</w:t>
            </w:r>
          </w:p>
        </w:tc>
        <w:tc>
          <w:tcPr>
            <w:tcW w:w="4536" w:type="dxa"/>
            <w:gridSpan w:val="3"/>
            <w:vAlign w:val="center"/>
          </w:tcPr>
          <w:p w14:paraId="0F158F11"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4"/>
              <w:szCs w:val="24"/>
            </w:rPr>
            <w:id w:val="1890606668"/>
            <w:placeholder>
              <w:docPart w:val="7CB257F3EEEC476EBCF1B88D4FA31981"/>
            </w:placeholder>
          </w:sdtPr>
          <w:sdtEndPr/>
          <w:sdtContent>
            <w:tc>
              <w:tcPr>
                <w:tcW w:w="2268" w:type="dxa"/>
                <w:vAlign w:val="center"/>
              </w:tcPr>
              <w:p w14:paraId="491E4708"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Discussion section</w:t>
                </w:r>
              </w:p>
            </w:tc>
          </w:sdtContent>
        </w:sdt>
      </w:tr>
      <w:tr w:rsidR="008B2EEE" w:rsidRPr="008B2EEE" w14:paraId="03BFB471" w14:textId="77777777" w:rsidTr="008B2EEE">
        <w:tc>
          <w:tcPr>
            <w:tcW w:w="1555" w:type="dxa"/>
            <w:vAlign w:val="center"/>
          </w:tcPr>
          <w:p w14:paraId="42591F41"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Limitations</w:t>
            </w:r>
          </w:p>
        </w:tc>
        <w:tc>
          <w:tcPr>
            <w:tcW w:w="850" w:type="dxa"/>
            <w:vAlign w:val="center"/>
          </w:tcPr>
          <w:p w14:paraId="7010E803"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20</w:t>
            </w:r>
          </w:p>
        </w:tc>
        <w:tc>
          <w:tcPr>
            <w:tcW w:w="4536" w:type="dxa"/>
            <w:gridSpan w:val="3"/>
            <w:vAlign w:val="center"/>
          </w:tcPr>
          <w:p w14:paraId="53A1AE67" w14:textId="77777777" w:rsidR="008B2EEE" w:rsidRPr="008B2EEE" w:rsidRDefault="008B2EEE" w:rsidP="00A25788">
            <w:pPr>
              <w:rPr>
                <w:rFonts w:ascii="Times New Roman" w:hAnsi="Times New Roman" w:cs="Times New Roman"/>
                <w:b/>
                <w:i/>
                <w:sz w:val="24"/>
                <w:szCs w:val="24"/>
              </w:rPr>
            </w:pPr>
            <w:r w:rsidRPr="008B2EEE">
              <w:rPr>
                <w:rFonts w:ascii="Times New Roman" w:hAnsi="Times New Roman" w:cs="Times New Roman"/>
                <w:sz w:val="24"/>
                <w:szCs w:val="24"/>
              </w:rPr>
              <w:t>Discuss the limitations of the scoping review process.</w:t>
            </w:r>
          </w:p>
        </w:tc>
        <w:sdt>
          <w:sdtPr>
            <w:rPr>
              <w:rFonts w:ascii="Times New Roman" w:hAnsi="Times New Roman" w:cs="Times New Roman"/>
              <w:sz w:val="24"/>
              <w:szCs w:val="24"/>
            </w:rPr>
            <w:id w:val="-1476291050"/>
            <w:placeholder>
              <w:docPart w:val="7CB257F3EEEC476EBCF1B88D4FA31981"/>
            </w:placeholder>
          </w:sdtPr>
          <w:sdtEndPr/>
          <w:sdtContent>
            <w:tc>
              <w:tcPr>
                <w:tcW w:w="2268" w:type="dxa"/>
                <w:vAlign w:val="center"/>
              </w:tcPr>
              <w:p w14:paraId="7CAC943C"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Limitations section</w:t>
                </w:r>
              </w:p>
            </w:tc>
          </w:sdtContent>
        </w:sdt>
      </w:tr>
      <w:tr w:rsidR="008B2EEE" w:rsidRPr="008B2EEE" w14:paraId="3DDBC375" w14:textId="77777777" w:rsidTr="008B2EEE">
        <w:tc>
          <w:tcPr>
            <w:tcW w:w="1555" w:type="dxa"/>
            <w:vAlign w:val="center"/>
          </w:tcPr>
          <w:p w14:paraId="6C7A033A"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Conclusions</w:t>
            </w:r>
          </w:p>
        </w:tc>
        <w:tc>
          <w:tcPr>
            <w:tcW w:w="850" w:type="dxa"/>
            <w:vAlign w:val="center"/>
          </w:tcPr>
          <w:p w14:paraId="1FDAC068"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21</w:t>
            </w:r>
          </w:p>
        </w:tc>
        <w:tc>
          <w:tcPr>
            <w:tcW w:w="4536" w:type="dxa"/>
            <w:gridSpan w:val="3"/>
            <w:vAlign w:val="center"/>
          </w:tcPr>
          <w:p w14:paraId="261424D5"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Provide a general interpretation of the results with respect to the review questions and objectives, as well as potential implications and/or next steps.</w:t>
            </w:r>
          </w:p>
        </w:tc>
        <w:sdt>
          <w:sdtPr>
            <w:rPr>
              <w:rFonts w:ascii="Times New Roman" w:hAnsi="Times New Roman" w:cs="Times New Roman"/>
              <w:sz w:val="24"/>
              <w:szCs w:val="24"/>
            </w:rPr>
            <w:id w:val="-1052302124"/>
            <w:placeholder>
              <w:docPart w:val="7CB257F3EEEC476EBCF1B88D4FA31981"/>
            </w:placeholder>
          </w:sdtPr>
          <w:sdtEndPr/>
          <w:sdtContent>
            <w:tc>
              <w:tcPr>
                <w:tcW w:w="2268" w:type="dxa"/>
                <w:vAlign w:val="center"/>
              </w:tcPr>
              <w:p w14:paraId="6DD5CB0E"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Conclusions section</w:t>
                </w:r>
              </w:p>
            </w:tc>
          </w:sdtContent>
        </w:sdt>
      </w:tr>
      <w:tr w:rsidR="008B2EEE" w:rsidRPr="008B2EEE" w14:paraId="46E1E33E" w14:textId="77777777" w:rsidTr="008B2EEE">
        <w:tc>
          <w:tcPr>
            <w:tcW w:w="9209" w:type="dxa"/>
            <w:gridSpan w:val="6"/>
            <w:shd w:val="clear" w:color="auto" w:fill="DEEAF6" w:themeFill="accent1" w:themeFillTint="33"/>
            <w:vAlign w:val="center"/>
          </w:tcPr>
          <w:p w14:paraId="32E64495" w14:textId="77777777" w:rsidR="008B2EEE" w:rsidRPr="008B2EEE" w:rsidRDefault="008B2EEE" w:rsidP="00A25788">
            <w:pPr>
              <w:rPr>
                <w:rFonts w:ascii="Times New Roman" w:hAnsi="Times New Roman" w:cs="Times New Roman"/>
                <w:b/>
                <w:sz w:val="24"/>
                <w:szCs w:val="24"/>
              </w:rPr>
            </w:pPr>
            <w:r w:rsidRPr="008B2EEE">
              <w:rPr>
                <w:rFonts w:ascii="Times New Roman" w:hAnsi="Times New Roman" w:cs="Times New Roman"/>
                <w:b/>
                <w:sz w:val="24"/>
                <w:szCs w:val="24"/>
              </w:rPr>
              <w:t>FUNDING</w:t>
            </w:r>
          </w:p>
        </w:tc>
      </w:tr>
      <w:tr w:rsidR="008B2EEE" w:rsidRPr="008B2EEE" w14:paraId="3BC6B902" w14:textId="77777777" w:rsidTr="008B2EEE">
        <w:tc>
          <w:tcPr>
            <w:tcW w:w="1555" w:type="dxa"/>
            <w:vAlign w:val="center"/>
          </w:tcPr>
          <w:p w14:paraId="62D79691" w14:textId="77777777" w:rsidR="008B2EEE" w:rsidRPr="008B2EEE" w:rsidRDefault="008B2EEE" w:rsidP="00A25788">
            <w:pPr>
              <w:ind w:left="180"/>
              <w:rPr>
                <w:rFonts w:ascii="Times New Roman" w:hAnsi="Times New Roman" w:cs="Times New Roman"/>
                <w:sz w:val="24"/>
                <w:szCs w:val="24"/>
              </w:rPr>
            </w:pPr>
            <w:r w:rsidRPr="008B2EEE">
              <w:rPr>
                <w:rFonts w:ascii="Times New Roman" w:hAnsi="Times New Roman" w:cs="Times New Roman"/>
                <w:sz w:val="24"/>
                <w:szCs w:val="24"/>
              </w:rPr>
              <w:t>Funding</w:t>
            </w:r>
          </w:p>
        </w:tc>
        <w:tc>
          <w:tcPr>
            <w:tcW w:w="850" w:type="dxa"/>
            <w:vAlign w:val="center"/>
          </w:tcPr>
          <w:p w14:paraId="03B818BD" w14:textId="77777777" w:rsidR="008B2EEE" w:rsidRPr="008B2EEE" w:rsidRDefault="008B2EEE" w:rsidP="00A25788">
            <w:pPr>
              <w:jc w:val="center"/>
              <w:rPr>
                <w:rFonts w:ascii="Times New Roman" w:hAnsi="Times New Roman" w:cs="Times New Roman"/>
                <w:sz w:val="24"/>
                <w:szCs w:val="24"/>
              </w:rPr>
            </w:pPr>
            <w:r w:rsidRPr="008B2EEE">
              <w:rPr>
                <w:rFonts w:ascii="Times New Roman" w:hAnsi="Times New Roman" w:cs="Times New Roman"/>
                <w:sz w:val="24"/>
                <w:szCs w:val="24"/>
              </w:rPr>
              <w:t>22</w:t>
            </w:r>
          </w:p>
        </w:tc>
        <w:tc>
          <w:tcPr>
            <w:tcW w:w="4536" w:type="dxa"/>
            <w:gridSpan w:val="3"/>
            <w:vAlign w:val="center"/>
          </w:tcPr>
          <w:p w14:paraId="4899B8E4"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4"/>
              <w:szCs w:val="24"/>
            </w:rPr>
            <w:id w:val="-1660921886"/>
            <w:placeholder>
              <w:docPart w:val="7CB257F3EEEC476EBCF1B88D4FA31981"/>
            </w:placeholder>
          </w:sdtPr>
          <w:sdtEndPr/>
          <w:sdtContent>
            <w:tc>
              <w:tcPr>
                <w:tcW w:w="2268" w:type="dxa"/>
                <w:vAlign w:val="center"/>
              </w:tcPr>
              <w:p w14:paraId="4C56DF70" w14:textId="77777777" w:rsidR="008B2EEE" w:rsidRPr="008B2EEE" w:rsidRDefault="008B2EEE" w:rsidP="00A25788">
                <w:pPr>
                  <w:rPr>
                    <w:rFonts w:ascii="Times New Roman" w:hAnsi="Times New Roman" w:cs="Times New Roman"/>
                    <w:sz w:val="24"/>
                    <w:szCs w:val="24"/>
                  </w:rPr>
                </w:pPr>
                <w:r w:rsidRPr="008B2EEE">
                  <w:rPr>
                    <w:rFonts w:ascii="Times New Roman" w:hAnsi="Times New Roman" w:cs="Times New Roman"/>
                    <w:sz w:val="24"/>
                    <w:szCs w:val="24"/>
                  </w:rPr>
                  <w:t>Funding acknowledgement</w:t>
                </w:r>
              </w:p>
            </w:tc>
          </w:sdtContent>
        </w:sdt>
      </w:tr>
    </w:tbl>
    <w:p w14:paraId="774F5661" w14:textId="752D52E2" w:rsidR="008B2EEE" w:rsidRPr="008B2EEE" w:rsidRDefault="008B2EEE" w:rsidP="008B2EEE">
      <w:pPr>
        <w:spacing w:after="0" w:line="240" w:lineRule="auto"/>
        <w:rPr>
          <w:rFonts w:ascii="Times New Roman" w:hAnsi="Times New Roman" w:cs="Times New Roman"/>
          <w:sz w:val="24"/>
          <w:szCs w:val="24"/>
        </w:rPr>
      </w:pPr>
      <w:r w:rsidRPr="008B2EEE">
        <w:rPr>
          <w:rFonts w:ascii="Times New Roman" w:hAnsi="Times New Roman" w:cs="Times New Roman"/>
          <w:i/>
          <w:sz w:val="24"/>
          <w:szCs w:val="24"/>
        </w:rPr>
        <w:t>From:</w:t>
      </w:r>
      <w:r w:rsidRPr="008B2EEE">
        <w:rPr>
          <w:rFonts w:ascii="Times New Roman" w:hAnsi="Times New Roman" w:cs="Times New Roman"/>
          <w:sz w:val="24"/>
          <w:szCs w:val="24"/>
        </w:rPr>
        <w:t xml:space="preserve"> Tricco AC, et al. PRISMA Extension for Scoping Reviews (PRISMAScR): Checklist and Explanation. Ann Intern Med. 2018;169:467–473. doi: 10.7326/M18-0850.</w:t>
      </w:r>
    </w:p>
    <w:p w14:paraId="22974949" w14:textId="77777777" w:rsidR="008B2EEE" w:rsidRDefault="008B2EEE">
      <w:pPr>
        <w:rPr>
          <w:rFonts w:ascii="Times New Roman" w:hAnsi="Times New Roman" w:cs="Times New Roman"/>
          <w:sz w:val="24"/>
          <w:szCs w:val="24"/>
        </w:rPr>
      </w:pPr>
      <w:r>
        <w:rPr>
          <w:rFonts w:ascii="Times New Roman" w:hAnsi="Times New Roman" w:cs="Times New Roman"/>
          <w:sz w:val="24"/>
          <w:szCs w:val="24"/>
        </w:rPr>
        <w:br w:type="page"/>
      </w:r>
    </w:p>
    <w:p w14:paraId="261515DA" w14:textId="77982383" w:rsidR="00247C4D" w:rsidRPr="00163DFD" w:rsidRDefault="00247C4D" w:rsidP="00163DFD">
      <w:pPr>
        <w:pStyle w:val="Heading1"/>
        <w:numPr>
          <w:ilvl w:val="0"/>
          <w:numId w:val="5"/>
        </w:numPr>
        <w:spacing w:after="240"/>
        <w:ind w:left="567" w:hanging="567"/>
        <w:rPr>
          <w:rFonts w:ascii="Times New Roman" w:hAnsi="Times New Roman" w:cs="Times New Roman"/>
          <w:b/>
          <w:color w:val="auto"/>
          <w:sz w:val="24"/>
          <w:szCs w:val="24"/>
        </w:rPr>
      </w:pPr>
      <w:bookmarkStart w:id="1" w:name="_Toc231831485"/>
      <w:r w:rsidRPr="00163DFD">
        <w:rPr>
          <w:rFonts w:ascii="Times New Roman" w:hAnsi="Times New Roman" w:cs="Times New Roman"/>
          <w:b/>
          <w:color w:val="auto"/>
          <w:sz w:val="24"/>
          <w:szCs w:val="24"/>
        </w:rPr>
        <w:t>Questions enumerated during full-text article review</w:t>
      </w:r>
      <w:bookmarkEnd w:id="1"/>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617"/>
        <w:gridCol w:w="8318"/>
      </w:tblGrid>
      <w:tr w:rsidR="00690907" w:rsidRPr="00690907" w14:paraId="543AF3CF" w14:textId="77777777" w:rsidTr="00277CF0">
        <w:trPr>
          <w:trHeight w:val="312"/>
        </w:trPr>
        <w:tc>
          <w:tcPr>
            <w:tcW w:w="841" w:type="dxa"/>
            <w:vMerge w:val="restart"/>
            <w:shd w:val="clear" w:color="auto" w:fill="auto"/>
            <w:textDirection w:val="btLr"/>
            <w:vAlign w:val="center"/>
            <w:hideMark/>
          </w:tcPr>
          <w:p w14:paraId="517F758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Bibliometric Questions</w:t>
            </w:r>
          </w:p>
        </w:tc>
        <w:tc>
          <w:tcPr>
            <w:tcW w:w="617" w:type="dxa"/>
            <w:shd w:val="clear" w:color="auto" w:fill="auto"/>
            <w:noWrap/>
            <w:vAlign w:val="center"/>
            <w:hideMark/>
          </w:tcPr>
          <w:p w14:paraId="3CB7803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B1</w:t>
            </w:r>
          </w:p>
        </w:tc>
        <w:tc>
          <w:tcPr>
            <w:tcW w:w="8318" w:type="dxa"/>
            <w:shd w:val="clear" w:color="auto" w:fill="auto"/>
            <w:noWrap/>
            <w:vAlign w:val="center"/>
            <w:hideMark/>
          </w:tcPr>
          <w:p w14:paraId="41D2DBFF"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is the title of the study?</w:t>
            </w:r>
          </w:p>
        </w:tc>
      </w:tr>
      <w:tr w:rsidR="00690907" w:rsidRPr="00690907" w14:paraId="648F5CFC" w14:textId="77777777" w:rsidTr="00277CF0">
        <w:trPr>
          <w:trHeight w:val="312"/>
        </w:trPr>
        <w:tc>
          <w:tcPr>
            <w:tcW w:w="841" w:type="dxa"/>
            <w:vMerge/>
            <w:vAlign w:val="center"/>
            <w:hideMark/>
          </w:tcPr>
          <w:p w14:paraId="5DAB6C7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5C076B55"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B2</w:t>
            </w:r>
          </w:p>
        </w:tc>
        <w:tc>
          <w:tcPr>
            <w:tcW w:w="8318" w:type="dxa"/>
            <w:shd w:val="clear" w:color="auto" w:fill="auto"/>
            <w:noWrap/>
            <w:vAlign w:val="center"/>
            <w:hideMark/>
          </w:tcPr>
          <w:p w14:paraId="226843D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journal was the study published in?</w:t>
            </w:r>
          </w:p>
        </w:tc>
      </w:tr>
      <w:tr w:rsidR="00690907" w:rsidRPr="00690907" w14:paraId="7A159C4D" w14:textId="77777777" w:rsidTr="00277CF0">
        <w:trPr>
          <w:trHeight w:val="312"/>
        </w:trPr>
        <w:tc>
          <w:tcPr>
            <w:tcW w:w="841" w:type="dxa"/>
            <w:vMerge/>
            <w:vAlign w:val="center"/>
            <w:hideMark/>
          </w:tcPr>
          <w:p w14:paraId="02EB378F"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163D880"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B3</w:t>
            </w:r>
          </w:p>
        </w:tc>
        <w:tc>
          <w:tcPr>
            <w:tcW w:w="8318" w:type="dxa"/>
            <w:shd w:val="clear" w:color="auto" w:fill="auto"/>
            <w:noWrap/>
            <w:vAlign w:val="center"/>
            <w:hideMark/>
          </w:tcPr>
          <w:p w14:paraId="45946F5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was the year of publication?</w:t>
            </w:r>
          </w:p>
        </w:tc>
      </w:tr>
      <w:tr w:rsidR="00690907" w:rsidRPr="00690907" w14:paraId="7C89C797" w14:textId="77777777" w:rsidTr="00277CF0">
        <w:trPr>
          <w:trHeight w:val="312"/>
        </w:trPr>
        <w:tc>
          <w:tcPr>
            <w:tcW w:w="841" w:type="dxa"/>
            <w:vMerge/>
            <w:vAlign w:val="center"/>
            <w:hideMark/>
          </w:tcPr>
          <w:p w14:paraId="6A05A80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508E5E4"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B4</w:t>
            </w:r>
          </w:p>
        </w:tc>
        <w:tc>
          <w:tcPr>
            <w:tcW w:w="8318" w:type="dxa"/>
            <w:shd w:val="clear" w:color="auto" w:fill="auto"/>
            <w:noWrap/>
            <w:vAlign w:val="center"/>
            <w:hideMark/>
          </w:tcPr>
          <w:p w14:paraId="7F5CA5A6" w14:textId="49540043" w:rsidR="00690907" w:rsidRPr="00690907" w:rsidRDefault="00690907" w:rsidP="002E65D0">
            <w:pPr>
              <w:spacing w:after="0" w:line="240" w:lineRule="auto"/>
              <w:rPr>
                <w:rFonts w:ascii="Times New Roman" w:eastAsia="Times New Roman" w:hAnsi="Times New Roman" w:cs="Times New Roman"/>
                <w:color w:val="000000"/>
                <w:sz w:val="24"/>
                <w:szCs w:val="24"/>
                <w:lang w:val="en-CA" w:eastAsia="en-CA"/>
              </w:rPr>
            </w:pPr>
            <w:r w:rsidRPr="76185408">
              <w:rPr>
                <w:rFonts w:ascii="Times New Roman" w:eastAsia="Times New Roman" w:hAnsi="Times New Roman" w:cs="Times New Roman"/>
                <w:color w:val="000000" w:themeColor="text1"/>
                <w:sz w:val="24"/>
                <w:szCs w:val="24"/>
                <w:lang w:val="en-CA" w:eastAsia="en-CA"/>
              </w:rPr>
              <w:t xml:space="preserve">Who was the first </w:t>
            </w:r>
            <w:r w:rsidR="002E65D0">
              <w:rPr>
                <w:rFonts w:ascii="Times New Roman" w:eastAsia="Times New Roman" w:hAnsi="Times New Roman" w:cs="Times New Roman"/>
                <w:color w:val="000000" w:themeColor="text1"/>
                <w:sz w:val="24"/>
                <w:szCs w:val="24"/>
                <w:lang w:val="en-CA" w:eastAsia="en-CA"/>
              </w:rPr>
              <w:t>a</w:t>
            </w:r>
            <w:r w:rsidRPr="76185408">
              <w:rPr>
                <w:rFonts w:ascii="Times New Roman" w:eastAsia="Times New Roman" w:hAnsi="Times New Roman" w:cs="Times New Roman"/>
                <w:color w:val="000000" w:themeColor="text1"/>
                <w:sz w:val="24"/>
                <w:szCs w:val="24"/>
                <w:lang w:val="en-CA" w:eastAsia="en-CA"/>
              </w:rPr>
              <w:t>uthor of the study?</w:t>
            </w:r>
          </w:p>
        </w:tc>
      </w:tr>
      <w:tr w:rsidR="00690907" w:rsidRPr="00690907" w14:paraId="553537AD" w14:textId="77777777" w:rsidTr="00277CF0">
        <w:trPr>
          <w:trHeight w:val="312"/>
        </w:trPr>
        <w:tc>
          <w:tcPr>
            <w:tcW w:w="841" w:type="dxa"/>
            <w:vMerge/>
            <w:vAlign w:val="center"/>
            <w:hideMark/>
          </w:tcPr>
          <w:p w14:paraId="5A39BBE3"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6B2E56A0"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B5</w:t>
            </w:r>
          </w:p>
        </w:tc>
        <w:tc>
          <w:tcPr>
            <w:tcW w:w="8318" w:type="dxa"/>
            <w:shd w:val="clear" w:color="auto" w:fill="auto"/>
            <w:noWrap/>
            <w:vAlign w:val="center"/>
            <w:hideMark/>
          </w:tcPr>
          <w:p w14:paraId="19FBE5EE"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professional/academic credentials were listed for the corresponding author?</w:t>
            </w:r>
          </w:p>
        </w:tc>
      </w:tr>
      <w:tr w:rsidR="00690907" w:rsidRPr="00690907" w14:paraId="18EDD2DD" w14:textId="77777777" w:rsidTr="00277CF0">
        <w:trPr>
          <w:trHeight w:val="312"/>
        </w:trPr>
        <w:tc>
          <w:tcPr>
            <w:tcW w:w="841" w:type="dxa"/>
            <w:vMerge/>
            <w:vAlign w:val="center"/>
            <w:hideMark/>
          </w:tcPr>
          <w:p w14:paraId="41C8F39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1A1A5792"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B6</w:t>
            </w:r>
          </w:p>
        </w:tc>
        <w:tc>
          <w:tcPr>
            <w:tcW w:w="8318" w:type="dxa"/>
            <w:shd w:val="clear" w:color="auto" w:fill="auto"/>
            <w:noWrap/>
            <w:vAlign w:val="center"/>
            <w:hideMark/>
          </w:tcPr>
          <w:p w14:paraId="04BA896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country is listed in the corresponding author address?</w:t>
            </w:r>
          </w:p>
        </w:tc>
      </w:tr>
      <w:tr w:rsidR="00690907" w:rsidRPr="00690907" w14:paraId="680BE5A9" w14:textId="77777777" w:rsidTr="00277CF0">
        <w:trPr>
          <w:trHeight w:val="312"/>
        </w:trPr>
        <w:tc>
          <w:tcPr>
            <w:tcW w:w="841" w:type="dxa"/>
            <w:vMerge/>
            <w:vAlign w:val="center"/>
            <w:hideMark/>
          </w:tcPr>
          <w:p w14:paraId="72A3D3E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E3EBCA3"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B7</w:t>
            </w:r>
          </w:p>
        </w:tc>
        <w:tc>
          <w:tcPr>
            <w:tcW w:w="8318" w:type="dxa"/>
            <w:shd w:val="clear" w:color="auto" w:fill="auto"/>
            <w:noWrap/>
            <w:vAlign w:val="center"/>
            <w:hideMark/>
          </w:tcPr>
          <w:p w14:paraId="61EF2021"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Did this study involve new data collection in a prospective sample?</w:t>
            </w:r>
          </w:p>
        </w:tc>
      </w:tr>
      <w:tr w:rsidR="00690907" w:rsidRPr="00690907" w14:paraId="7C07DFE6" w14:textId="77777777" w:rsidTr="00277CF0">
        <w:trPr>
          <w:trHeight w:val="312"/>
        </w:trPr>
        <w:tc>
          <w:tcPr>
            <w:tcW w:w="841" w:type="dxa"/>
            <w:vMerge/>
            <w:vAlign w:val="center"/>
            <w:hideMark/>
          </w:tcPr>
          <w:p w14:paraId="0D0B940D"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315A01A5"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B8</w:t>
            </w:r>
          </w:p>
        </w:tc>
        <w:tc>
          <w:tcPr>
            <w:tcW w:w="8318" w:type="dxa"/>
            <w:shd w:val="clear" w:color="auto" w:fill="auto"/>
            <w:noWrap/>
            <w:vAlign w:val="center"/>
            <w:hideMark/>
          </w:tcPr>
          <w:p w14:paraId="43E9224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Did this study involve a retrospective sample?</w:t>
            </w:r>
          </w:p>
        </w:tc>
      </w:tr>
      <w:tr w:rsidR="00690907" w:rsidRPr="00690907" w14:paraId="0A413AD2" w14:textId="77777777" w:rsidTr="00277CF0">
        <w:trPr>
          <w:trHeight w:val="312"/>
        </w:trPr>
        <w:tc>
          <w:tcPr>
            <w:tcW w:w="841" w:type="dxa"/>
            <w:vMerge/>
            <w:vAlign w:val="center"/>
            <w:hideMark/>
          </w:tcPr>
          <w:p w14:paraId="0E27B00A"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BCC723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B9</w:t>
            </w:r>
          </w:p>
        </w:tc>
        <w:tc>
          <w:tcPr>
            <w:tcW w:w="8318" w:type="dxa"/>
            <w:shd w:val="clear" w:color="auto" w:fill="auto"/>
            <w:noWrap/>
            <w:vAlign w:val="center"/>
            <w:hideMark/>
          </w:tcPr>
          <w:p w14:paraId="77835A5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Did this study include secondary analysis of previously reported prospectively collected data?</w:t>
            </w:r>
          </w:p>
        </w:tc>
      </w:tr>
      <w:tr w:rsidR="00690907" w:rsidRPr="00690907" w14:paraId="19CF2BFE" w14:textId="77777777" w:rsidTr="00277CF0">
        <w:trPr>
          <w:trHeight w:val="312"/>
        </w:trPr>
        <w:tc>
          <w:tcPr>
            <w:tcW w:w="841" w:type="dxa"/>
            <w:vMerge/>
            <w:vAlign w:val="center"/>
            <w:hideMark/>
          </w:tcPr>
          <w:p w14:paraId="60061E4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10023CE1"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B10</w:t>
            </w:r>
          </w:p>
        </w:tc>
        <w:tc>
          <w:tcPr>
            <w:tcW w:w="8318" w:type="dxa"/>
            <w:shd w:val="clear" w:color="auto" w:fill="auto"/>
            <w:noWrap/>
            <w:vAlign w:val="center"/>
            <w:hideMark/>
          </w:tcPr>
          <w:p w14:paraId="114C813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 xml:space="preserve">What was the study design? (Randomized control trial; case series; case control study; cross-sectional study; crossover trial; cohort study) </w:t>
            </w:r>
          </w:p>
        </w:tc>
      </w:tr>
      <w:tr w:rsidR="00690907" w:rsidRPr="00690907" w14:paraId="07D68F58" w14:textId="77777777" w:rsidTr="00277CF0">
        <w:trPr>
          <w:trHeight w:val="312"/>
        </w:trPr>
        <w:tc>
          <w:tcPr>
            <w:tcW w:w="841" w:type="dxa"/>
            <w:vMerge w:val="restart"/>
            <w:shd w:val="clear" w:color="auto" w:fill="auto"/>
            <w:textDirection w:val="btLr"/>
            <w:vAlign w:val="center"/>
            <w:hideMark/>
          </w:tcPr>
          <w:p w14:paraId="66455F19"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Questions from the Frontiers Framework Critical Appraisal Tool</w:t>
            </w:r>
          </w:p>
        </w:tc>
        <w:tc>
          <w:tcPr>
            <w:tcW w:w="617" w:type="dxa"/>
            <w:shd w:val="clear" w:color="auto" w:fill="auto"/>
            <w:noWrap/>
            <w:vAlign w:val="center"/>
            <w:hideMark/>
          </w:tcPr>
          <w:p w14:paraId="65BF722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w:t>
            </w:r>
          </w:p>
        </w:tc>
        <w:tc>
          <w:tcPr>
            <w:tcW w:w="8318" w:type="dxa"/>
            <w:shd w:val="clear" w:color="auto" w:fill="auto"/>
            <w:noWrap/>
            <w:vAlign w:val="center"/>
            <w:hideMark/>
          </w:tcPr>
          <w:p w14:paraId="6D31EA90"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Was videofluoroscopy used in this study?</w:t>
            </w:r>
          </w:p>
        </w:tc>
      </w:tr>
      <w:tr w:rsidR="00690907" w:rsidRPr="00690907" w14:paraId="112189EB" w14:textId="77777777" w:rsidTr="00277CF0">
        <w:trPr>
          <w:trHeight w:val="312"/>
        </w:trPr>
        <w:tc>
          <w:tcPr>
            <w:tcW w:w="841" w:type="dxa"/>
            <w:vMerge/>
            <w:vAlign w:val="center"/>
            <w:hideMark/>
          </w:tcPr>
          <w:p w14:paraId="44EAFD9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4817D4AA"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w:t>
            </w:r>
          </w:p>
        </w:tc>
        <w:tc>
          <w:tcPr>
            <w:tcW w:w="8318" w:type="dxa"/>
            <w:shd w:val="clear" w:color="auto" w:fill="auto"/>
            <w:noWrap/>
            <w:vAlign w:val="center"/>
            <w:hideMark/>
          </w:tcPr>
          <w:p w14:paraId="17527D3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Were flexible endoscopic examinations of swallowing used in this study?</w:t>
            </w:r>
          </w:p>
        </w:tc>
      </w:tr>
      <w:tr w:rsidR="00690907" w:rsidRPr="00690907" w14:paraId="69A3DF44" w14:textId="77777777" w:rsidTr="00277CF0">
        <w:trPr>
          <w:trHeight w:val="312"/>
        </w:trPr>
        <w:tc>
          <w:tcPr>
            <w:tcW w:w="841" w:type="dxa"/>
            <w:vMerge/>
            <w:vAlign w:val="center"/>
            <w:hideMark/>
          </w:tcPr>
          <w:p w14:paraId="4B94D5A5"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F880723"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w:t>
            </w:r>
          </w:p>
        </w:tc>
        <w:tc>
          <w:tcPr>
            <w:tcW w:w="8318" w:type="dxa"/>
            <w:shd w:val="clear" w:color="auto" w:fill="auto"/>
            <w:noWrap/>
            <w:vAlign w:val="center"/>
            <w:hideMark/>
          </w:tcPr>
          <w:p w14:paraId="0B32351F"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other instrumental methods of collecting swallowing data were used in this study?</w:t>
            </w:r>
          </w:p>
        </w:tc>
      </w:tr>
      <w:tr w:rsidR="00690907" w:rsidRPr="00690907" w14:paraId="5230EE88" w14:textId="77777777" w:rsidTr="00277CF0">
        <w:trPr>
          <w:trHeight w:val="312"/>
        </w:trPr>
        <w:tc>
          <w:tcPr>
            <w:tcW w:w="841" w:type="dxa"/>
            <w:vMerge/>
            <w:vAlign w:val="center"/>
            <w:hideMark/>
          </w:tcPr>
          <w:p w14:paraId="3DEEC66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48CE37A4"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F4</w:t>
            </w:r>
          </w:p>
        </w:tc>
        <w:tc>
          <w:tcPr>
            <w:tcW w:w="8318" w:type="dxa"/>
            <w:shd w:val="clear" w:color="auto" w:fill="auto"/>
            <w:noWrap/>
            <w:vAlign w:val="center"/>
            <w:hideMark/>
          </w:tcPr>
          <w:p w14:paraId="1D48865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the study location(s) and environmental settings described?</w:t>
            </w:r>
          </w:p>
        </w:tc>
      </w:tr>
      <w:tr w:rsidR="00690907" w:rsidRPr="00690907" w14:paraId="39E0D1AE" w14:textId="77777777" w:rsidTr="00277CF0">
        <w:trPr>
          <w:trHeight w:val="312"/>
        </w:trPr>
        <w:tc>
          <w:tcPr>
            <w:tcW w:w="841" w:type="dxa"/>
            <w:vMerge/>
            <w:vAlign w:val="center"/>
            <w:hideMark/>
          </w:tcPr>
          <w:p w14:paraId="3656B9A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C967237"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F5</w:t>
            </w:r>
          </w:p>
        </w:tc>
        <w:tc>
          <w:tcPr>
            <w:tcW w:w="8318" w:type="dxa"/>
            <w:shd w:val="clear" w:color="auto" w:fill="auto"/>
            <w:noWrap/>
            <w:vAlign w:val="center"/>
            <w:hideMark/>
          </w:tcPr>
          <w:p w14:paraId="02365B12"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many participants were enrolled?</w:t>
            </w:r>
          </w:p>
        </w:tc>
      </w:tr>
      <w:tr w:rsidR="00690907" w:rsidRPr="00690907" w14:paraId="1E6D89AA" w14:textId="77777777" w:rsidTr="00277CF0">
        <w:trPr>
          <w:trHeight w:val="312"/>
        </w:trPr>
        <w:tc>
          <w:tcPr>
            <w:tcW w:w="841" w:type="dxa"/>
            <w:vMerge/>
            <w:vAlign w:val="center"/>
            <w:hideMark/>
          </w:tcPr>
          <w:p w14:paraId="45FB081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64454287"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F6</w:t>
            </w:r>
          </w:p>
        </w:tc>
        <w:tc>
          <w:tcPr>
            <w:tcW w:w="8318" w:type="dxa"/>
            <w:shd w:val="clear" w:color="auto" w:fill="auto"/>
            <w:noWrap/>
            <w:vAlign w:val="center"/>
            <w:hideMark/>
          </w:tcPr>
          <w:p w14:paraId="3B479647"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was the sex distribution of participants? (Note: the term "sex" refers to the [biological] classification assigned as birth)</w:t>
            </w:r>
          </w:p>
        </w:tc>
      </w:tr>
      <w:tr w:rsidR="00690907" w:rsidRPr="00690907" w14:paraId="28C6C858" w14:textId="77777777" w:rsidTr="00277CF0">
        <w:trPr>
          <w:trHeight w:val="312"/>
        </w:trPr>
        <w:tc>
          <w:tcPr>
            <w:tcW w:w="841" w:type="dxa"/>
            <w:vMerge/>
            <w:vAlign w:val="center"/>
            <w:hideMark/>
          </w:tcPr>
          <w:p w14:paraId="049F31C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14C61C7B"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F7</w:t>
            </w:r>
          </w:p>
        </w:tc>
        <w:tc>
          <w:tcPr>
            <w:tcW w:w="8318" w:type="dxa"/>
            <w:shd w:val="clear" w:color="auto" w:fill="auto"/>
            <w:noWrap/>
            <w:vAlign w:val="center"/>
            <w:hideMark/>
          </w:tcPr>
          <w:p w14:paraId="67D67EE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was the gender distribution of participants? (Note: the term "gender" refers to the classification with which the participant currently identifies)</w:t>
            </w:r>
          </w:p>
        </w:tc>
      </w:tr>
      <w:tr w:rsidR="00690907" w:rsidRPr="00690907" w14:paraId="610DA72A" w14:textId="77777777" w:rsidTr="00277CF0">
        <w:trPr>
          <w:trHeight w:val="312"/>
        </w:trPr>
        <w:tc>
          <w:tcPr>
            <w:tcW w:w="841" w:type="dxa"/>
            <w:vMerge/>
            <w:vAlign w:val="center"/>
            <w:hideMark/>
          </w:tcPr>
          <w:p w14:paraId="53128261"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4D0B82B9"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F8</w:t>
            </w:r>
          </w:p>
        </w:tc>
        <w:tc>
          <w:tcPr>
            <w:tcW w:w="8318" w:type="dxa"/>
            <w:shd w:val="clear" w:color="auto" w:fill="auto"/>
            <w:noWrap/>
            <w:vAlign w:val="center"/>
            <w:hideMark/>
          </w:tcPr>
          <w:p w14:paraId="4B57F73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was the age distribution of participants (include details of subgroups if reported)?</w:t>
            </w:r>
          </w:p>
        </w:tc>
      </w:tr>
      <w:tr w:rsidR="00690907" w:rsidRPr="00690907" w14:paraId="0D666C3D" w14:textId="77777777" w:rsidTr="00277CF0">
        <w:trPr>
          <w:trHeight w:val="624"/>
        </w:trPr>
        <w:tc>
          <w:tcPr>
            <w:tcW w:w="841" w:type="dxa"/>
            <w:vMerge/>
            <w:vAlign w:val="center"/>
            <w:hideMark/>
          </w:tcPr>
          <w:p w14:paraId="62486C05"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2521935"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F9</w:t>
            </w:r>
          </w:p>
        </w:tc>
        <w:tc>
          <w:tcPr>
            <w:tcW w:w="8318" w:type="dxa"/>
            <w:shd w:val="clear" w:color="auto" w:fill="auto"/>
            <w:vAlign w:val="center"/>
            <w:hideMark/>
          </w:tcPr>
          <w:p w14:paraId="7B004B6A" w14:textId="1A681034"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76185408">
              <w:rPr>
                <w:rFonts w:ascii="Times New Roman" w:eastAsia="Times New Roman" w:hAnsi="Times New Roman" w:cs="Times New Roman"/>
                <w:color w:val="000000" w:themeColor="text1"/>
                <w:sz w:val="24"/>
                <w:szCs w:val="24"/>
                <w:lang w:val="en-CA" w:eastAsia="en-CA"/>
              </w:rPr>
              <w:t>What was the racial distribution of participants? (</w:t>
            </w:r>
            <w:r w:rsidR="4353EF3A" w:rsidRPr="76185408">
              <w:rPr>
                <w:rFonts w:ascii="Times New Roman" w:eastAsia="Times New Roman" w:hAnsi="Times New Roman" w:cs="Times New Roman"/>
                <w:color w:val="000000" w:themeColor="text1"/>
                <w:sz w:val="24"/>
                <w:szCs w:val="24"/>
                <w:lang w:val="en-CA" w:eastAsia="en-CA"/>
              </w:rPr>
              <w:t>N</w:t>
            </w:r>
            <w:r w:rsidRPr="76185408">
              <w:rPr>
                <w:rFonts w:ascii="Times New Roman" w:eastAsia="Times New Roman" w:hAnsi="Times New Roman" w:cs="Times New Roman"/>
                <w:color w:val="000000" w:themeColor="text1"/>
                <w:sz w:val="24"/>
                <w:szCs w:val="24"/>
                <w:lang w:val="en-CA" w:eastAsia="en-CA"/>
              </w:rPr>
              <w:t>ote: race should be indexed according to NIH categories: White; Black/African American; Asian; Alaskan/Native Indian; Hawaiian/Pacific Islander; Mixed race; Unknown)</w:t>
            </w:r>
          </w:p>
        </w:tc>
      </w:tr>
      <w:tr w:rsidR="00690907" w:rsidRPr="00690907" w14:paraId="09B15F13" w14:textId="77777777" w:rsidTr="00277CF0">
        <w:trPr>
          <w:trHeight w:val="312"/>
        </w:trPr>
        <w:tc>
          <w:tcPr>
            <w:tcW w:w="841" w:type="dxa"/>
            <w:vMerge/>
            <w:vAlign w:val="center"/>
            <w:hideMark/>
          </w:tcPr>
          <w:p w14:paraId="4101652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7473506"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F10</w:t>
            </w:r>
          </w:p>
        </w:tc>
        <w:tc>
          <w:tcPr>
            <w:tcW w:w="8318" w:type="dxa"/>
            <w:shd w:val="clear" w:color="auto" w:fill="auto"/>
            <w:noWrap/>
            <w:vAlign w:val="center"/>
            <w:hideMark/>
          </w:tcPr>
          <w:p w14:paraId="1BFAA583" w14:textId="25424860"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76185408">
              <w:rPr>
                <w:rFonts w:ascii="Times New Roman" w:eastAsia="Times New Roman" w:hAnsi="Times New Roman" w:cs="Times New Roman"/>
                <w:color w:val="000000" w:themeColor="text1"/>
                <w:sz w:val="24"/>
                <w:szCs w:val="24"/>
                <w:lang w:val="en-CA" w:eastAsia="en-CA"/>
              </w:rPr>
              <w:t>What was the ethnic distribution of participants? (</w:t>
            </w:r>
            <w:r w:rsidR="0768F874" w:rsidRPr="76185408">
              <w:rPr>
                <w:rFonts w:ascii="Times New Roman" w:eastAsia="Times New Roman" w:hAnsi="Times New Roman" w:cs="Times New Roman"/>
                <w:color w:val="000000" w:themeColor="text1"/>
                <w:sz w:val="24"/>
                <w:szCs w:val="24"/>
                <w:lang w:val="en-CA" w:eastAsia="en-CA"/>
              </w:rPr>
              <w:t>N</w:t>
            </w:r>
            <w:r w:rsidRPr="76185408">
              <w:rPr>
                <w:rFonts w:ascii="Times New Roman" w:eastAsia="Times New Roman" w:hAnsi="Times New Roman" w:cs="Times New Roman"/>
                <w:color w:val="000000" w:themeColor="text1"/>
                <w:sz w:val="24"/>
                <w:szCs w:val="24"/>
                <w:lang w:val="en-CA" w:eastAsia="en-CA"/>
              </w:rPr>
              <w:t>ote: ethnicity as per NIH categories: Hispanic vs non-Hispanic)</w:t>
            </w:r>
          </w:p>
        </w:tc>
      </w:tr>
      <w:tr w:rsidR="00690907" w:rsidRPr="00690907" w14:paraId="047E4A8B" w14:textId="77777777" w:rsidTr="00277CF0">
        <w:trPr>
          <w:trHeight w:val="312"/>
        </w:trPr>
        <w:tc>
          <w:tcPr>
            <w:tcW w:w="841" w:type="dxa"/>
            <w:vMerge/>
            <w:vAlign w:val="center"/>
            <w:hideMark/>
          </w:tcPr>
          <w:p w14:paraId="4B99056E"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32734EA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F11</w:t>
            </w:r>
          </w:p>
        </w:tc>
        <w:tc>
          <w:tcPr>
            <w:tcW w:w="8318" w:type="dxa"/>
            <w:shd w:val="clear" w:color="auto" w:fill="auto"/>
            <w:noWrap/>
            <w:vAlign w:val="center"/>
            <w:hideMark/>
          </w:tcPr>
          <w:p w14:paraId="232CE86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participant socioeconomic status described?</w:t>
            </w:r>
          </w:p>
        </w:tc>
      </w:tr>
      <w:tr w:rsidR="00690907" w:rsidRPr="00690907" w14:paraId="33E77F2A" w14:textId="77777777" w:rsidTr="00277CF0">
        <w:trPr>
          <w:trHeight w:val="312"/>
        </w:trPr>
        <w:tc>
          <w:tcPr>
            <w:tcW w:w="841" w:type="dxa"/>
            <w:vMerge/>
            <w:vAlign w:val="center"/>
            <w:hideMark/>
          </w:tcPr>
          <w:p w14:paraId="1299C43A"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1494F53"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F12</w:t>
            </w:r>
          </w:p>
        </w:tc>
        <w:tc>
          <w:tcPr>
            <w:tcW w:w="8318" w:type="dxa"/>
            <w:shd w:val="clear" w:color="auto" w:fill="auto"/>
            <w:noWrap/>
            <w:vAlign w:val="center"/>
            <w:hideMark/>
          </w:tcPr>
          <w:p w14:paraId="23DDC600" w14:textId="7ADF482A"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76185408">
              <w:rPr>
                <w:rFonts w:ascii="Times New Roman" w:eastAsia="Times New Roman" w:hAnsi="Times New Roman" w:cs="Times New Roman"/>
                <w:color w:val="000000" w:themeColor="text1"/>
                <w:sz w:val="24"/>
                <w:szCs w:val="24"/>
                <w:lang w:val="en-CA" w:eastAsia="en-CA"/>
              </w:rPr>
              <w:t>How were residents' places of residence described? (</w:t>
            </w:r>
            <w:r w:rsidR="2CED514A" w:rsidRPr="76185408">
              <w:rPr>
                <w:rFonts w:ascii="Times New Roman" w:eastAsia="Times New Roman" w:hAnsi="Times New Roman" w:cs="Times New Roman"/>
                <w:color w:val="000000" w:themeColor="text1"/>
                <w:sz w:val="24"/>
                <w:szCs w:val="24"/>
                <w:lang w:val="en-CA" w:eastAsia="en-CA"/>
              </w:rPr>
              <w:t>C</w:t>
            </w:r>
            <w:r w:rsidRPr="76185408">
              <w:rPr>
                <w:rFonts w:ascii="Times New Roman" w:eastAsia="Times New Roman" w:hAnsi="Times New Roman" w:cs="Times New Roman"/>
                <w:color w:val="000000" w:themeColor="text1"/>
                <w:sz w:val="24"/>
                <w:szCs w:val="24"/>
                <w:lang w:val="en-CA" w:eastAsia="en-CA"/>
              </w:rPr>
              <w:t>ommunity, nursing home, in hospital, etc.)</w:t>
            </w:r>
          </w:p>
        </w:tc>
      </w:tr>
      <w:tr w:rsidR="00690907" w:rsidRPr="00690907" w14:paraId="73ABF51A" w14:textId="77777777" w:rsidTr="00277CF0">
        <w:trPr>
          <w:trHeight w:val="312"/>
        </w:trPr>
        <w:tc>
          <w:tcPr>
            <w:tcW w:w="841" w:type="dxa"/>
            <w:vMerge/>
            <w:vAlign w:val="center"/>
            <w:hideMark/>
          </w:tcPr>
          <w:p w14:paraId="4DDBEF00"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34637C73"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F13</w:t>
            </w:r>
          </w:p>
        </w:tc>
        <w:tc>
          <w:tcPr>
            <w:tcW w:w="8318" w:type="dxa"/>
            <w:shd w:val="clear" w:color="auto" w:fill="auto"/>
            <w:noWrap/>
            <w:vAlign w:val="center"/>
            <w:hideMark/>
          </w:tcPr>
          <w:p w14:paraId="2FC438F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participants' primary language described?</w:t>
            </w:r>
          </w:p>
        </w:tc>
      </w:tr>
      <w:tr w:rsidR="00690907" w:rsidRPr="00690907" w14:paraId="1714D449" w14:textId="77777777" w:rsidTr="00277CF0">
        <w:trPr>
          <w:trHeight w:val="312"/>
        </w:trPr>
        <w:tc>
          <w:tcPr>
            <w:tcW w:w="841" w:type="dxa"/>
            <w:vMerge/>
            <w:vAlign w:val="center"/>
            <w:hideMark/>
          </w:tcPr>
          <w:p w14:paraId="3461D77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0968117E"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F14</w:t>
            </w:r>
          </w:p>
        </w:tc>
        <w:tc>
          <w:tcPr>
            <w:tcW w:w="8318" w:type="dxa"/>
            <w:shd w:val="clear" w:color="auto" w:fill="auto"/>
            <w:noWrap/>
            <w:vAlign w:val="center"/>
            <w:hideMark/>
          </w:tcPr>
          <w:p w14:paraId="7709817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were the study inclusion criteria?</w:t>
            </w:r>
          </w:p>
        </w:tc>
      </w:tr>
      <w:tr w:rsidR="00690907" w:rsidRPr="00690907" w14:paraId="61919953" w14:textId="77777777" w:rsidTr="00277CF0">
        <w:trPr>
          <w:trHeight w:val="312"/>
        </w:trPr>
        <w:tc>
          <w:tcPr>
            <w:tcW w:w="841" w:type="dxa"/>
            <w:vMerge/>
            <w:vAlign w:val="center"/>
            <w:hideMark/>
          </w:tcPr>
          <w:p w14:paraId="3CF2D8B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1277B95D"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F15</w:t>
            </w:r>
          </w:p>
        </w:tc>
        <w:tc>
          <w:tcPr>
            <w:tcW w:w="8318" w:type="dxa"/>
            <w:shd w:val="clear" w:color="auto" w:fill="auto"/>
            <w:noWrap/>
            <w:vAlign w:val="center"/>
            <w:hideMark/>
          </w:tcPr>
          <w:p w14:paraId="0BD2730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What were the study exclusion criteria?</w:t>
            </w:r>
          </w:p>
        </w:tc>
      </w:tr>
      <w:tr w:rsidR="00690907" w:rsidRPr="00690907" w14:paraId="6CF23817" w14:textId="77777777" w:rsidTr="00277CF0">
        <w:trPr>
          <w:trHeight w:val="312"/>
        </w:trPr>
        <w:tc>
          <w:tcPr>
            <w:tcW w:w="841" w:type="dxa"/>
            <w:vMerge/>
            <w:vAlign w:val="center"/>
            <w:hideMark/>
          </w:tcPr>
          <w:p w14:paraId="0FB7827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53DE1F07"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F16</w:t>
            </w:r>
          </w:p>
        </w:tc>
        <w:tc>
          <w:tcPr>
            <w:tcW w:w="8318" w:type="dxa"/>
            <w:shd w:val="clear" w:color="auto" w:fill="auto"/>
            <w:noWrap/>
            <w:vAlign w:val="center"/>
            <w:hideMark/>
          </w:tcPr>
          <w:p w14:paraId="15698D0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the health status/background of participants or participant subgroups described?</w:t>
            </w:r>
          </w:p>
        </w:tc>
      </w:tr>
      <w:tr w:rsidR="00690907" w:rsidRPr="00690907" w14:paraId="28357858" w14:textId="77777777" w:rsidTr="00277CF0">
        <w:trPr>
          <w:trHeight w:val="312"/>
        </w:trPr>
        <w:tc>
          <w:tcPr>
            <w:tcW w:w="841" w:type="dxa"/>
            <w:vMerge/>
            <w:vAlign w:val="center"/>
            <w:hideMark/>
          </w:tcPr>
          <w:p w14:paraId="1FC39945"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0A282C35"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F17</w:t>
            </w:r>
          </w:p>
        </w:tc>
        <w:tc>
          <w:tcPr>
            <w:tcW w:w="8318" w:type="dxa"/>
            <w:shd w:val="clear" w:color="auto" w:fill="auto"/>
            <w:noWrap/>
            <w:vAlign w:val="center"/>
            <w:hideMark/>
          </w:tcPr>
          <w:p w14:paraId="7E36B681"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 xml:space="preserve">Did the study involve healthy participants? </w:t>
            </w:r>
          </w:p>
        </w:tc>
      </w:tr>
      <w:tr w:rsidR="00690907" w:rsidRPr="00690907" w14:paraId="27142524" w14:textId="77777777" w:rsidTr="00277CF0">
        <w:trPr>
          <w:trHeight w:val="312"/>
        </w:trPr>
        <w:tc>
          <w:tcPr>
            <w:tcW w:w="841" w:type="dxa"/>
            <w:vMerge/>
            <w:vAlign w:val="center"/>
            <w:hideMark/>
          </w:tcPr>
          <w:p w14:paraId="0562CB0E"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001F2B06"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F18</w:t>
            </w:r>
          </w:p>
        </w:tc>
        <w:tc>
          <w:tcPr>
            <w:tcW w:w="8318" w:type="dxa"/>
            <w:shd w:val="clear" w:color="auto" w:fill="auto"/>
            <w:noWrap/>
            <w:vAlign w:val="center"/>
            <w:hideMark/>
          </w:tcPr>
          <w:p w14:paraId="43975CE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the criteria for defining participants as healthy reported?</w:t>
            </w:r>
          </w:p>
        </w:tc>
      </w:tr>
      <w:tr w:rsidR="00690907" w:rsidRPr="00690907" w14:paraId="3D8A4A68" w14:textId="77777777" w:rsidTr="00277CF0">
        <w:trPr>
          <w:trHeight w:val="312"/>
        </w:trPr>
        <w:tc>
          <w:tcPr>
            <w:tcW w:w="841" w:type="dxa"/>
            <w:vMerge/>
            <w:vAlign w:val="center"/>
            <w:hideMark/>
          </w:tcPr>
          <w:p w14:paraId="34CE0A41"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35D89A9E"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F19</w:t>
            </w:r>
          </w:p>
        </w:tc>
        <w:tc>
          <w:tcPr>
            <w:tcW w:w="8318" w:type="dxa"/>
            <w:shd w:val="clear" w:color="auto" w:fill="auto"/>
            <w:noWrap/>
            <w:vAlign w:val="center"/>
            <w:hideMark/>
          </w:tcPr>
          <w:p w14:paraId="4111D444"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If there were subgroups within the healthy participants, how were these described?</w:t>
            </w:r>
          </w:p>
        </w:tc>
      </w:tr>
      <w:tr w:rsidR="00690907" w:rsidRPr="00690907" w14:paraId="11E8203F" w14:textId="77777777" w:rsidTr="00277CF0">
        <w:trPr>
          <w:trHeight w:val="312"/>
        </w:trPr>
        <w:tc>
          <w:tcPr>
            <w:tcW w:w="841" w:type="dxa"/>
            <w:vMerge/>
            <w:vAlign w:val="center"/>
            <w:hideMark/>
          </w:tcPr>
          <w:p w14:paraId="62EBF3C5"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5B1D3EC1"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F20</w:t>
            </w:r>
          </w:p>
        </w:tc>
        <w:tc>
          <w:tcPr>
            <w:tcW w:w="8318" w:type="dxa"/>
            <w:shd w:val="clear" w:color="auto" w:fill="auto"/>
            <w:noWrap/>
            <w:vAlign w:val="center"/>
            <w:hideMark/>
          </w:tcPr>
          <w:p w14:paraId="3E7AA01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Did the study involve clinical participants (as opposed to participants who were considered healthy)?</w:t>
            </w:r>
          </w:p>
        </w:tc>
      </w:tr>
      <w:tr w:rsidR="00690907" w:rsidRPr="00690907" w14:paraId="27B10BF0" w14:textId="77777777" w:rsidTr="00277CF0">
        <w:trPr>
          <w:trHeight w:val="312"/>
        </w:trPr>
        <w:tc>
          <w:tcPr>
            <w:tcW w:w="841" w:type="dxa"/>
            <w:vMerge/>
            <w:vAlign w:val="center"/>
            <w:hideMark/>
          </w:tcPr>
          <w:p w14:paraId="6D98A12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64E80C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F21</w:t>
            </w:r>
          </w:p>
        </w:tc>
        <w:tc>
          <w:tcPr>
            <w:tcW w:w="8318" w:type="dxa"/>
            <w:shd w:val="clear" w:color="auto" w:fill="auto"/>
            <w:noWrap/>
            <w:vAlign w:val="center"/>
            <w:hideMark/>
          </w:tcPr>
          <w:p w14:paraId="1932F12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clinical participants’ primary medical diagnoses reported?</w:t>
            </w:r>
          </w:p>
        </w:tc>
      </w:tr>
      <w:tr w:rsidR="00690907" w:rsidRPr="00690907" w14:paraId="6A4DF146" w14:textId="77777777" w:rsidTr="00277CF0">
        <w:trPr>
          <w:trHeight w:val="312"/>
        </w:trPr>
        <w:tc>
          <w:tcPr>
            <w:tcW w:w="841" w:type="dxa"/>
            <w:vMerge/>
            <w:vAlign w:val="center"/>
            <w:hideMark/>
          </w:tcPr>
          <w:p w14:paraId="2946DB82"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02B15633"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F22</w:t>
            </w:r>
          </w:p>
        </w:tc>
        <w:tc>
          <w:tcPr>
            <w:tcW w:w="8318" w:type="dxa"/>
            <w:shd w:val="clear" w:color="auto" w:fill="auto"/>
            <w:noWrap/>
            <w:vAlign w:val="center"/>
            <w:hideMark/>
          </w:tcPr>
          <w:p w14:paraId="464E4BB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time since medical diagnosis reported?</w:t>
            </w:r>
          </w:p>
        </w:tc>
      </w:tr>
      <w:tr w:rsidR="00690907" w:rsidRPr="00690907" w14:paraId="77AF9041" w14:textId="77777777" w:rsidTr="00277CF0">
        <w:trPr>
          <w:trHeight w:val="312"/>
        </w:trPr>
        <w:tc>
          <w:tcPr>
            <w:tcW w:w="841" w:type="dxa"/>
            <w:vMerge/>
            <w:vAlign w:val="center"/>
            <w:hideMark/>
          </w:tcPr>
          <w:p w14:paraId="5997CC1D"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F7488C1"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F23</w:t>
            </w:r>
          </w:p>
        </w:tc>
        <w:tc>
          <w:tcPr>
            <w:tcW w:w="8318" w:type="dxa"/>
            <w:shd w:val="clear" w:color="auto" w:fill="auto"/>
            <w:noWrap/>
            <w:vAlign w:val="center"/>
            <w:hideMark/>
          </w:tcPr>
          <w:p w14:paraId="280051BD"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disease stage or severity reported?</w:t>
            </w:r>
          </w:p>
        </w:tc>
      </w:tr>
      <w:tr w:rsidR="00690907" w:rsidRPr="00690907" w14:paraId="26EC8A11" w14:textId="77777777" w:rsidTr="00277CF0">
        <w:trPr>
          <w:trHeight w:val="312"/>
        </w:trPr>
        <w:tc>
          <w:tcPr>
            <w:tcW w:w="841" w:type="dxa"/>
            <w:vMerge/>
            <w:vAlign w:val="center"/>
            <w:hideMark/>
          </w:tcPr>
          <w:p w14:paraId="110FFD37"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120CF9B9"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F24</w:t>
            </w:r>
          </w:p>
        </w:tc>
        <w:tc>
          <w:tcPr>
            <w:tcW w:w="8318" w:type="dxa"/>
            <w:shd w:val="clear" w:color="auto" w:fill="auto"/>
            <w:noWrap/>
            <w:vAlign w:val="center"/>
            <w:hideMark/>
          </w:tcPr>
          <w:p w14:paraId="524D0F0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the criteria for disease characterization reported?</w:t>
            </w:r>
          </w:p>
        </w:tc>
      </w:tr>
      <w:tr w:rsidR="00690907" w:rsidRPr="00690907" w14:paraId="7062B7BA" w14:textId="77777777" w:rsidTr="00277CF0">
        <w:trPr>
          <w:trHeight w:val="312"/>
        </w:trPr>
        <w:tc>
          <w:tcPr>
            <w:tcW w:w="841" w:type="dxa"/>
            <w:vMerge/>
            <w:vAlign w:val="center"/>
            <w:hideMark/>
          </w:tcPr>
          <w:p w14:paraId="6B69937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419B347"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F25</w:t>
            </w:r>
          </w:p>
        </w:tc>
        <w:tc>
          <w:tcPr>
            <w:tcW w:w="8318" w:type="dxa"/>
            <w:shd w:val="clear" w:color="auto" w:fill="auto"/>
            <w:noWrap/>
            <w:vAlign w:val="center"/>
            <w:hideMark/>
          </w:tcPr>
          <w:p w14:paraId="578CD0CD"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other comorbid diagnoses reported?</w:t>
            </w:r>
          </w:p>
        </w:tc>
      </w:tr>
      <w:tr w:rsidR="00690907" w:rsidRPr="00690907" w14:paraId="3349DA58" w14:textId="77777777" w:rsidTr="00277CF0">
        <w:trPr>
          <w:trHeight w:val="312"/>
        </w:trPr>
        <w:tc>
          <w:tcPr>
            <w:tcW w:w="841" w:type="dxa"/>
            <w:vMerge/>
            <w:vAlign w:val="center"/>
            <w:hideMark/>
          </w:tcPr>
          <w:p w14:paraId="3FE9F23F"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396616E"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F26</w:t>
            </w:r>
          </w:p>
        </w:tc>
        <w:tc>
          <w:tcPr>
            <w:tcW w:w="8318" w:type="dxa"/>
            <w:shd w:val="clear" w:color="auto" w:fill="auto"/>
            <w:noWrap/>
            <w:vAlign w:val="center"/>
            <w:hideMark/>
          </w:tcPr>
          <w:p w14:paraId="34BD17D2"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Was there more than one group of clinical participants?</w:t>
            </w:r>
          </w:p>
        </w:tc>
      </w:tr>
      <w:tr w:rsidR="00690907" w:rsidRPr="00690907" w14:paraId="3EAEEE4F" w14:textId="77777777" w:rsidTr="00277CF0">
        <w:trPr>
          <w:trHeight w:val="312"/>
        </w:trPr>
        <w:tc>
          <w:tcPr>
            <w:tcW w:w="841" w:type="dxa"/>
            <w:vMerge/>
            <w:vAlign w:val="center"/>
            <w:hideMark/>
          </w:tcPr>
          <w:p w14:paraId="1F72F64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07DC323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F27</w:t>
            </w:r>
          </w:p>
        </w:tc>
        <w:tc>
          <w:tcPr>
            <w:tcW w:w="8318" w:type="dxa"/>
            <w:shd w:val="clear" w:color="auto" w:fill="auto"/>
            <w:noWrap/>
            <w:vAlign w:val="center"/>
            <w:hideMark/>
          </w:tcPr>
          <w:p w14:paraId="2793105B"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the characteristics distinguishing different clinical participant groups described?</w:t>
            </w:r>
          </w:p>
        </w:tc>
      </w:tr>
      <w:tr w:rsidR="00690907" w:rsidRPr="00690907" w14:paraId="01583B6D" w14:textId="77777777" w:rsidTr="00277CF0">
        <w:trPr>
          <w:trHeight w:val="312"/>
        </w:trPr>
        <w:tc>
          <w:tcPr>
            <w:tcW w:w="841" w:type="dxa"/>
            <w:vMerge/>
            <w:vAlign w:val="center"/>
            <w:hideMark/>
          </w:tcPr>
          <w:p w14:paraId="08CE6F91"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67E8DAF8"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F28</w:t>
            </w:r>
          </w:p>
        </w:tc>
        <w:tc>
          <w:tcPr>
            <w:tcW w:w="8318" w:type="dxa"/>
            <w:shd w:val="clear" w:color="auto" w:fill="auto"/>
            <w:noWrap/>
            <w:vAlign w:val="center"/>
            <w:hideMark/>
          </w:tcPr>
          <w:p w14:paraId="5C551966"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 xml:space="preserve">Were clinical participants with a diagnosis of dysphagia enrolled in this study? </w:t>
            </w:r>
          </w:p>
        </w:tc>
      </w:tr>
      <w:tr w:rsidR="00690907" w:rsidRPr="00690907" w14:paraId="2A5D764F" w14:textId="77777777" w:rsidTr="00277CF0">
        <w:trPr>
          <w:trHeight w:val="312"/>
        </w:trPr>
        <w:tc>
          <w:tcPr>
            <w:tcW w:w="841" w:type="dxa"/>
            <w:vMerge/>
            <w:vAlign w:val="center"/>
            <w:hideMark/>
          </w:tcPr>
          <w:p w14:paraId="61CDCEAD"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4617610"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F29</w:t>
            </w:r>
          </w:p>
        </w:tc>
        <w:tc>
          <w:tcPr>
            <w:tcW w:w="8318" w:type="dxa"/>
            <w:shd w:val="clear" w:color="auto" w:fill="auto"/>
            <w:noWrap/>
            <w:vAlign w:val="center"/>
            <w:hideMark/>
          </w:tcPr>
          <w:p w14:paraId="027AD0F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the criteria for the term dysphagia defined?</w:t>
            </w:r>
          </w:p>
        </w:tc>
      </w:tr>
      <w:tr w:rsidR="00690907" w:rsidRPr="00690907" w14:paraId="1D73F517" w14:textId="77777777" w:rsidTr="00277CF0">
        <w:trPr>
          <w:trHeight w:val="312"/>
        </w:trPr>
        <w:tc>
          <w:tcPr>
            <w:tcW w:w="841" w:type="dxa"/>
            <w:vMerge/>
            <w:vAlign w:val="center"/>
            <w:hideMark/>
          </w:tcPr>
          <w:p w14:paraId="6BB9E253"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B17A4F9"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F30</w:t>
            </w:r>
          </w:p>
        </w:tc>
        <w:tc>
          <w:tcPr>
            <w:tcW w:w="8318" w:type="dxa"/>
            <w:shd w:val="clear" w:color="auto" w:fill="auto"/>
            <w:noWrap/>
            <w:vAlign w:val="center"/>
            <w:hideMark/>
          </w:tcPr>
          <w:p w14:paraId="56B69F28"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the method of confirming dysphagia described?</w:t>
            </w:r>
          </w:p>
        </w:tc>
      </w:tr>
      <w:tr w:rsidR="00690907" w:rsidRPr="00690907" w14:paraId="0C53B3DD" w14:textId="77777777" w:rsidTr="00277CF0">
        <w:trPr>
          <w:trHeight w:val="312"/>
        </w:trPr>
        <w:tc>
          <w:tcPr>
            <w:tcW w:w="841" w:type="dxa"/>
            <w:vMerge/>
            <w:vAlign w:val="center"/>
            <w:hideMark/>
          </w:tcPr>
          <w:p w14:paraId="23DE523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34893274"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F31</w:t>
            </w:r>
          </w:p>
        </w:tc>
        <w:tc>
          <w:tcPr>
            <w:tcW w:w="8318" w:type="dxa"/>
            <w:shd w:val="clear" w:color="auto" w:fill="auto"/>
            <w:noWrap/>
            <w:vAlign w:val="center"/>
            <w:hideMark/>
          </w:tcPr>
          <w:p w14:paraId="11896E99"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dysphagia severity and duration described?</w:t>
            </w:r>
          </w:p>
        </w:tc>
      </w:tr>
      <w:tr w:rsidR="00690907" w:rsidRPr="00690907" w14:paraId="3CC73648" w14:textId="77777777" w:rsidTr="00277CF0">
        <w:trPr>
          <w:trHeight w:val="312"/>
        </w:trPr>
        <w:tc>
          <w:tcPr>
            <w:tcW w:w="841" w:type="dxa"/>
            <w:vMerge/>
            <w:vAlign w:val="center"/>
            <w:hideMark/>
          </w:tcPr>
          <w:p w14:paraId="52E56223"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5A0A9E41"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F32</w:t>
            </w:r>
          </w:p>
        </w:tc>
        <w:tc>
          <w:tcPr>
            <w:tcW w:w="8318" w:type="dxa"/>
            <w:shd w:val="clear" w:color="auto" w:fill="auto"/>
            <w:noWrap/>
            <w:vAlign w:val="center"/>
            <w:hideMark/>
          </w:tcPr>
          <w:p w14:paraId="450D315A"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Were citations regarding validity of the method of dysphagia assessment provided?</w:t>
            </w:r>
          </w:p>
        </w:tc>
      </w:tr>
      <w:tr w:rsidR="00690907" w:rsidRPr="00690907" w14:paraId="40C06D26" w14:textId="77777777" w:rsidTr="00277CF0">
        <w:trPr>
          <w:trHeight w:val="312"/>
        </w:trPr>
        <w:tc>
          <w:tcPr>
            <w:tcW w:w="841" w:type="dxa"/>
            <w:vMerge/>
            <w:vAlign w:val="center"/>
            <w:hideMark/>
          </w:tcPr>
          <w:p w14:paraId="07547A01"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7AF9711"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F33</w:t>
            </w:r>
          </w:p>
        </w:tc>
        <w:tc>
          <w:tcPr>
            <w:tcW w:w="8318" w:type="dxa"/>
            <w:shd w:val="clear" w:color="auto" w:fill="auto"/>
            <w:noWrap/>
            <w:vAlign w:val="center"/>
            <w:hideMark/>
          </w:tcPr>
          <w:p w14:paraId="07F7E65C"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Were citations regarding reliability of the method of dysphagia assessment provided?</w:t>
            </w:r>
          </w:p>
        </w:tc>
      </w:tr>
      <w:tr w:rsidR="00690907" w:rsidRPr="00690907" w14:paraId="37D01C09" w14:textId="77777777" w:rsidTr="00277CF0">
        <w:trPr>
          <w:trHeight w:val="312"/>
        </w:trPr>
        <w:tc>
          <w:tcPr>
            <w:tcW w:w="841" w:type="dxa"/>
            <w:vMerge/>
            <w:vAlign w:val="center"/>
            <w:hideMark/>
          </w:tcPr>
          <w:p w14:paraId="5043CB0F"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7BD791A7"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F34</w:t>
            </w:r>
          </w:p>
        </w:tc>
        <w:tc>
          <w:tcPr>
            <w:tcW w:w="8318" w:type="dxa"/>
            <w:shd w:val="clear" w:color="auto" w:fill="auto"/>
            <w:noWrap/>
            <w:vAlign w:val="center"/>
            <w:hideMark/>
          </w:tcPr>
          <w:p w14:paraId="48F0E1FD"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were medications taken reported?</w:t>
            </w:r>
          </w:p>
        </w:tc>
      </w:tr>
      <w:tr w:rsidR="00690907" w:rsidRPr="00690907" w14:paraId="2DDF8A0B" w14:textId="77777777" w:rsidTr="00277CF0">
        <w:trPr>
          <w:trHeight w:val="312"/>
        </w:trPr>
        <w:tc>
          <w:tcPr>
            <w:tcW w:w="841" w:type="dxa"/>
            <w:vMerge/>
            <w:vAlign w:val="center"/>
            <w:hideMark/>
          </w:tcPr>
          <w:p w14:paraId="07459315"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271C2FAC"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F35</w:t>
            </w:r>
          </w:p>
        </w:tc>
        <w:tc>
          <w:tcPr>
            <w:tcW w:w="8318" w:type="dxa"/>
            <w:shd w:val="clear" w:color="auto" w:fill="auto"/>
            <w:noWrap/>
            <w:vAlign w:val="center"/>
            <w:hideMark/>
          </w:tcPr>
          <w:p w14:paraId="1DFA9067"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How was baseline diet or method of nutritional intake reported (e.g., IDDSI range including food level and drink level)?</w:t>
            </w:r>
          </w:p>
        </w:tc>
      </w:tr>
      <w:tr w:rsidR="00690907" w:rsidRPr="00690907" w14:paraId="4B83493A" w14:textId="77777777" w:rsidTr="00277CF0">
        <w:trPr>
          <w:trHeight w:val="312"/>
        </w:trPr>
        <w:tc>
          <w:tcPr>
            <w:tcW w:w="841" w:type="dxa"/>
            <w:vMerge/>
            <w:vAlign w:val="center"/>
            <w:hideMark/>
          </w:tcPr>
          <w:p w14:paraId="6537F28F"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p>
        </w:tc>
        <w:tc>
          <w:tcPr>
            <w:tcW w:w="617" w:type="dxa"/>
            <w:shd w:val="clear" w:color="auto" w:fill="auto"/>
            <w:noWrap/>
            <w:vAlign w:val="center"/>
            <w:hideMark/>
          </w:tcPr>
          <w:p w14:paraId="4B8D51B1" w14:textId="77777777" w:rsidR="00690907" w:rsidRPr="00690907" w:rsidRDefault="00690907" w:rsidP="00690907">
            <w:pPr>
              <w:spacing w:after="0" w:line="240" w:lineRule="auto"/>
              <w:jc w:val="center"/>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F36</w:t>
            </w:r>
          </w:p>
        </w:tc>
        <w:tc>
          <w:tcPr>
            <w:tcW w:w="8318" w:type="dxa"/>
            <w:shd w:val="clear" w:color="auto" w:fill="auto"/>
            <w:noWrap/>
            <w:vAlign w:val="center"/>
            <w:hideMark/>
          </w:tcPr>
          <w:p w14:paraId="38BB42E0" w14:textId="77777777" w:rsidR="00690907" w:rsidRPr="00690907" w:rsidRDefault="00690907" w:rsidP="00690907">
            <w:pPr>
              <w:spacing w:after="0" w:line="240" w:lineRule="auto"/>
              <w:rPr>
                <w:rFonts w:ascii="Times New Roman" w:eastAsia="Times New Roman" w:hAnsi="Times New Roman" w:cs="Times New Roman"/>
                <w:color w:val="000000"/>
                <w:sz w:val="24"/>
                <w:szCs w:val="24"/>
                <w:lang w:val="en-CA" w:eastAsia="en-CA"/>
              </w:rPr>
            </w:pPr>
            <w:r w:rsidRPr="00690907">
              <w:rPr>
                <w:rFonts w:ascii="Times New Roman" w:eastAsia="Times New Roman" w:hAnsi="Times New Roman" w:cs="Times New Roman"/>
                <w:color w:val="000000"/>
                <w:sz w:val="24"/>
                <w:szCs w:val="24"/>
                <w:lang w:val="en-CA" w:eastAsia="en-CA"/>
              </w:rPr>
              <w:t>Do you have any other comments about this article?</w:t>
            </w:r>
          </w:p>
        </w:tc>
      </w:tr>
    </w:tbl>
    <w:p w14:paraId="6DFB9E20" w14:textId="77777777" w:rsidR="00D0120F" w:rsidRDefault="00D0120F">
      <w:pPr>
        <w:rPr>
          <w:rFonts w:ascii="Times New Roman" w:hAnsi="Times New Roman" w:cs="Times New Roman"/>
          <w:sz w:val="24"/>
          <w:szCs w:val="24"/>
        </w:rPr>
      </w:pPr>
      <w:r>
        <w:rPr>
          <w:rFonts w:ascii="Times New Roman" w:hAnsi="Times New Roman" w:cs="Times New Roman"/>
          <w:sz w:val="24"/>
          <w:szCs w:val="24"/>
        </w:rPr>
        <w:br w:type="page"/>
      </w:r>
    </w:p>
    <w:p w14:paraId="30998105" w14:textId="77777777" w:rsidR="00247C4D" w:rsidRPr="00163DFD" w:rsidRDefault="00247C4D" w:rsidP="00163DFD">
      <w:pPr>
        <w:pStyle w:val="Heading1"/>
        <w:numPr>
          <w:ilvl w:val="0"/>
          <w:numId w:val="5"/>
        </w:numPr>
        <w:spacing w:after="240"/>
        <w:ind w:left="567" w:hanging="567"/>
        <w:rPr>
          <w:rFonts w:ascii="Times New Roman" w:hAnsi="Times New Roman" w:cs="Times New Roman"/>
          <w:b/>
          <w:color w:val="auto"/>
          <w:sz w:val="24"/>
          <w:szCs w:val="24"/>
        </w:rPr>
      </w:pPr>
      <w:bookmarkStart w:id="2" w:name="_Toc231831486"/>
      <w:r w:rsidRPr="00163DFD">
        <w:rPr>
          <w:rFonts w:ascii="Times New Roman" w:hAnsi="Times New Roman" w:cs="Times New Roman"/>
          <w:b/>
          <w:color w:val="auto"/>
          <w:sz w:val="24"/>
          <w:szCs w:val="24"/>
        </w:rPr>
        <w:t>Reference list</w:t>
      </w:r>
      <w:r w:rsidR="00D0120F" w:rsidRPr="00163DFD">
        <w:rPr>
          <w:rFonts w:ascii="Times New Roman" w:hAnsi="Times New Roman" w:cs="Times New Roman"/>
          <w:b/>
          <w:color w:val="auto"/>
          <w:sz w:val="24"/>
          <w:szCs w:val="24"/>
        </w:rPr>
        <w:t xml:space="preserve"> for the full-text review set (to be generated)</w:t>
      </w:r>
      <w:bookmarkEnd w:id="2"/>
    </w:p>
    <w:p w14:paraId="7A0B63A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 xml:space="preserve">1. Abraham SS, Taragin B, Djukic A. Co-occurrence of dystonic </w:t>
      </w:r>
      <w:bookmarkStart w:id="3" w:name="_GoBack"/>
      <w:bookmarkEnd w:id="3"/>
      <w:r w:rsidRPr="0071326A">
        <w:rPr>
          <w:rFonts w:ascii="Times New Roman" w:hAnsi="Times New Roman" w:cs="Times New Roman"/>
          <w:sz w:val="24"/>
          <w:szCs w:val="24"/>
        </w:rPr>
        <w:t>and dyskinetic tongue movements with oral apraxia in post-regression dysphagia in classical Rett syndrome years of life 1 Through 5. Dysphagia. 2015;30:128–138. doi:10.1007/s00455-014-9587-9</w:t>
      </w:r>
    </w:p>
    <w:p w14:paraId="21FA81D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 Abrams SW, Petersen C, Beall J, et al. Factors influencing laryngeal vestibular closure in healthy adults. J Speech Lang Hear Res. 2023;66:3844–3855. doi:10.1044/2023_JSLHR-22-00741</w:t>
      </w:r>
    </w:p>
    <w:p w14:paraId="2254DBB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 Aguayo-Mendoza MG, Ketel EC, van der Linden E, et al. Oral processing behavior of drinkable, spoonable and chewable foods is primarily determined by rheological and mechanical food properties. Food Qual Prefer. 2018;71:87–95. doi:10.1016/j.foodqual.2018.06.006</w:t>
      </w:r>
    </w:p>
    <w:p w14:paraId="2C7DF2E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 Alves DC, Dantas RO. Difficulties in thickened water ingestion in healthy subjects. Clin Nutr ESPEN. 2017;22:107–111. doi:10.1016/j.clnesp.2017.07.077</w:t>
      </w:r>
    </w:p>
    <w:p w14:paraId="76DCE96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 Alves MRM, Oliveira Neto IC, Zica GM, et al. Hyoid displacement patterns in healthy swallowing. Einstein (Sao Paulo). 2022;20. doi:10.31744/einstein_journal/2022AO6268</w:t>
      </w:r>
    </w:p>
    <w:p w14:paraId="13F1F71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 Alves TC, Cola PC, Jorge AG, et al. Relationship between pharyngeal response time and lateralized brain lesion in stroke. Top Stroke Rehabil. 2019;26:435–439. doi:10.1080/10749357.2019.1623519</w:t>
      </w:r>
    </w:p>
    <w:p w14:paraId="44A0364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 Ambrocio KR, Ramsey R, O'Rourke A, et al. Normal variations in upper esophageal sphincter function during deglutition: A secondary analysis of videofluoroscopic data. Laryngoscope. 2023;134(5):2306-2315. doi:10.1002/lary.31173</w:t>
      </w:r>
    </w:p>
    <w:p w14:paraId="514FC36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 Amin MR, Achlatis S, Lazarus CL, et al. Dynamic magnetic resonance imaging of the pharynx during deglutition. Ann Otol Rhinol Laryngol. 2013;122:145–150. doi:10.1177/000348941312200301</w:t>
      </w:r>
    </w:p>
    <w:p w14:paraId="7C07E5F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 Andreoli SM, Wilson BL, Swanson C. Neuromuscular electrical stimulation improves feeding and aspiration status in medically complex children undergoing feeding therapy. Int J Pediatr Otorhinolaryngol. 2019;127. doi:10.1016/j.ijporl.2019.109646</w:t>
      </w:r>
    </w:p>
    <w:p w14:paraId="560DFA4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 Arakawa-Sugueno L, Ferraz AR, Morandi J, et al. Videoendoscopic evaluation of swallowing after thyroidectomy: 7 and 60 Days. Dysphagia. 2015;30:496–505. doi:10.1007/s00455-015-9628-z</w:t>
      </w:r>
    </w:p>
    <w:p w14:paraId="7146CBC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 Aras I, Yalcin A, Gode S, et al. Evaluation of swallowing function in relation to oropharyngeal dysphagia in patients with operated unilateral cleft lip and palate. J Craniofac Surg. 2023;34. doi:10.1097/SCS.0000000000009405</w:t>
      </w:r>
    </w:p>
    <w:p w14:paraId="4403AF2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 Argolo N, Sampaio M, Pinho P, et al. Videofluoroscopic predictors of penetration–aspiration in Parkinson’s disease patients. Dysphagia. 2015;30:751–758. doi:10.1007/s00455-015-9653-y</w:t>
      </w:r>
    </w:p>
    <w:p w14:paraId="5C62ADA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 Argolo N, Sampaio M, Pinho P, et al. Swallowing disorders in Parkinson's disease: Impact of lingual pumping. Int J Lang Commun Disord. 2015;50:659–664. doi:10.1111/1460-6984.12158</w:t>
      </w:r>
    </w:p>
    <w:p w14:paraId="50ACB4A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 Badenduck LA, Matthews TW, McDonough A, et al. Fiber-optic endoscopic evaluation of swallowing to assess swallowing outcomes as a function of head position in a normal population. J Otolaryngol Head Neck Surg. 2014;43. doi:10.1186/1916-0216-43-9</w:t>
      </w:r>
    </w:p>
    <w:p w14:paraId="0C9AAA4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 Baha S, Sibel E, Duygu D, et al. Oropharyngeal swallowing functions are impaired in patients with naive-achalasia. Eur Arch Otorhinolaryngol. 2020;277(4):1219–1226. doi:10.1007/s00405-020-05800-7</w:t>
      </w:r>
    </w:p>
    <w:p w14:paraId="24844B0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 Baijens LWJ, Pilz W, Kremer B, et al. Identifying patterns of FEES-derived swallowing trajectories using group-based trajectory model. Dysphagia. 2015;30(5):529–539. doi:10.1007/s00455-015-9632-3</w:t>
      </w:r>
    </w:p>
    <w:p w14:paraId="02400DF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 Baijens LWJ, Speyer R, Pilz W, et al. FEES protocol derived estimates of sensitivity: Aspiration in dysphagic patients. Dysphagia. 2014;29:583–590. doi:10.1007/s00455-014-9549-2</w:t>
      </w:r>
    </w:p>
    <w:p w14:paraId="6E6460D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 Balaji A, Thiagarajan S, Mallik A, et al. Results of pretreatment swallowing evaluation in patients with stage III/IV laryngeal and hypopharyngeal carcinoma. Eur Arch Otorhinolaryngol. 2021;278:3011–3018. doi:10.1007/s00405-020-06460-3</w:t>
      </w:r>
    </w:p>
    <w:p w14:paraId="1BE42D7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 Bandini A, Gandhi P, Sutton D, et al. Bolus texture testing as a clinical method for evaluating food oral processing and choking risk: A pilot study. Am J Speech Lang Pathol. 2022;31:2806–2816. doi:10.1044/2022_AJSLP-22-00014</w:t>
      </w:r>
    </w:p>
    <w:p w14:paraId="1BB012E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 Baque J, Huret O, Rayneau P, et al. Acoustic analysis of swallowing of an experimental meal of three food textures: A comparative aging study. Dysphagia. 2024;39:452–458. doi:10.1007/s00455-023-10629-3</w:t>
      </w:r>
    </w:p>
    <w:p w14:paraId="4CD2135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 Barata LF, De Carvalho GB, Carrara-De Angelis E, et al. Swallowing, speech and quality of life in patients undergoing resection of soft palate. Eur Arch Otorhinolaryngol. 2013;270:305–312. doi:10.1007/s00405-012-2006-7</w:t>
      </w:r>
    </w:p>
    <w:p w14:paraId="323DC2C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 Barbon CEA, Chepeha DB, Hope AJ, et al. Determining the impact of thickened liquids on swallowing in patients undergoing irradiation for oropharynx cancer. Otolaryngol Head Neck Surg. 2022;166:511–514. doi:10.1177/01945998211010435</w:t>
      </w:r>
    </w:p>
    <w:p w14:paraId="06655C8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 Battel I, Walshe M. An intensive neurorehabilitation programme with sEMG biofeedback to improve swallowing in idiopathic Parkinson's disease (IPD): A feasibility study. Int J Lang Commun Disord. 2023;58(3):813–825. doi:10.1111/1460-6984.12824</w:t>
      </w:r>
    </w:p>
    <w:p w14:paraId="799A740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 Ben-David K, Fullerton A, Rossidis G, et al. Prospective comprehensive swallowing evaluation of minimally invasive esophagectomies with cervical anastomosis: Silent versus vocal aspiration. J Gastrointest Surg. 2015;(19):1748–1752. doi:10.1007/s11605-015-2889-x</w:t>
      </w:r>
    </w:p>
    <w:p w14:paraId="35627FC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 Bengisu S, Demir N, Krespi Y. Effectiveness of conventional dysphagia therapy (CDT), neuromuscular electrical stimulation (NMES), and transcranial direct current stimulation (tDCS) in acute post-stroke dysphagia: A comparative evaluation. Dysphagia. 2023;39(1):77-91. doi:10.1007/s00455-023-10595-w</w:t>
      </w:r>
    </w:p>
    <w:p w14:paraId="1ECD78C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 Bengisu S, Oge-Dasdogen O, Yildiz HY. Comparative analysis of videofluoroscopy and pulse oximetry for aspiration identification in patients with dysphagia after stroke and non-dysphagics. Eur Arch Otorhinolaryngol. 2024;281(6): 2095-2105. doi:10.1007/s00405-024-08613-0</w:t>
      </w:r>
    </w:p>
    <w:p w14:paraId="4B9EF83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 Bessadet M, Nicolas E, Sochat M, et al. Impact of removable partial denture prosthesis on chewing efficiency. J Appl Oral Sci. 2013;(21):392–396. doi:10.1590/1679-775720130046</w:t>
      </w:r>
    </w:p>
    <w:p w14:paraId="2CA5C10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 Betito HR, Tandler N, Allon R, et al. Evaluation of the whiteout during fiberoptic endoscopic evaluation of swallowing and examination of Its correlation with pharyngeal residue and aspiration. Dysphagia. 2024;39(5):816-824. doi:10.1007/s00455-023-10663-1</w:t>
      </w:r>
    </w:p>
    <w:p w14:paraId="6DEB225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 Bhutada AM, Dey R, Martin-Harris B, et al. Factors influencing initiation of pharyngeal swallow in healthy adults. Am J Speech Lang Pathol. 2020;29:1956–1964. doi:10.1044/2020_AJSLP-20-00027</w:t>
      </w:r>
    </w:p>
    <w:p w14:paraId="7090C2D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 Bolivar-Prados M, Hayakawa Y, Tomsen N, et al. Shear-viscosity-dependent effect of a gum-based thickening product on the safety of swallowing in older patients with severe oropharyngeal dysphagia. Nutrients. 2023;15:. doi:10.3390/nu15143279</w:t>
      </w:r>
    </w:p>
    <w:p w14:paraId="7C9063B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 Bolivar-Prados M, Rofes L, Arreola V, et al. Effect of a gum-based thickener on the safety of swallowing in patients with poststroke oropharyngeal dysphagia. Neurogastroenterol Motil. 2019;31. doi:10.1111/nmo.13695</w:t>
      </w:r>
    </w:p>
    <w:p w14:paraId="4A4F203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 Borders JC, Sevitz JS, Curtis JA, et al. Quantifying impairments in swallowing safety and efficiency in progressive supranuclear palsy and Parkinson's disease. Dysphagia. 2023;38(5):1342–1352. doi:10.1007/s00455-023-10560-7</w:t>
      </w:r>
    </w:p>
    <w:p w14:paraId="58933CF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 Borders JC, Steele CM. The effect of liquid consistency on penetration-aspiration: a Bayesian analysis of two large datasets. Front Rehabil Sci. 2024;23. doi:10.3389/fresc.2024.1337971</w:t>
      </w:r>
    </w:p>
    <w:p w14:paraId="2395990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 Brandão BC, Galdino AS, Lourenção LG, et al. Correlation between bulbar functionality and laryngeal penetration and/or laryngotracheal aspiration on motor neuron disease. CODAS. 2018;30. doi:10.1590/2317-1782/20182017056</w:t>
      </w:r>
    </w:p>
    <w:p w14:paraId="3D1D8E1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 Brown K, Cai C, Barreto A, et al. Predictors of percutaneous endoscopic gastrostomy placement in acute ischemic stroke. J Stroke Cerebrovasc Dis. 2018;27:3200–3207. doi:10.1016/j.jstrokecerebrovasdis.2018.07.022</w:t>
      </w:r>
    </w:p>
    <w:p w14:paraId="31E0162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 Buhmann C, Bihler M, Emich K, et al. Pill swallowing in Parkinson's disease: A prospective study based on flexible endoscopic evaluation of swallowing. Parkinsonism Relat Disord. 2019;62:51–56. doi:10.1016/j.parkreldis.2019.02.002</w:t>
      </w:r>
    </w:p>
    <w:p w14:paraId="7CBF29F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 Cabib C, Nascimento W, Rofes L, et al. Neurophysiological and biomechanical evaluation of the mechanisms which impair safety of swallow in chronic post-stroke patients. Transl Stroke Res. 2020;11:16–28. doi:10.1007/s12975-019-00701-2</w:t>
      </w:r>
    </w:p>
    <w:p w14:paraId="4CBABBD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 Caparroz FA, de Almeida Torres Campanholo M, Sguillar DA, et al. A pilot study on the efficacy of continuous positive airway pressure on the manifestations of dysphagia in patients with obstructive sleep apnea. Dysphagia. 2019;34:333–340. doi:10.1007/s00455-018-9944-1</w:t>
      </w:r>
    </w:p>
    <w:p w14:paraId="32C59E9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 Carrión S, Roca M, Costa A, et al. Nutritional status of older patients with oropharyngeal dysphagia in a chronic versus an acute clinical situation. Clin Nutr. 2017;36:1110–1116. doi:10.1016/j.clnu.2016.07.009</w:t>
      </w:r>
    </w:p>
    <w:p w14:paraId="6262057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 Cartmill B, Cornwell P, Ward E, et al. Swallowing, nutrition and patient-rated functional outcomes at 6 months following two non-surgical treatments for T1-T3 oropharyngeal cancer. Support Care Cancer. 2012;20:2073–2081. doi:10.1007/s00520-011-1316-4</w:t>
      </w:r>
    </w:p>
    <w:p w14:paraId="65793ED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 Casanueva R, López F, Costales M, et al. The presence of dysphagia in patients with cerebellar ataxia, neuropathy and vestibular areflexia syndrome (CANVAS): A subjective and objective study. Eur Arch Otorhinolaryngol. 2021;278:2585–2592. doi:10.1007/s00405-020-06534-2</w:t>
      </w:r>
    </w:p>
    <w:p w14:paraId="776C7AF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 Cassiani RA, Dantas RO. Oral and pharyngeal transit in functional heartburn. Arq Gastroenterol. 2020;57:150–153. doi:10.1590/s0004-2803.202000000-28</w:t>
      </w:r>
    </w:p>
    <w:p w14:paraId="17B582A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 Cassiani RA, Mota GA, Dantas RO. Oral and pharyngeal bolus transit in gastroesophageal reflux disease. Esophagus. 2015;12:345–351. doi:10.1007/s10388-014-0481-1</w:t>
      </w:r>
    </w:p>
    <w:p w14:paraId="2961704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 Cassiani RA, Santos CM, Baddini-Martinez J, et al. Oral and pharyngeal bolus transit in patients with chronic obstructive pulmonary disease. Int J Chron Obstruct Pulmon Dis. 2015;10:489–496. doi:10.2147/COPD.S74945</w:t>
      </w:r>
    </w:p>
    <w:p w14:paraId="1A1CE4B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 Castro MCZ, Santos CMD, Lucas RE, et al. Oral motor function in obesity. J Oral Rehabil. 2022;49:529–534. doi:10.1111/joor.13313</w:t>
      </w:r>
    </w:p>
    <w:p w14:paraId="617F8F5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 Cetin ZE, Eyigor S, Ozturk K, et al. Evaluation of the effect of various radiotherapy modalities on swallowing function in patients with nasopharyngeal cancer. Ear Nose Throat J. 2019;98(9):566–570. doi:10.1177/0145561319840511</w:t>
      </w:r>
    </w:p>
    <w:p w14:paraId="75AB837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47. Charters EK, Bogaardt H, Freeman-Sanderson AL, et al. Early fiberoptic endoscopic evaluation of swallow in transoral robotic surgery: Description of swallow function and recovery in the acute postoperative period for oropharyngeal squamous cell carcinoma. Head Neck. 2021;43(1):116–127. doi:10.1002/hed.26458</w:t>
      </w:r>
    </w:p>
    <w:p w14:paraId="4FDEDA7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48. Chen L, Lv B, Zhang X, et al. The swallowing threshold and starch hydrolysis of cooked rice with different moisture contents for human mastication. Food Res Int. 2022;160:111677. doi:10.1016/j.foodres.2022.111677</w:t>
      </w:r>
    </w:p>
    <w:p w14:paraId="33702C0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49. Chen L, Si Y, Lin P, et al. Surgical treatment of T2-3 posterior hypopharyngeal carcinoma with preservation of laryngeal function. Acta Otolaryngol. 2021;141:851–856. doi:10.1080/00016489.2021.1965211</w:t>
      </w:r>
    </w:p>
    <w:p w14:paraId="7154BFE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50. Chen SY, Wei KC, Cheng SH, et al. The hyoid bone kinematics in dysphagic stroke patients: Instantaneous velocity, acceleration and temporal sequence matters. Dysphagia. 2023;38:1598–1608. doi:10.1007/s00455-023-10587-w</w:t>
      </w:r>
    </w:p>
    <w:p w14:paraId="5B5230A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51. Chen YC, Hsiao MY, Chen PY, et al. Effects of age on the speed of hyoid bone movement during swallowing. Int J Gerontol.. 2019;13(4):344–348. doi:10.6890/IJGE.201912_13(4).0016.</w:t>
      </w:r>
    </w:p>
    <w:p w14:paraId="7B21FBC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52. Chen YJ, Chen YT, Lin LC, et al. Effects of olfactory stimulation on swallowing function in Taiwanese older adults. Gerontol Geriatr Med. 2021;7:. doi:10.1177/23337214211015449</w:t>
      </w:r>
    </w:p>
    <w:p w14:paraId="61C5754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53. Cheng IKY, Chan KMK, Wong CS, et al. Neuronavigated high-frequency repetitive transcranial magnetic stimulation for chronic post-stroke dysphagia: A randomized controlled study. J Rehabil Med. 2017;49:475–481. doi:10.2340/16501977-2235</w:t>
      </w:r>
    </w:p>
    <w:p w14:paraId="6F304EF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54. Cheng SW, Leung KHV, Mok KCJ, et al. Improvement in swallowing function in patients with previous irradiation for nasopharyngeal carcinoma by expiratory muscle strength training. Dysphagia. 2024;39:129–139. doi:10.1007/s00455-023-10600-2</w:t>
      </w:r>
    </w:p>
    <w:p w14:paraId="2B538DA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55. Chiang T, McConnell B, Ruiz AG, et al. Surgical management of type I and II laryngeal cleft in the pediatric population. Int J Pediatr Otorhinolaryngol. 2014;78:2244–2249. doi:10.1016/j.ijporl.2014.10.023</w:t>
      </w:r>
    </w:p>
    <w:p w14:paraId="3F6E848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56. Choi Y, Kim M, Lee B, et al. Development of an ultrasonic doppler sensor-based swallowing monitoring and assessment system. Sensors. 2020;20:. doi:10.3390/s20164529</w:t>
      </w:r>
    </w:p>
    <w:p w14:paraId="0DDE293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57. Chow VLY, Chan JYW, Cheng IKY, et al. Swallowing disorders following free jejunal flap reconstruction of circumferential pharyngeal defect: Does Botox help? Oral Oncol. 2020;104. doi:10.1016/j.oraloncology.2020.104612</w:t>
      </w:r>
    </w:p>
    <w:p w14:paraId="1EE039D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58. Chung HR, Reddy NK, Smith AF, et al. Videofluoroscopic measures of swallowing after partial epiglottidectomy for dysphagia. Otolaryngol Head Neck Surg. 2023;169:317–324. doi:10.1002/ohn.294</w:t>
      </w:r>
    </w:p>
    <w:p w14:paraId="1B16ACB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59. Clark HM, Stierwalt JAG, Tosakulwong N, et al. Dysphagia in progressive supranuclear palsy. Dysphagia. 2020;35:667–676. doi:10.1007/s00455-019-10073-2</w:t>
      </w:r>
    </w:p>
    <w:p w14:paraId="4FEBCAC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60. Cock C, Besanko L, Kritas S, et al. Maximum upper esophageal sphincter (UES) admittance: A non-specific marker of UES dysfunction. Neurogastroenterol Motil. 2016;28:225–233. doi:10.1111/nmo.12714</w:t>
      </w:r>
    </w:p>
    <w:p w14:paraId="23CE40C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61. Coffey MM, Tolley N, Howard D, et al. An investigation of the post-laryngectomy swallow using videofluoroscopy and fiberoptic endoscopic evaluation of swallowing (FEES). Dysphagia. 2018;33:369–379. doi:10.1007/s00455-017-9862-7</w:t>
      </w:r>
    </w:p>
    <w:p w14:paraId="3A97028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62. Cola PC, Afonso D, Baldelin CGR, et al. Oral transit time in children with neurological impairment indicated for gastrostomy. CODAS. 2020;32:. doi:10.1590/2317-1782/20192018248</w:t>
      </w:r>
    </w:p>
    <w:p w14:paraId="4E47F94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63. Corradi AMB, Valarelli LP, Grechi TH, et al. Swallowing evaluation after surgery for obstructive sleep apnea syndrome: Uvulopalatopharyngoplasty vs. expansion pharyngoplasty. Eur Arch Otorhinolaryngol. 2018;275(4):1023–1030. doi:10.1007/s00405-018-4898-3</w:t>
      </w:r>
    </w:p>
    <w:p w14:paraId="3A32567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64. Cosentino G, Tassorelli C, Prunetti P, et al. Anodal transcranial direct current stimulation and intermittent theta-burst stimulation improve deglutition and swallowing reproducibility in elderly patients with dysphagia. Neurogastroenterol Motil. 2020;32. doi:10.1111/nmo.13791</w:t>
      </w:r>
    </w:p>
    <w:p w14:paraId="382C900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65. Costa BOI, Rodrigues DSB, Magalhães DDD, et al. Quantitative ultrasound assessment of hyoid bone displacement during swallowing following thyroidectomy. Dysphagia. 2021;36:659–669. doi:10.1007/s00455-020-10180-5</w:t>
      </w:r>
    </w:p>
    <w:p w14:paraId="209EA3E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66. Curtis JA, Borders JC, Dakin AE, et al. Normative reference values for FEES and VASES: Preliminary data from 39 nondysphagic, community-dwelling adults. J Speech Lang Hear Res. 2023;66:2260–2277. doi:10.1044/2023_JSLHR-23-00132</w:t>
      </w:r>
    </w:p>
    <w:p w14:paraId="0103A23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67. Curtis JA, Molfenter S, Troche MS. Predictors of residue and airway Invasion in Parkinson’s disease. Dysphagia. 2020;35:220–230. doi:10.1007/s00455-019-10014-z</w:t>
      </w:r>
    </w:p>
    <w:p w14:paraId="037255F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68. D'Ottaviano FG, Linhares Filho TA, Andrade HMTd, et al. Fiberoptic endoscopy evaluation of swallowing in patients with amyotrophic lateral sclerosis. Braz J Otorhinolaryngol. 2013;79:349–353. doi:10.5935/1808-8694.20130061</w:t>
      </w:r>
    </w:p>
    <w:p w14:paraId="5458E3F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69. da Silva-Munhoz LF, Bühler KEB, Limongi SCO. Comparison between clinical and videofluoroscopic evaluation of swallowing in children with suspected dysphagia. CODAS. 2015;27:186–192. doi:10.1590/2317-1782/20152014149</w:t>
      </w:r>
    </w:p>
    <w:p w14:paraId="712E23A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70. Dahiya V, Picardo N, Thejesh R, et al. Clinical feeding assessment: An effective screening test to predict aspiration in children in low resource settings. J Pediatr Rehabil Med. 2023;30. doi: 10.3233/PRM-220052.</w:t>
      </w:r>
    </w:p>
    <w:p w14:paraId="121B6D2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71. de Carvalho MI, Gatti M, Guedes RLV, et al. Swallowing, nutritional status, and salivary flow in patients after head and neck cancer treatment, a pilot study. Sci Rep. 2021;11. doi:10.1038/s41598-021-99208-w</w:t>
      </w:r>
    </w:p>
    <w:p w14:paraId="4136575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72. de Castro ACAF, Dedivitis RA, Queija DS, et al. Characterization of swallowing disorders in myasthenia gravis through a fibre-optic endoscopic evaluation. Cesk Slov Neurol Neurochir. 2021;84(4):374–380. doi:10.48095/cccsnn2021374</w:t>
      </w:r>
    </w:p>
    <w:p w14:paraId="5CC181F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73. de Deus Chaves R, Chiarion Sassi F, Davison Mangilli L, et al. Swallowing transit times and valleculae residue in stable chronic obstructive pulmonary disease. BMC Pulm Med. 2014;14:. doi:10.1186/1471-2466-14-62</w:t>
      </w:r>
    </w:p>
    <w:p w14:paraId="06A3C70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74. de Lima Alvarenga EH, Dall’Oglio GP, Murano EZ, et al. Continuum theory: Presbyphagia to dysphagia? Functional assessment of swallowing in the elderly. Eur Arch Otorhinolaryngol. 2018;275:443–449. doi:10.1007/s00405-017-4801-7</w:t>
      </w:r>
    </w:p>
    <w:p w14:paraId="54166F3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75. Deng W, Zhao G, Li Z, et al. Recovery pattern analysis of swallowing function in patients undergoing total glossectomy and hemiglossectomy. Oral Oncol. 2022;132. doi:10.1016/j.oraloncology.2022.105981</w:t>
      </w:r>
    </w:p>
    <w:p w14:paraId="7BB67D5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76. Di Battista M, Grosso M, Da Rio M, et al. Is oropharyngoesophageal scintigraphy the method of choice for assessing dysphagia in systemic sclerosis? A single center experience. Esophagus. 2023;20:567–572. doi:10.1007/s10388-023-00995-0</w:t>
      </w:r>
    </w:p>
    <w:p w14:paraId="22F3F21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77. Dietsch AM, Rowley CB, Solomon NP, et al. Swallowing mechanics associated with artificial airways, bolus properties, and penetration–aspiration status in trauma patients. J Speech Lang Hear Res. 2017;60:2442–2451. doi:10.1044/2017_JSLHR-S-16-0431</w:t>
      </w:r>
    </w:p>
    <w:p w14:paraId="039C054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78. Domenis DR, Granzotti RB, Sobreira CF, et al. Pharyngeal transit in patients with chronic progressive external ophthalmoplegia. Int J Speech Lang Pathol. 2015;17(4):384–389. doi:10.3109/17549507.2014.941935</w:t>
      </w:r>
    </w:p>
    <w:p w14:paraId="1384086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79. Donohue C, Robison R, Steele CM, et al. Profiling number of swallows per bolus and residue in individuals With amyotrophic lateral sclerosis. J Speech Lang Hear Res. 2023;66:3763–3772. doi:10.1044/2023_JSLHR-23-00209</w:t>
      </w:r>
    </w:p>
    <w:p w14:paraId="4B424DE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80. Dotevall H, Tuomi L, Petersson K, et al. Treatment with head-lift exercise in head and neck cancer patients with dysphagia: results from a randomized, controlled trial with flexible endoscopic evaluation of swallowing (FEES). Support Care Cancer. 2023;31. doi:10.1007/s00520-022-07462-z</w:t>
      </w:r>
    </w:p>
    <w:p w14:paraId="49B44B0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81. Dudik JM, Kurosu A, Coyle JL, et al. A statistical analysis of cervical auscultation signals from adults with unsafe airway protection. J Neuroeng Rehabil. 2016;13. doi:10.1186/s12984-015-0110-9</w:t>
      </w:r>
    </w:p>
    <w:p w14:paraId="24AEFB6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82. Dumican M, Watts C. Swallow safety and laryngeal kinematics: A comparison of dysphagia between Parkinson's disease and cerebrovascular accident. J Parkinsons Dis. 2022;12(7):2147–2159. doi:10.3233/JPD-223272</w:t>
      </w:r>
    </w:p>
    <w:p w14:paraId="67F03A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83. Dumican M, Watts C, Drulia T, et al. Dysphagia presentation, airway invasion, and gender differences in a clinically based sample of people with Parkinson's disease. Dysphagia. 2023;38(1):353–366. doi:10.1007/s00455-022-10472-y</w:t>
      </w:r>
    </w:p>
    <w:p w14:paraId="06089E0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84. El Gharib AZG, Berretin-Felix G, Dantas RO, et al. Suprahyoid muscle activity in patients with chagasic megaesophagus. Sci Rep. 2019;9:. doi:10.1038/s41598-019-55402-5</w:t>
      </w:r>
    </w:p>
    <w:p w14:paraId="13A414F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85. Eyigor S, Sezgin B, Karabulut G, et al. Evaluation of swallowing functions in patients with Sjogren's syndrome. Dysphagia. 2017;32(2):271–278. doi:10.1007/s00455-016-9756-0</w:t>
      </w:r>
    </w:p>
    <w:p w14:paraId="18C5231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86. Fattori B, Giusti P, Mancini V, et al. Comparison between videofluoroscopy, fiberoptic endoscopy and scintigraphy for diagnosis of oro-pharyngeal dysphagia. Acta Otorhinolaryngol Ital. 2016;36:395–402. doi:10.14639/0392-100X-829</w:t>
      </w:r>
    </w:p>
    <w:p w14:paraId="5DDF2D1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87. Fattori B, Nacci A, Farneti D, et al. Dysphagia in Parkinson's disease: Pharyngeal manometry and fiberoptic endoscopic evaluation. Auris Nasus Larynx. 2022;49:986–994. doi:10.1016/j.anl.2022.03.016</w:t>
      </w:r>
    </w:p>
    <w:p w14:paraId="55D2F85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88. Fattori B, Siciliano G, Mancini V, et al. Dysphagia in amyotrophic lateral sclerosis: Relationships between disease progression and fiberoptic endoscopic evaluation of swallowing. Auris Nasus Larynx. 2017;44:306–312. doi:10.1016/j.anl.2016.07.002</w:t>
      </w:r>
    </w:p>
    <w:p w14:paraId="198D378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89. Ferris L, Doeltgen S, Cock C, et al. Modulation of pharyngeal swallowing by bolus volume and viscosity. Am J Physiol Gastrointest Liver Physiol. 2021;320:G43–G53. doi:10.1152/AJPGI.00270.2020</w:t>
      </w:r>
    </w:p>
    <w:p w14:paraId="5997484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90. Florie M, Baijens L, Kremer B, et al. Relationship between swallow-specific quality of life and fiber-optic endoscopic evaluation of swallowing findings in patients with head and neck cancer. Head Neck. 2016;38 Suppl 1:E1848–1856. doi:10.1002/hed.24333</w:t>
      </w:r>
    </w:p>
    <w:p w14:paraId="1BBC7B4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91. Florie M, Pilz W, Kremer B, et al. EAT-10 Scores and fiberoptic endoscopic evaluation of swallowing in head and neck cancer patients. Laryngoscope. 2021;131:E45–E51. doi:10.1002/lary.28626</w:t>
      </w:r>
    </w:p>
    <w:p w14:paraId="28D2F29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92. Focht Garand KL, Armeson K, Hill EG, et al. Quantifying oropharyngeal swallowing impairment in response to bolus viscosity. Am J Speech Lang Pathol. 2024;33:460–467. doi:10.1044/2023_AJSLP-23-00082</w:t>
      </w:r>
    </w:p>
    <w:p w14:paraId="3FB17ED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93. Fong R, Rumbach AF, Ward EC. Prevalence and associated impacts of cervical esophageal clearance issues post chemoradiotherapy for nasopharyngeal carcinoma (NPC). Dysphagia. 2020;35(1):99–109. doi:10.1007/s00455-019-10007-y</w:t>
      </w:r>
    </w:p>
    <w:p w14:paraId="175C053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94. Fong R, Sun N, Ng YW, et al. Office-based cricopharyngeus balloon dilation for post chemoirradiation dysphagia in nasopharyngeal carcinoma patients: A pilot study. Dysphagia. 2019;34:540–547. doi:10.1007/s00455-019-10002-3</w:t>
      </w:r>
    </w:p>
    <w:p w14:paraId="4040627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95. Forde CG, Leong C, Chia-Ming E, et al. Fast or slow-foods? Describing natural variations in oral processing characteristics across a wide range of Asian foods. Food Funct. 2017;8. doi:10.1039/c6fo01286h</w:t>
      </w:r>
    </w:p>
    <w:p w14:paraId="010E99D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96. Forde CG, van Kuijk N, Thaler T, et al. Oral processing characteristics of solid savoury meal components, and relationship with food composition, sensory attributes and expected satiation. Appetite. 2013;60:208–219. doi:10.1016/j.appet.2012.09.015</w:t>
      </w:r>
    </w:p>
    <w:p w14:paraId="2830BDC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97. Frakking TT, Chang AB, O’Grady KAF, et al. The use of cervical auscultation to predict oropharyngeal aspiration in children: A randomized controlled trial. Dysphagia. 2016;31:738–748. doi:10.1007/s00455-016-9727-5</w:t>
      </w:r>
    </w:p>
    <w:p w14:paraId="70EE1C2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98. Frakking TT, Chang AB, O’Grady KAF, et al. Acoustic and perceptual profiles of swallowing sounds in children: Normative data for 4–36 Months from a cross-sectional study cohort. Dysphagia. 2017;32:261–270. doi:10.1007/s00455-016-9755-1</w:t>
      </w:r>
    </w:p>
    <w:p w14:paraId="79BA7F0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99. Francesco M, Nicole P, Letizia S, et al. Mixed consistencies in dysphagic patients: A myth to dispel. Dysphagia. 2022;37:116–124. doi:10.1007/s00455-021-10255-x</w:t>
      </w:r>
    </w:p>
    <w:p w14:paraId="02A8585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100. Franco-Guerrero AA, Márquez-Quiroz LC, Valadéz-Jiménez VM, et al. Oropharyngeal dysphagia in early stages of myotonic dystrophy type 1. Muscle Nerve. 2019;60:90–95. doi:10.1002/mus.26485</w:t>
      </w:r>
    </w:p>
    <w:p w14:paraId="0F527E0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101. Frowen J, Drosdowsky A, Perry A, et al. Long-term swallowing after chemoradiotherapy: Prospective study of functional and patient-reported changes over time. Head Neck. 2016;38:E307–E315. doi:10.1002/hed.23991</w:t>
      </w:r>
    </w:p>
    <w:p w14:paraId="6ABA1D7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102. Fujiki RB, Oliver AJ, Malandraki JB, et al. The recline and head lift exercises: A randomized clinical trial comparing biomechanical swallowing outcomes and perceived effort in healthy older adults. J Speech Lang Hear Res. 2019;62:631–643. doi:10.1044/2018_JSLHR-S-18-0117</w:t>
      </w:r>
    </w:p>
    <w:p w14:paraId="0108B12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103. Fullerton A, Mou Y, Silver N, et al. Respiratory-Swallow Pattern Following Total Laryngectomy. Dysphagia. 2020;35(2):321–327. doi:10.1007/s00455-019-10031-y</w:t>
      </w:r>
    </w:p>
    <w:p w14:paraId="457FE52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104. Furuya J, Nakamura S, Ono T, et al. Tongue pressure production while swallowing water and pudding and during dry swallow using a sensor sheet system. J Oral Rehabil. 2012;39:684–691. doi:10.1111/j.1365-2842.2012.02319.x</w:t>
      </w:r>
    </w:p>
    <w:p w14:paraId="5685E7E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105. Gandhi P, Mancopes R, Sutton D, et al. The frequency of atypical and extreme values for pharyngeal phase swallowing measures in mild Parkinson disease compared to healthy aging. J Speech Lang Hear Res. 2021;64:3032–3050. doi:10.1044/2021_JSLHR-21-00084</w:t>
      </w:r>
    </w:p>
    <w:p w14:paraId="6A1F323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106. Gandhi P, Plowman EK, Steele CM. Differences in pharyngeal swallow event timing: Healthy aging, Parkinson’s disease, and amyotrophic lateral sclerosis. Laryngoscope Investig Otolaryngol. 2023;2:466–477. doi:10.1002/lio2.1019</w:t>
      </w:r>
    </w:p>
    <w:p w14:paraId="49D6F80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107. Garand KL, Grissett A, Corbett MM, et al. Quantifying pharyngeal residue across the adult life span: Normative values by age, gender, and swallow task. J Speech Lang Hear Res. 2023;66:820–831. doi:10.1044/2022_JSLHR-22-00413</w:t>
      </w:r>
    </w:p>
    <w:p w14:paraId="56F6AC7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108. Garand KL, Hill EG, Amella E, et al. Bolus airway invasion observed during videofluoroscopy in healthy, non-dysphagic community-dwelling Adults. Ann Otol Rhinol Laryngol. 2019;128(5):426–432. doi:10.1177/0003489419826141</w:t>
      </w:r>
    </w:p>
    <w:p w14:paraId="50423AD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109. Garand KL, Strange C, Paoletti L, et al. Oropharyngeal swallow physiology and swallowing-related quality of life in underweight patients with concomitant advanced chronic obstructive pulmonary disease. Int J Chron Obstruct Pulmon Dis. 2018;13:2663–2671. doi:10.2147/COPD.S165657</w:t>
      </w:r>
    </w:p>
    <w:p w14:paraId="17D881D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110. Garguilo M, Lejaille M, Vaugier I, et al. Noninvasive mechanical ventilation improves breathing-swallowing interaction of ventilator dependent neuromuscular patients: A prospective crossover study. PLoS One. 2016;11. doi:10.1371/journal.pone.0148673</w:t>
      </w:r>
    </w:p>
    <w:p w14:paraId="67F98A8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111. Geeraerts A, Geysen H, Ballet L, et al. Codeine induces increased resistance at the esophagogastric junction but has no effect on motility and bolus flow in the pharynx and upper esophageal sphincter in healthy volunteers: A randomized, double-blind, placebo-controlled, cross-over trial. Neurogastroenterol Motil. 2021;33. doi:10.1111/nmo.14041</w:t>
      </w:r>
    </w:p>
    <w:p w14:paraId="6B44B8E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112. Giannini M, Fiorella ML, Tampoia M, et al. Long-term efficacy of adding intravenous immunoglobulins as treatment of refractory dysphagia related to myositis: A retrospective analysis. Rheumatology (United Kingdom). 2021;60:1234–1242. doi:10.1093/rheumatology/keaa443</w:t>
      </w:r>
    </w:p>
    <w:p w14:paraId="46758D6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113. Gingrich LL, Stierwalt JAG, Hageman CF, et al. Lingual propulsive pressures across consistencies generated by the anteromedian and posteromedian tongue by healthy young adults. J Speech Lang Hear Res. 2012;55:960–972. doi:10.1044/1092-4388(2011/10-0357)</w:t>
      </w:r>
    </w:p>
    <w:p w14:paraId="26BE26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114. Goh AT, Chatonidi G, Choy M, et al. Impact of individual differences in eating rate on oral processing, bolus properties and post-meal glucose responses. Physiol Behav. 2021;238:. doi:10.1016/j.physbeh.2021.113495</w:t>
      </w:r>
    </w:p>
    <w:p w14:paraId="67DF4DA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115. Gölaç H, Atalık G, Gülaçtı A, et al. The discriminant ability of the eating assessment tool-10 questionnaire to detect residue and aspiration in patients with mixed etiology of dysphagia. Eur Arch Otorhinolaryngol. 2023;280:3757–3763. doi:10.1007/s00405-023-07987-x</w:t>
      </w:r>
    </w:p>
    <w:p w14:paraId="7CB4164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116. Goldfield EC, Smith V, Buonomo C, et al. Preterm infant swallowing of thin and nectar-thick liquids: Changes in lingual-palatal coordination and relation to bolus transit. Dysphagia. 2013;28:234–244. doi:10.1007/s00455-012-9440-y</w:t>
      </w:r>
    </w:p>
    <w:p w14:paraId="23C87F1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117. Gómez-Zúñiga RS, Wintergerst A. Effect of food portion on masticatory parameters in 8- to 10-year-old children. J Texture Stud. 2023;54:67–75. doi:10.1111/jtxs.12724</w:t>
      </w:r>
    </w:p>
    <w:p w14:paraId="5DC127D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118. Goto T, Nakamich A, Watanabe M, et al. Influence of food volume per mouthful on chewing and bolus properties. Physiol Behav. 2015;141:58–62. doi:10.1016/j.physbeh.2015.01.007</w:t>
      </w:r>
    </w:p>
    <w:p w14:paraId="5621642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119. Gozzer MM, Cola PC, Onofri SMM, et al. Fiberoptic endoscopic findings of oropharyngeal swallowing of different food consistencies in amyotrophic lateral sclerosis. CODAS. 2020;32:. doi:10.1590/2317-1782/20192018216</w:t>
      </w:r>
    </w:p>
    <w:p w14:paraId="5A0CF7B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120. Graf AE, Mehl A, De Costa A, et al. Assessment of swallowing function in healthy adults while using high-flow nasal cannula. Otolaryngol Head Neck Surg. 2024;170:1372–1379. doi:10.1002/ohn.673</w:t>
      </w:r>
    </w:p>
    <w:p w14:paraId="3E886B3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121. Grammatica A, Piazza C, Montalto N, et al. Compartmental surgery for oral tongue cancer: Objective and subjective functional evaluation. Laryngoscope. 2021;131:E176–E183. doi:10.1002/lary.28627</w:t>
      </w:r>
    </w:p>
    <w:p w14:paraId="128521B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122. Griffin L, Kamarunas E, Smith JB, et al. Dysphonia outperforms voice change as a clinical predictor of dysphagia. Am J Speech Lang Pathol. 2023;32:2676–2690. doi:10.1044/2023_AJSLP-23-00018</w:t>
      </w:r>
    </w:p>
    <w:p w14:paraId="186B97C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123. Gross RD, Gisser R, Cherpes G, et al. Subclinical dysphagia in persons with Prader–Willi syndrome. Am J Med Genet A. 2017;173:384–394. doi:10.1002/ajmg.a.38015</w:t>
      </w:r>
    </w:p>
    <w:p w14:paraId="72AA00B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124. Grosso M, Fattori B, Volterrani D, et al. The value of oropharyngoesophageal scintigraphy in the management of aspiration into the tracheobronchial tree in neurological patients. Rev Esp Med Nucl Imagen Mol. 2015;34:282–286. doi:10.1016/j.remn.2015.03.008</w:t>
      </w:r>
    </w:p>
    <w:p w14:paraId="7EEA1D0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125. Guillen-Sola A, RamÍrez C, Nieto S, et al. Therapeutic approach to dysphagia in post-coVid patients in a rehabilitation unit: A descriptive longitudinal study. Eur J Phys Rehabil Med. 2024;60:373–381. doi:10.23736/S1973-9087.24.08234-0</w:t>
      </w:r>
    </w:p>
    <w:p w14:paraId="7668B0B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126. Gumus T, Makay O, Eyigor S, et al. Objective analysis of swallowing and functional voice outcomes after thyroidectomy: A prospective cohort study. Asian J Surg. 2020;43(1):116–123. doi:10.1016/j.asjsur.2019.04.013</w:t>
      </w:r>
    </w:p>
    <w:p w14:paraId="2950639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127. Gutierres LFS, Montaldi MR, Nascimento WV, et al. Videofluoroscopic evaluation of the impact of capsule size and subject’s age and gender on capsule swallowing. Arq Gastroenterol. 2024;61. doi:10.1590/S0004-2803.246102023-92</w:t>
      </w:r>
    </w:p>
    <w:p w14:paraId="0C08EB6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128. Hammer MJ, Murphy CA, Abrams TM. Airway somatosensory deficits and dysphagia in Parkinson's disease. J Parkinsons Dis. 2013;3:39–44. doi:10.3233/JPD-120161</w:t>
      </w:r>
    </w:p>
    <w:p w14:paraId="4D3C731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129. Hammoudi K, Boiron M, Hernandez N, et al. Acoustic study of pharyngeal swallowing as a function of the volume and consistency of the bolus. Dysphagia. 2014;29(4):468–474. doi:10.1007/s00455-014-9529-6</w:t>
      </w:r>
    </w:p>
    <w:p w14:paraId="2317FF9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130. Hamzic S, Braun T, Butz M, et al. Transesophageal echocardiography – dysphagia risk in acute stroke (TEDRAS): A prospective, blind, randomized and controlled clinical trial. Eur J Neurol. 2021;28:172–181. doi:10.1111/ene.14516</w:t>
      </w:r>
    </w:p>
    <w:p w14:paraId="6AB418B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131. Hao N, Sasa A, Kulvanich S, et al. Coordination of respiration, swallowing, and chewing in healthy young adults. Front Physiol. 2021;12. doi: 10.3389/fphys.2021.696071</w:t>
      </w:r>
    </w:p>
    <w:p w14:paraId="1A2529C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132. Harsha Raj G, Aithal VU, Guddattu V. Comparison of pharyngoesophageal segment biomechanics between persons with total laryngectomy with and without dysphagia using sEMG: A multicentric swallow study. Dysphagia. 2020;35(5):843–852. doi:10.1007/s00455-020-10090-6</w:t>
      </w:r>
    </w:p>
    <w:p w14:paraId="1EC0967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133. Hasegawa M, Kurose M, Okamoto K, et al. Differential response pattern of oropharyngeal pressure by bolus and dry swallows. Dysphagia. 2018;33:83–90. doi:10.1007/s00455-017-9836-9</w:t>
      </w:r>
    </w:p>
    <w:p w14:paraId="5D58ADD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134. Hazelwood RJ, Armeson KE, Hill EG, et al. Identification of swallowing tasks from a modified barium swallow study that optimize the detection of physiological impairment. J Speech Lang Hear Res. 2017;60:1855–1863. doi:10.1044/2017_JSLHR-S-16-0117</w:t>
      </w:r>
    </w:p>
    <w:p w14:paraId="2E11F8C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135. Hedström J, Tuomi L, Andersson M, et al. Within-bolus variability of the penetration-aspiration scale across two subsequent swallows in patients with head and neck cancer. Dysphagia. 2017;32:683–690. doi:10.1007/s00455-017-9814-2</w:t>
      </w:r>
    </w:p>
    <w:p w14:paraId="0282DFA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136. Hennequin M, Mazille MN, Cousson PY, et al. Increasing the number of inter-arch contacts improves mastication in adults with down syndrome: A prospective controlled trial. Physiol Behav. 2015;145:14–21. doi:10.1016/j.physbeh.2015.03.034</w:t>
      </w:r>
    </w:p>
    <w:p w14:paraId="71CB34A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137. Hennessey NW, Fisher G, Ciccone N. Developmental changes in pharyngeal swallowing acoustics: a comparison of adults and children. Logoped Phoniatr Vocol. 2018;43:63–72. doi:10.1080/14015439.2017.1326526</w:t>
      </w:r>
    </w:p>
    <w:p w14:paraId="1BAFD7D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138. Herrmann C, Schradt F, Lindner-Pfleghar B, et al. Pharyngeal electrical stimulation in amyotrophic lateral sclerosis: A pilot study. Ther Adv Neurol Disord. 2022;15. doi: 10.1177/17562864211068394</w:t>
      </w:r>
    </w:p>
    <w:p w14:paraId="43F8368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139. Herzberg EG, Lazarus CL, Steele CM, et al. Swallow event sequencing: Comparing healthy older and younger adults. Dysphagia. 2018;33(6):759–767. doi: 10.1007/s00455-018-9898-3</w:t>
      </w:r>
    </w:p>
    <w:p w14:paraId="2451010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140. Hind J, Divyak E, Zielinski J, et al. Comparison of standardized bariums with varying rheological parameters on swallowing kinematics in males. J Rehabil Res Dev. 2012;49:1399–1404. doi:10.1682/jrrd.2011.09.0180</w:t>
      </w:r>
    </w:p>
    <w:p w14:paraId="52A172E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141. Hino H, Suzuki T, Maekawa K, et al. Effect of bolus property on swallowing dynamics in patients with dysphagia. J Oral Rehabil. 2024;. doi:10.1111/joor.13709</w:t>
      </w:r>
    </w:p>
    <w:p w14:paraId="16C1464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142. Hiraoka T, Palmer JB, Brodsky MB, et al. Food transit duration is associated with the number of stage II transport cycles when eating solid food. Arch Oral Biol. 2017;81:186–191. doi:10.1016/j.archoralbio.2017.05.013</w:t>
      </w:r>
    </w:p>
    <w:p w14:paraId="0FB20D8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143. Hosotsubo M, Magota T, Egusa M, et al. Fabrication of artificial food bolus for evaluation of swallowing. PLoS One. 2016;11. doi:10.1371/journal.pone.0168378</w:t>
      </w:r>
    </w:p>
    <w:p w14:paraId="3CBCBD1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144. Hosseini P, Tadavarthi Y, Martin-Harris B, et al. Functional modules of pharyngeal swallowing mechanics. Laryngoscope Investig Otolaryngol. 2019;4(3):341–346. doi:10.1002/lio2.273</w:t>
      </w:r>
    </w:p>
    <w:p w14:paraId="2FAE1FA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145. Hsiang CC, Chen AWG, Chen CH, et al. Early postoperative oral exercise improves swallowing function among patients with oral cavity cancer: A randomized controlled trial. Ear Nose Throat J. 2019;98(6):E73–E80. doi:10.1177/0145561319839822</w:t>
      </w:r>
    </w:p>
    <w:p w14:paraId="4601016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146. Huang KL, Liu TY, Huang YC, et al. Functional outcome in acute stroke patients with oropharyngeal dysphagia after swallowing therapy. J Stroke Cerebrovasc Dis. 2014;23:2547–2553. doi:10.1016/j.jstrokecerebrovasdis.2014.05.031</w:t>
      </w:r>
    </w:p>
    <w:p w14:paraId="2FA01EB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147. Huang YC, Hsu TW, Leong CP, et al. Clinical effects and differences in neural function connectivity revealed by MRI in subacute hemispheric and brainstem infarction patients with dysphagia after swallowing therapy. Front Neurosci. 2018;12. doi:10.3389/fnins.2018.00488</w:t>
      </w:r>
    </w:p>
    <w:p w14:paraId="2CC833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148. Humbert IA, Sunday KL, Karagiorgos E, et al. Swallowing kinematic differences across frozen, mixed, and ultrathin liquid boluses in healthy adults: Age, sex, and normal variability. J Speech Lang Hear Res. 2018;61:1544–1559. doi:10.1044/2018_JSLHR-S-17-0417</w:t>
      </w:r>
    </w:p>
    <w:p w14:paraId="1773F0E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149. Hung JS, Liang SW, Omari T, et al. Effects of the GABA(B) agonist baclofen on volitional swallowing in normal subjects. Kaohsiung J Med Sci. 2023;39:80–86. doi:10.1002/kjm2.12607</w:t>
      </w:r>
    </w:p>
    <w:p w14:paraId="55ECD0F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150. Huppertz VAL, Pilz W, Pilz Da Cunha G, et al. Malnutrition risk and oropharyngeal dysphagia in the chronic post-stroke phase. Front Neurol. 2022;13. doi:10.3389/fneur.2022.939735</w:t>
      </w:r>
    </w:p>
    <w:p w14:paraId="791861E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151. Hutcheson KA, Lewin JS, Holsinger FC, et al. Long-term functional and survival outcomes after induction chemotherapy and risk-based definitive therapy for locally advanced squamous cell carcinoma of the head and neck. Head Neck. 2014;36:474–480. doi:10.1002/hed.23330</w:t>
      </w:r>
    </w:p>
    <w:p w14:paraId="377199A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152. Iguchi H, Magara J, Nakamura Y, et al. Changes in jaw muscle activity and the physical properties of foods with different textures during chewing behaviors. Physiol Behav. 2015;152:217–224. doi:10.1016/j.physbeh.2015.10.004</w:t>
      </w:r>
    </w:p>
    <w:p w14:paraId="1C20DD3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153. Iguchi T, Ohkubo M, Sugiyama T, et al. Effects of water viscosity and tongue ingestion site on tongue pressure during food bolus propulsion. J Oral Rehabil. 2018;45:371–377. doi:10.1111/joor.12623</w:t>
      </w:r>
    </w:p>
    <w:p w14:paraId="33D31AE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154. Iida T, Matsuo K, Iida Y, et al. Kinematics of lateral tongue-pushing movement in coordination with masticatory jaw movement: An anteroposterior projection videofluorographic study. Physiol Behav. 2023;270:1–8. doi:10.1016/j.physbeh.2023.114315</w:t>
      </w:r>
    </w:p>
    <w:p w14:paraId="44BC429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155. Im I, Kim Y, Oommen E, et al. The effects of bolus consistency in pharyngeal transit duration during normal swallowing. Ann Rehabil Med. 2012;36:220–225. doi:10.5535/arm.2012.36.2.220</w:t>
      </w:r>
    </w:p>
    <w:p w14:paraId="0554AFC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156. Inamoto Y, Saitoh E, Okada S, et al. The effect of bolus viscosity on laryngeal closure in swallowing: Kinematic analysis using 320-row area detector CT. Dysphagia. 2013;28:33–42. doi:10.1007/s00455-012-9410-4</w:t>
      </w:r>
    </w:p>
    <w:p w14:paraId="1CE7E28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157. Inamoto Y, Saitoh E, Palmer JB. Annular flow in the upper esophageal sphincter demonstrated with dynamic 320-row area detector computed tomography. Dysphagia. 2021;36:1088–1094. doi:10.1007/s00455-020-10241-9</w:t>
      </w:r>
    </w:p>
    <w:p w14:paraId="06E9ECE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158. Inokuchi H, Brodsky MB, González-Fernández M, et al. Frequency of stage II oral transport cycles in healthy human. Dysphagia. 2014;29:685–691. doi:10.1007/s00455-014-9562-5</w:t>
      </w:r>
    </w:p>
    <w:p w14:paraId="5730F7B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159. Inokuchi H, González-Fernández M, Matsuo K, et al. Electromyography of swallowing with fine wire intramuscular electrodes in healthy human: Activation sequence of selected hyoid muscles. Dysphagia. 2014;29:713–721. doi:10.1007/s00455-014-9566-1</w:t>
      </w:r>
    </w:p>
    <w:p w14:paraId="0C9BCCA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160. Jakobsen D, Poulsen I, Schultheiss C, et al. The effect of intensified nonverbal facilitation of swallowing on dysphagia after severe acquired brain injury: A randomised controlled pilot study. NeuroRehabilitation. 2019;45:525–536. doi:10.3233/NRE-192901</w:t>
      </w:r>
    </w:p>
    <w:p w14:paraId="5006B36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161. Jestrović I, Dudik JM, Luan B, et al. The effects of increased fluid viscosity on swallowing sounds in healthy adults. Biomed Eng Online. 2013;13. doi:10.1186/1475-925x-12-90</w:t>
      </w:r>
    </w:p>
    <w:p w14:paraId="2C1C571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162. Jimenez-Perez I, Aladro-Gonzalvo AR, Vera Morán A, et al. The effect of the texture of two energy bars on the oral processing of cyclists: An exploratory study. Appl Sci. 2023;13. doi:10.3390/app13042362</w:t>
      </w:r>
    </w:p>
    <w:p w14:paraId="564713A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163. Jung YS, Kim M, Min K, et al. Impact of nasogastric tube feeding on swallowing function in patients with dysphagia: A pilot study. Neurol Asia. 2021;26(4):809–815. doi:10.3310/hta22160</w:t>
      </w:r>
    </w:p>
    <w:p w14:paraId="7FC9F43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164. Kagaya H, Yokoyama M, Saitoh E, et al. Isolated pharyngeal swallow exists during normal human feeding. Tohoku J Exp Med. 2015;236:39–43. doi:10.1620/tjem.236.39</w:t>
      </w:r>
    </w:p>
    <w:p w14:paraId="01ABAA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165. Kamarunas E, Mulheren R, Wong SM, et al. The feasibility of home-based treatment using vibratory stimulation in chronic severe dysphagia. Am J Speech Lang Pathol. 2022;31:2539–2556. doi:10.1044/2022_ajslp-22-00045</w:t>
      </w:r>
    </w:p>
    <w:p w14:paraId="31C01CB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166. Kamarunas EE, McCullough GH, Guidry TJ, et al. Effects of topical nasal anesthetic on fiberoptic endoscopic examination of swallowing with sensory testing (FEESST). Dysphagia. 2014;29:33–43. doi:10.1007/s00455-013-9473-x</w:t>
      </w:r>
    </w:p>
    <w:p w14:paraId="321B9A1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167. Kammer RE, Jones CA, Johnson AM, et al. High-resolution manometry and swallow outcomes after vocal fold injection medialization for unilateral vocal fold paralysis/paresis. Head Neck. 2019;41:2389–2397. doi:10.1002/hed.25715</w:t>
      </w:r>
    </w:p>
    <w:p w14:paraId="67F23E0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168. Kaneoka A, Pisegna JM, Inokuchi H, et al. Relationship between laryngeal sensory deficits, aspiration, and pneumonia in patients with dysphagia. Dysphagia. 2018;33:192–199. doi:10.1007/s00455-017-9845-8</w:t>
      </w:r>
    </w:p>
    <w:p w14:paraId="5341F00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169. Kang MG, Gwak DW, Cho HJ, et al. Effect of leuprorelin in bulbar function of spinal and bulbar muscular atrophy patients: Observational study for 1 year. J Neurol. 2021;268:3344–3351. doi:10.1007/s00415-021-10503-y</w:t>
      </w:r>
    </w:p>
    <w:p w14:paraId="23A113F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170. Kazemeini SM, Campos DP, Rosenthal AJ. Muscle activity during oral processing of sticky-cohesive foods. Physiol Behav. 2021; 242. doi:10.1016/j.physbeh.2021.113580</w:t>
      </w:r>
    </w:p>
    <w:p w14:paraId="75875D5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171. Keage M, Delatycki MB, Dyer J, et al. Changes detected in swallowing function in Friedreich ataxia over 12 months. Neuromuscular Disorders. 2019;29(10):786–793. doi:10.1016/j.nmd.2019.08.013</w:t>
      </w:r>
    </w:p>
    <w:p w14:paraId="6513D8E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172. Keage MJ, Delatycki MB, Gupta I, et al. Dysphagia in Friedreich ataxia. Dysphagia. 2017;32:626–635. doi:10.1007/s00455-017-9804-4</w:t>
      </w:r>
    </w:p>
    <w:p w14:paraId="4575B02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173. Kennedy S, Pisegna JM, Kim K, et al. The pitch glide speech task lacks clinical utility to infer laryngeal lift during swallowing. Int J Speech Lang Pathol. 2020;22:511–516. doi:10.1080/17549507.2019.1679258</w:t>
      </w:r>
    </w:p>
    <w:p w14:paraId="4EF46B0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174. Ketel EC, Aguayo-Mendoza MG, de Wijk RA, et al. Age, gender, ethnicity and eating capability influence oral processing behaviour of liquid, semi-solid and solid foods differently. Food Res Int. 2019;119:143–151. doi:10.1016/j.foodres.2019.01.048</w:t>
      </w:r>
    </w:p>
    <w:p w14:paraId="11BB3D6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175. Khedr EM, Mohamed KO, Soliman RK, et al. The effect of high-frequency repetitive transcranial magnetic stimulation on advancing Parkinson’s disease With dysphagia: Double blind randomized clinical trial. Neurorehabilitation and Neural Repair. 2019;33:442–452. doi:10.1177/1545968319847968</w:t>
      </w:r>
    </w:p>
    <w:p w14:paraId="5730031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176. Kientchockwiwat K, Thitisakulchai P, Tanvijit P. The safety of food and drink consistencies based on a fiberoptic endoscopic evaluation of swallowing study results in stroke patients with dysphagia. Siriraj Medical Journal. 2022;74. doi:10.33192/Smj.2022.48</w:t>
      </w:r>
    </w:p>
    <w:p w14:paraId="67F385A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177. Kim JW, Choi H, Jung J, et al. Risk factors for aspiration pneumonia in patients with dysphagia undergoing videofluoroscopic swallowing studies: A retrospective cohort study. Medicine (Baltimore). 2020;99. doi:10.1097/MD.0000000000023177</w:t>
      </w:r>
    </w:p>
    <w:p w14:paraId="045B8B5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178. Kim M, Kwon D, Choi Y, et al. An analysis of the relationship between hyoid bone movement and ultrasound signal during swallowing: A proof of concept study. Biomedical Signal Processing and Control. 2024;93. doi:10.1016/j.bspc.2024.106142</w:t>
      </w:r>
    </w:p>
    <w:p w14:paraId="46FD9ED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179. Kim SY, Kim TU, Hyun JK, et al. Differences in videofluoroscopic swallowing study (VFSS) findings according to the vascular territory involved in stroke. Dysphagia. 2014;29(4):444–449. doi:10.1007/s00455-014-9525-x</w:t>
      </w:r>
    </w:p>
    <w:p w14:paraId="0AC358D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180. Knigge MA, Thibeault S. Relationship between tongue base region pressures and vallecular clearance. Dysphagia. 2016;31:391–397. doi:10.1007/s00455-015-9688-0</w:t>
      </w:r>
    </w:p>
    <w:p w14:paraId="0334664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181. Ko JY, Kim H, Jang J, et al. Electromyographic activation patterns during swallowing in older adults. Sci Rep. 2021;11:. doi:10.1038/s41598-021-84972-6</w:t>
      </w:r>
    </w:p>
    <w:p w14:paraId="0C43BB4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182. Ko JY, Shin DY, Kim TU, et al. Predictors of aspiration pneumonia in the elderly with swallowing dysfunction: Videofluoroscopic swallowing study. Ann Rehabil Med. 2021;45:99–107. doi: 10.1038/s41598-021-84972-6.</w:t>
      </w:r>
    </w:p>
    <w:p w14:paraId="1D739F2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183. Ko JY, Shin DY, Kim TU, et al. Effectiveness of chin tuck on laryngeal penetration: Quantitative assessment. Dysphagia. 2021;36(6):1054–1062. doi:10.1007/s00455-020-10238-4</w:t>
      </w:r>
    </w:p>
    <w:p w14:paraId="77AE8E2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184. Kohyama K, Gao Z, Ishihara S, et al. Electromyography analysis of natural mastication behavior using varying mouthful quantities of two types of gels. Physiol Behav. 2016;161:174–182. doi:10.1016/j.physbeh.2016.04.030</w:t>
      </w:r>
    </w:p>
    <w:p w14:paraId="7E8F5E3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185. Kraaijenga SAC, van der Molen L, Heemsbergen WD, et al. Hyoid bone displacement as parameter for swallowing impairment in patients treated for advanced head and neck cancer. Eur Arch Otorhinolaryngol. 2017;274(2):597–606. doi:10.1007/s00405-016-4029-y</w:t>
      </w:r>
    </w:p>
    <w:p w14:paraId="5D1D6A1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186. Krasnodębska P, Jarzyńska-Bućko A, Szkiełkowska A, et al. Diagnosis in muscle tension dysphagia. Otolaryngologia Polska. 2020;74:1–7. doi:10.5604/01.3001.0014.1997</w:t>
      </w:r>
    </w:p>
    <w:p w14:paraId="4C7B208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187. Krasnodębska P, Szkiełkowska A, Jarzyńska-Bućko A, et al. Characteristics of swallowing disorders in patients with dysphonia. Otolaryngol Pol. 2019;74:17–22. doi:10.5604/01.3001.0013.4123</w:t>
      </w:r>
    </w:p>
    <w:p w14:paraId="2A9B119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188. Kravietz A, Crosby T, Yang J, et al. A large cohort analysis of epiglottic phenotypes and pharyngeal residue. Ann Otol Rhinol Laryngol. 2024;133:375–383. doi:10.1177/00034894231218892</w:t>
      </w:r>
    </w:p>
    <w:p w14:paraId="19FF8D9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189. Krekeler BN, Yee J, Kurosu A, et al. Effects of device-facilitated lingual strengthening therapy on dysphagia related outcomes in patients post-stroke: A randomized controlled trial. Dysphagia. 2023;38(6):1551–1567. doi:10.1007/s00455-023-10583-0</w:t>
      </w:r>
    </w:p>
    <w:p w14:paraId="7BE71C9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190. Krisciunas GP, Langmore SE, Gomez-Taborda S, et al. The association between endotracheal tube size and aspiration (during flexible endoscopic evaluation of swallowing) in acute respiratory failure survivors. Critical Care Medicine. 2020;48:1604–1611. doi:10.1097/CCM.0000000000004554</w:t>
      </w:r>
    </w:p>
    <w:p w14:paraId="6C3FAA2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191. Kroon RHMJM, Horlings CGC, De Swart BJM, et al. Swallowing, chewing and speaking: Frequently impaired in oculopharyngeal muscular dystrophy. Journal of Neuromuscular Diseases. 2020;7:483–494. doi:10.3233/JND-200511</w:t>
      </w:r>
    </w:p>
    <w:p w14:paraId="6170C03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192. Kulneff L, Sundstedt S, Olofsson K, et al. Deep brain stimulation - effects on swallowing function in Parkinson's disease. Acta Neurologica Scandinavica. 2013;127:329–336. doi:10.1111/ane.12019</w:t>
      </w:r>
    </w:p>
    <w:p w14:paraId="3D8BC50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193. Kwak S, Choo YJ, Choi KT, et al. Safety and efficacy of specially designed texture-modified foods for patients with dysphagia due to brain disorders: A prospective study. Healthcare. 2021;13. doi:10.3390/healthcare9060728</w:t>
      </w:r>
    </w:p>
    <w:p w14:paraId="36130B8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194. Kwong E, Shek PTC, Leung MT, et al. Temporal measures of oropharyngeal swallowing events identified using ultrasound imaging in healthy young adults. PLoS One. 2022;17:. doi:10.1371/journal.pone.0270704</w:t>
      </w:r>
    </w:p>
    <w:p w14:paraId="13AD9C9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195. Kwong SL, Hernandez EG, Winiker K, et al. Effect of topical nasal anesthetic on comfort and swallowing in high-resolution impedance manometry. Laryngoscope. 2022;132:2124–2131. doi:10.1002/lary.30010</w:t>
      </w:r>
    </w:p>
    <w:p w14:paraId="065D64A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196. Kyodo R, Kudo T, Horiuchi A, et al. Pureed diets containing a gelling agent to reduce the risk of aspiration in elderly patients with moderate to severe dysphagia: A randomized, crossover trial. Medicine (Baltimore). 2020;99. doi:10.1097/MD.0000000000021165</w:t>
      </w:r>
    </w:p>
    <w:p w14:paraId="47EB816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197. Labeit B, Ahring S, Boehmer M, et al. Comparison of simultaneous swallowing endoscopy and videofluoroscopy in neurogenic dysphagia. Journal of the American Medical Directors Association. 2022;23:1360–1366. doi:10.1016/j.jamda.2021.09.026</w:t>
      </w:r>
    </w:p>
    <w:p w14:paraId="30CF6C3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198. Labeit B, Claus I, Muhle P, et al. Oropharyngeal freezing and its relation to dysphagia - an analogy to freezing of gait. Parkinsonism Relat Disord. 2020;75:1–6. doi:10.1016/j.parkreldis.2020.05.002</w:t>
      </w:r>
    </w:p>
    <w:p w14:paraId="207724C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199. Labeit B, Muhle P, von Itter J, et al. Clinical determinants and neural correlates of presbyphagia in community-dwelling older adults. Front Aging Neurosci. 2022;14. doi:10.3389/fnagi.2022.912691</w:t>
      </w:r>
    </w:p>
    <w:p w14:paraId="15CA422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200. Lafer M, Achlatis S, Lazarus C, et al. Temporal measurements of deglutition in dynamic magnetic resonance imaging versus videofluoroscopy. Ann Otol Rhinol Laryngol. 2013;122:748–753. doi:10.1177/000348941312201204</w:t>
      </w:r>
    </w:p>
    <w:p w14:paraId="0B59A36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201. Lan Y, Xu G, Dou Z, et al. The correlation between manometric and videofluoroscopic measurements of the swallowing function in brainstem stroke patients with dysphagia. Journal of Clinical Gastroenterology. 2015;49:24–30. doi:10.1097/MCG.0000000000000100</w:t>
      </w:r>
    </w:p>
    <w:p w14:paraId="08DF2F5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202. Lan Y, Xu G, Dou Z, et al. Biomechanical changes in the pharynx and upper esophageal sphincter after modified balloon dilatation in brainstem stroke patients with dysphagia. Neurogastroenterol Motil. 2013;25:e821–e829. doi:10.1111/nmo.12209</w:t>
      </w:r>
    </w:p>
    <w:p w14:paraId="7528E76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203. Lan Y, Xu GQ, Yu F, et al. The effect of bolus consistency on swallowing function measured by high-resolution manometry in healthy volunteers. Laryngoscope. 2017;127:173–178. doi:10.1002/lary.26085</w:t>
      </w:r>
    </w:p>
    <w:p w14:paraId="3D42A52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204. Langdon PC, Mulcahy K, Shepherd KL, et al. Pharyngeal dysphagia in inflammatory muscle diseases resulting from impaired suprahyoid musculature. Dysphagia. 2012;27:408–417. doi:10.1007/s00455-011-9384-7</w:t>
      </w:r>
    </w:p>
    <w:p w14:paraId="40C776E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205. Langmore SE, Krisciunas GP, Warner H, et al. Abnormalities of aspiration and swallowing function in survivors of acute respiratory failure. Dysphagia. 2021;36(5):831–841. doi:10.1007/s00455-020-10199-8</w:t>
      </w:r>
    </w:p>
    <w:p w14:paraId="3F2967A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206. Larsson V, Torisson G, Bulow M, et al. Effects of carbonated liquid on swallowing dysfunction in dementia with lewy bodies and Parkinson's disease dementia. Clin Interv Aging. 2017;12:1215–1222. doi:10.2147/CIA.S140389</w:t>
      </w:r>
    </w:p>
    <w:p w14:paraId="327AC63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207. Lazarus CL, Husaini H, Falciglia D, et al. Effects of exercise on swallowing and tongue strength in patients with oral and oropharyngeal cancer treated with primary radiotherapy with or without chemotherapy. International Journal of Oral and Maxillofacial Surgery. 2014;43:523–530. doi:10.1016/j.ijom.2013.10.023</w:t>
      </w:r>
    </w:p>
    <w:p w14:paraId="2B13F81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208. Leder SB, Suiter DM, Duffey D, et al. Vocal fold immobility and aspiration status: A direct replication study. Dysphagia. 2012;27:265–270. doi:10.1007/s00455-011-9362-0</w:t>
      </w:r>
    </w:p>
    <w:p w14:paraId="382058D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209. Lee BH, Lee JC, Lee SM, et al. Application of automatic kinematic analysis program for the evaluation of dysphagia in ALS patients. Sci Rep. 2019;9. doi:10.1038/s41598-019-52246-x</w:t>
      </w:r>
    </w:p>
    <w:p w14:paraId="4BFD714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210. Lee KL, Kim WH, Kim EJ, et al. Is swallowing of all mixed consistencies dangerous for penetration-aspiration? Am J Phys Med Rehabil. 2012;91:187–192. doi:10.1097/PHM.0b013e318238a0e3</w:t>
      </w:r>
    </w:p>
    <w:p w14:paraId="54EF483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211. Lee SI, Yoo JY, Kim M, et al. Changes of timing variables in swallowing of boluses with different viscosities in patients with dysphagia. Arch Phys Med Rehabil. 2013;94:120–126. doi:10.1016/j.apmr.2012.07.016</w:t>
      </w:r>
    </w:p>
    <w:p w14:paraId="7AB36D1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212. Lee SM, Lee BH, Kim JW, et al. Effects of chin-down maneuver on pharyngeal pressure generation according to dysphagia and viscosity. Ann Rehabil Med. 2020;44:493–501. doi:10.5535/arm.20016</w:t>
      </w:r>
    </w:p>
    <w:p w14:paraId="506D84F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213. Lee SY, Park D, Jang J, et al. Compensatory effects of sequential 4-channel neuromuscular electrical stimulation for the treatment of acute, subacute, and chronic dysphagia in a prospective, double-blinded randomized clinical trial. Neurorehabilitation and Neural Repair. 2021;35:801–811. doi:10.1177/15459683211029891</w:t>
      </w:r>
    </w:p>
    <w:p w14:paraId="1491ED3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214. Lenell C, Brates D, Pearson WG, et al. Variations in healthy swallowing mechanics during various bolus conditions using computational analysis of swallowing mechanics (CASM). Dysphagia. 2020;35:272–280. doi:10.1007/s00455-019-10026-9</w:t>
      </w:r>
    </w:p>
    <w:p w14:paraId="3D4529E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215. Leonard R, Miles A, Bakker L, et al. A novel quantitative measure of pharyngeal shortening. Laryngoscope. 2024;134:2121–2126. doi:10.1002/lary.31149</w:t>
      </w:r>
    </w:p>
    <w:p w14:paraId="21651FC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216. Leonard RJ, White C, McKenzie S, et al. Effects of bolus rheology on aspiration in patients with dysphagia. Journal of the Academy of Nutrition and Dietetics. 2014;114:590–594. doi:10.1016/j.jand.2013.07.037</w:t>
      </w:r>
    </w:p>
    <w:p w14:paraId="3F80796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217. Lester S, Langmore SE, Lintzenich CR, et al. The effects of topical anesthetic on swallowing during nasoendoscopy. Laryngoscope. 2013;123:1704–1708. doi:10.1002/lary.23899</w:t>
      </w:r>
    </w:p>
    <w:p w14:paraId="3EBEE83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218. Leung KKY, Fong R, Zhu M, et al. High-density surface electromyography for swallowing evaluation in post-radiation dysphagia. Laryngoscope. 2023;133(11):2920–2928. doi:10.1002/lary.30679</w:t>
      </w:r>
    </w:p>
    <w:p w14:paraId="3CDE965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219. Li L, Li Y, Huang R, et al. The value of adding transcutaneous neuromuscular electrical stimulation (VitalStim) to traditional therapy for post-stroke dysphagia: A randomized controlled trial. Eur J Phys Rehabil Med. 2015;51:71–78. doi:10.1097/TGR.0000000000000195</w:t>
      </w:r>
    </w:p>
    <w:p w14:paraId="423A48B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220. Li TH, Tseng WH, Chiu HL, et al. Proactive swallowing rehabilitation in patients with recurrent oral cancer receiving salvage treatment: Long-term swallowing-related outcomes. Dysphagia. 2023;38:954–964. doi:10.1007/s00455-022-10521-6</w:t>
      </w:r>
    </w:p>
    <w:p w14:paraId="51048EC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221. Liao K, Ulualp SO. Spectrum of swallowing abnormalities in children with type I laryngeal cleft. Int J Pediatr Otorhinolaryngol. 2022;163. doi:10.1016/j.ijporl.2022.111380</w:t>
      </w:r>
    </w:p>
    <w:p w14:paraId="36E5B97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222. Lim J, Lee JC, Jang EG, et al. Kinematic mechanism of the rehabilitative effect of 4-channel NMES: Post-hoc analysis of a prospective randomized controlled study. Sci Rep. 2023;13:. doi:10.1038/s41598-023-40359-3</w:t>
      </w:r>
    </w:p>
    <w:p w14:paraId="2608CFE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223. Lim KB, Lee HJ, Yoo J, et al. Effect of low-frequency rTMS and NMES on subacute unilateral hemispheric stroke with dysphagia. Ann Rehabil Med. 2014;38:592–602. doi:10.5535/arm.2014.38.5.592</w:t>
      </w:r>
    </w:p>
    <w:p w14:paraId="3B1D1B0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224. Lin C-W, Chang Y-C, Chen W-S, et al. Prolonged swallowing time in dysphagic Parkinsonism patients with aspiration pneumonia. Archives of Physical Medicine and Rehabilitation. 2012;93:2080–2084. doi:10.1016/j.apmr.2012.07.010</w:t>
      </w:r>
    </w:p>
    <w:p w14:paraId="66A1A46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225. Lin T, Xu G, Dou Z, et al. Effect of bolus volume on pharyngeal swallowing assessed by high-resolution manometry. Physiol Behav. 2014;128:46–51. doi:10.1016/j.physbeh.2014.01.030</w:t>
      </w:r>
    </w:p>
    <w:p w14:paraId="622D796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226. Lin Y, Wan G, Wu H, et al. The sensitivity and specificity of the modified volume-viscosity swallow test for dysphagia screening among neurological patients. Front Neurol. 2022;13. doi:10.3389/fneur.2022.961893</w:t>
      </w:r>
    </w:p>
    <w:p w14:paraId="0597712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227. Linas N, Peyron MA, Cousson PY, et al. Comprehensive dental treatment under general anesthesia improves mastication capability in children with early childhood caries—a one-year follow-up study. Int J Environ Res Public Health. 2023;20:. doi:10.3390/ijerph20010677</w:t>
      </w:r>
    </w:p>
    <w:p w14:paraId="1DDC03D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228. Linas N, Peyron MA, Eschevins C, et al. Natural food mastication capability in preschool children according to their oral condition: A preliminary study. J Texture Stud. 2020;51:755–765. doi:10.1111/jtxs.12536</w:t>
      </w:r>
    </w:p>
    <w:p w14:paraId="1C8C047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229. Linas N, Peyron MA, Hennequin M, et al. Masticatory behavior for different solid foods in preschool children according to their oral state. J Texture Stud. 2019;50:224–236. doi:10.1111/jtxs.12387</w:t>
      </w:r>
    </w:p>
    <w:p w14:paraId="4293BC9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230. Liou HH, Hsieh MHC, Tsai SH, et al. Relationship between pharyngeal residues assessed by bolus residue scale or normalized residue ratio SCALE and risk of aspiration in head and neck cancer who underwent videofluoroscopy. Dysphagia. 2023;38(2):700–710. doi:10.1007/s00455-022-10501-w</w:t>
      </w:r>
    </w:p>
    <w:p w14:paraId="38B5EC2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231. Liou HH, Tsai SW, Hsieh MHC, et al. Evaluation of objective and subjective swallowing outcomes in patients with dysphagia treated for head and neck cancer. Journal of Clinical Medicine. 2022;11(3). doi:10.3390/jcm11030692</w:t>
      </w:r>
    </w:p>
    <w:p w14:paraId="3630859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232. Liu DX, Ren X, Asimi S, et al. Changes in oral processing parameters of three rice varieties. J Texture Stud. 2020;51(4):622–630. doi:10.1111/jtxs.12526</w:t>
      </w:r>
    </w:p>
    <w:p w14:paraId="7E81659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233. Liu T, Feng H, Liang Z, et al. Analysis of swallowing and voice-related quality of life in patients after supracricoid partial laryngectomy. Eur Arch Otorhinolaryngol. 2024;281:1857–1864. doi:10.1007/s00405-023-08416-9</w:t>
      </w:r>
    </w:p>
    <w:p w14:paraId="45224D9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234. Logan AM, Gawlik AE, Aden JK, et al. Pharyngoesophageal segment distention across volumes and pathology. J Speech Lang Hear Res. 2020;63:3594–3599. doi:10.1044/2020_jslhr-19-00401</w:t>
      </w:r>
    </w:p>
    <w:p w14:paraId="50081CB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235. Long YB, Wu XP. A randomized controlled trail of combination therapy of neuromuscular electrical stimulation and balloon dilatation in the treatment of radiation-induced dysphagia in nasopharyngeal carcinoma patients. Disability and Rehabilitation. 2013;35:450–454. doi:10.3109/09638288.2012.697250</w:t>
      </w:r>
    </w:p>
    <w:p w14:paraId="6243219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236. Magalhães IB, Pereira LJ, Andrade AS, et al. The influence of fixed orthodontic appliances on masticatory and swallowing threshold performances. J Oral Rehabil. 2014;41:897–903. doi:10.1111/joor.12218</w:t>
      </w:r>
    </w:p>
    <w:p w14:paraId="446BF6F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237. Mancopes R, Peladeau-Pigeon M, Barrett E, et al. Quantitative videofluoroscopic analysis of swallowing physiology and function in individuals with chronic obstructive pulmonary disease. J Speech Lang Hear Res. 2020;63:3643–3658. doi:10.1044/2020_JSLHR-20-00154</w:t>
      </w:r>
    </w:p>
    <w:p w14:paraId="7CEE578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238. Mancopes R, Steele CM. Videofluoroscopic measures of swallowing in people with stable COPD compared to healthy aging. CODAS. 2024;36:1–6. doi:10.1590/2317-1782/20232022260</w:t>
      </w:r>
    </w:p>
    <w:p w14:paraId="5EA0517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239. Manda Y, Kodama N, Maeda N, et al. Effect of food properties and chewing condition on the electromyographic activity of the posterior tongue. J Oral Rehabil. 2019;46:511–517. doi:10.1111/joor.12774</w:t>
      </w:r>
    </w:p>
    <w:p w14:paraId="476265C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240. Manning M, Casey V, Conway R, et al. A study of healthy adults’ oro-lingual effort during swallowing using OroPress, a new portable wireless measurement tool. Dysphagia. 2016;31:442–451. doi:10.1007/s00455-016-9697-7</w:t>
      </w:r>
    </w:p>
    <w:p w14:paraId="24E830F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241. Maria Wintergerst A, Lucila Garza-Ballesteros A, Carlos Garnica-Palazuelos J. Bolus size for the evaluation of masticatory performance in 8–10-year-old children: A pilot study. Cranio. 2016;34:257–263. doi:10.1179/2151090315Y.0000000024</w:t>
      </w:r>
    </w:p>
    <w:p w14:paraId="7AAAE56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242. Martell P, Skogar O, Bergstrom L. Swallowing characteristics and water swallow capacity in patients with Parkinsonism. Dysphagia. 2024;39(6):1078-1089. doi:10.1007/s00455-024-10685-3</w:t>
      </w:r>
    </w:p>
    <w:p w14:paraId="09301F7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243. Marvin S, Gustafson S, Thibeault S. Detecting aspiration and penetration using FEES with and without food dye. Dysphagia. 2016;31(4):498–504. doi:10.1007/s00455-016-9703-0</w:t>
      </w:r>
    </w:p>
    <w:p w14:paraId="16344A7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244. Masuda H, Ueha R, Sato T, et al. Risk factors for aspiration pneumonia after receiving liquid-thickening recommendations. Otolaryngol Head Neck Surg. 2022;167:125–132. doi:10.1177/01945998211049114</w:t>
      </w:r>
    </w:p>
    <w:p w14:paraId="6F1A559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245. Matos KC, de Oliveira VF, de Oliveira PLC, et al. Combined conventional speech therapy and functional electrical stimulation in acute stroke patients with dysphagia: A randomized controlled trial. BMC Neurology. 2022;22(1). doi:10.1186/s12883-022-02753-8</w:t>
      </w:r>
    </w:p>
    <w:p w14:paraId="6052FDF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246. Matsuo K, Kawase S, Wakimoto N, et al. Effect of viscosity on food transport and swallow initiation during eating of two-phase food in normal young adults: A pilot study. Dysphagia. 2013;28:63–68. doi:10.1007/s00455-012-9413-1</w:t>
      </w:r>
    </w:p>
    <w:p w14:paraId="6AE6B54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247. Mattos C, Phinizy P, Duffy KL, et al. Clinical predictors of laryngotracheoesophageal clefts and tracheoesophageal fistulae in children with dysphagia. Pediatr Pulmonol. 2021;56:3792–3795. doi:10.1002/ppul.25628</w:t>
      </w:r>
    </w:p>
    <w:p w14:paraId="2FC5C4A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248. McArthur BM, Mattes RD, Considine RV. Mastication of nuts under realistic eating conditions: Implications for energy balance. Nutrients. 2018;10. doi:10.3390/nu10060710</w:t>
      </w:r>
    </w:p>
    <w:p w14:paraId="5117172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249. McFarland DH, Martin-Harris B, Fortin AJ, et al. Respiratory-swallowing coordination in normal subjects: Lung volume at swallowing initiation. Respir Physiol Neurobiol. 2016;234:89–96. doi:10.1016/j.resp.2016.09.004</w:t>
      </w:r>
    </w:p>
    <w:p w14:paraId="7DE0527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250. McGrattan KE, McGhee H, DeToma A, et al. Dysphagia in infants with single ventricle anatomy following stage 1 palliation: Physiologic correlates and response to treatment. Congenit Heart Dis. 2017;12(3):382–388. doi:10.1111/chd.12456</w:t>
      </w:r>
    </w:p>
    <w:p w14:paraId="21C87F8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251. Mialland A, Atallah I, Bonvilain A. Stylohyoid and posterior digastric recruitment pattern evaluation in swallowing and non-swallowing tasks. IRBM. 2024;45. doi:10.1016/j.irbm.2024.100823</w:t>
      </w:r>
    </w:p>
    <w:p w14:paraId="23D0AE2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252. Mialland A, Kinsiklounon B, Tian G, et al. Submental MechanoMyoGraphy (MMG) to characterize the swallowing signature. IRBM. 2022;43(5):414–421. doi:10.1016/j.irbm.2021.05.001</w:t>
      </w:r>
    </w:p>
    <w:p w14:paraId="17B6587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253. Mikushi S, Seki S, Brodsky MB, et al. Stage I intraoral food transport: Effects of food consistency and initial bolus size. Arch Oral Biol. 2014;59:379–385. doi:10.1016/j.archoralbio.2014.01.002</w:t>
      </w:r>
    </w:p>
    <w:p w14:paraId="496D044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254. Miles A, McFarlane M, Scott S, et al. Cough response to aspiration in thin and thick fluids during FEES in hospitalized inpatients. Int J Lang Commun Disord. 2018;53:909–918. doi:10.1111/1460-6984.12401</w:t>
      </w:r>
    </w:p>
    <w:p w14:paraId="764A0E5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255. Mishra A, Malandraki GA, Sheppard JJ, et al. Voluntary cough and clinical swallow function in children with spastic cerebral palsy and healthy controls. Dysphagia. 2019;34(2):145–154. doi:10.1007/s00455-018-9933-4</w:t>
      </w:r>
    </w:p>
    <w:p w14:paraId="121493F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256. Mituuti CT, Alves da Silva Arone MM, Rosa RR, et al. Effects of sensory neuromuscular electrical stimulation on swallowing in the elderly affected by stroke a pilot study. Top Geriatr Rehabil. 2018;34(1):71–81. doi:10.3233/NRE-182526</w:t>
      </w:r>
    </w:p>
    <w:p w14:paraId="3A7E4B4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257. Moda I, Ricz HMA, Aguiar-Ricz LN, et al. Swallowing in patients with laryngitis. Arq Gastroenterol. 2018;55:50–54. doi:10.1590/s0004-2803.201800000-10</w:t>
      </w:r>
    </w:p>
    <w:p w14:paraId="1A1A614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258. Mohannak N, Pattison G, Radich B, et al. Exploring the efficacy of the expiratory muscle strength trainer to improve swallowing in inclusion body myositis: A pilot study. Neuromuscular Disorders. 2020;30:294–300. doi:10.1016/j.nmd.2020.02.010</w:t>
      </w:r>
    </w:p>
    <w:p w14:paraId="0113622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259. Molfenter SM, Leigh C, Steele CM. Event sequence variability in healthy swallowing: Building on previous findings. Dysphagia. 2014;29(2):234–242. doi:10.1007/s00455-013-9501-x</w:t>
      </w:r>
    </w:p>
    <w:p w14:paraId="5FAA095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260. Molfenter SM, Lenell C, Lazarus CL. Volumetric changes to the pharynx in healthy aging: Consequence for pharyngeal swallow mechanics and function. Dysphagia. 2019;34:129–137. doi:10.1007/s00455-018-9924-5</w:t>
      </w:r>
    </w:p>
    <w:p w14:paraId="1935939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261. Montaldi MR, Dantas RO. Swallowing evaluation in patients without restriction of oral food three months after ischemic stroke. NeuroRehabilitation. 2019;45:37–43. doi:10.3233/NRE-192775</w:t>
      </w:r>
    </w:p>
    <w:p w14:paraId="376C019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262. Mori K, Manda Y, Kitagawa K, et al. Coordination of surface electromyography activity in the posterior tongue region during mastication of differently textured foods. J Oral Rehabil. 2021;48:403–410. doi:10.1111/joor.13135</w:t>
      </w:r>
    </w:p>
    <w:p w14:paraId="4586C43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263. Moriniere S, Gorphe P, Espitalier F, et al. Assessment of swallowing function after circumferential pharyngolaryngectomy: A multicenter study by the GETTEC group. Eur Ann Otorhinolaryngol Head Neck Dis. 2019;136:3–5. doi:10.1016/j.anorl.2018.10.010</w:t>
      </w:r>
    </w:p>
    <w:p w14:paraId="5E23610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264. Morishita M, Okubo M, Sekine T. Effects of carbonated thickened drinks on pharyngeal swallowing with a flexible endoscopic evaluation of swallowing in older patients with oropharyngeal dysphagia. Healthcare. 2022;10. doi:10.3390/healthcare10091769</w:t>
      </w:r>
    </w:p>
    <w:p w14:paraId="0E4F2A7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265. Moritaka H, Mineki M, Kobayashi M, et al. Effect of carrot puree in vegetable juice on linguapalatal swallowing pressure. J Texture Stud. 2018;49:240–246. doi:10.1111/jtxs.12315</w:t>
      </w:r>
    </w:p>
    <w:p w14:paraId="0E1C923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266. Mortensen HR, Jensen K, Aksglæde K, et al. Late dysphagia after IMRT for head and neck cancer and correlation with dose-volume parameters. Radiother Oncol. 2013;107:288–294. doi:10.1016/j.radonc.2013.06.001</w:t>
      </w:r>
    </w:p>
    <w:p w14:paraId="7921F4E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267. Movahedi F, Kurosu A, Coyle JL, et al. A comparison between swallowing sounds and vibrations in patients with dysphagia. Comput Methods Programs Biomed. 2017;144:179–187. doi:10.1016/j.cmpb.2017.03.009</w:t>
      </w:r>
    </w:p>
    <w:p w14:paraId="26BE746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268. Mozzanica F, Lorusso R, Robotti C, et al. Effect of age, sex, bolus volume, and bolus consistency on whiteout duration in healthy subjects during FEES. Dysphagia. 2019;34:192–200. doi:10.1007/s00455-018-9961-0</w:t>
      </w:r>
    </w:p>
    <w:p w14:paraId="7385605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269. Mozzanica F, Pizzorni N, Eplite A, et al. Swallowing characteristics in patients with multiple system atrophy analyzed using FEES examination. Dysphagia. 2024;39:387–397. doi:10.1007/s00455-023-10619-5</w:t>
      </w:r>
    </w:p>
    <w:p w14:paraId="5ECD2B1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270. Murakami K, Hori K, Minagi Y, et al. Coordination of tongue pressure production, hyoid movement, and suprahyoid muscle activity during squeezing of gels. Arch Oral Biol. 2020;111. doi:10.1016/j.archoralbio.2019.104631</w:t>
      </w:r>
    </w:p>
    <w:p w14:paraId="7FFBE52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271. Myung JH, Pyun SB. Effect of oral apraxia on dysphagia in patients with subacute stroke. Dysphagia. 2023;38:227–235. doi:10.1007/s00455-022-10458-w</w:t>
      </w:r>
    </w:p>
    <w:p w14:paraId="7D92FF6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272. Nagy A, Molfenter SM, Péladeau-Pigeon M, et al. The effect of bolus consistency on hyoid velocity in healthy swallowing. Dysphagia. 2015;30:445–451. doi:10.1007/s00455-015-9621-6</w:t>
      </w:r>
    </w:p>
    <w:p w14:paraId="0B5D048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273. Nagy A, Peladeau-Pigeon M, Valenzano TJ, et al. The effectiveness of the head-turn-plus-chin-down maneuver for eliminating vallecular residue. CODAS. 2016;28:113–117. doi:10.1590/2317-1782/20162015286</w:t>
      </w:r>
    </w:p>
    <w:p w14:paraId="0A83C7D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274. Nakagawa K, Yoshimi K, Yoshizawa A, et al. The safety of oral rehydration solution jelly for water and electrolyte intake in patients with dysphagia. Ther Clin Risk Manag. 2023;19:219–227. doi:10.2147/TCRM.S398281</w:t>
      </w:r>
    </w:p>
    <w:p w14:paraId="7C95AB2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275. Nakamura Y, Nakajima T, Sasakawa Y, et al. Influence of food adhesivity and quantity in lip closing pressure. Physiol Behav. 2020;214. doi:10.1016/j.physbeh.2019.112743</w:t>
      </w:r>
    </w:p>
    <w:p w14:paraId="14D3547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276. Nakao Y, Onishi H, Haji T, et al. Impact of thickened liquids on laryngeal movement velocity in patients with dysphagia. Dysphagia. 2022;37:207–215. doi:10.1007/s00455-021-10267-7</w:t>
      </w:r>
    </w:p>
    <w:p w14:paraId="0A5CA26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277. Narawane A, Eng J, Rappazzo C, et al. Airway protection and patterns of dysphagia in infants with down syndrome: Videofluoroscopic swallow study findings &amp; correlations. Int J Pediatr Otorhinolaryngol. 2020;132. doi:10.1016/j.ijporl.2020.109908</w:t>
      </w:r>
    </w:p>
    <w:p w14:paraId="1ECF8B0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278. Narawane A, Rappazzo C, Hawney J, et al. Videofluoroscopic swallow study findings and correlations in infancy of children with cerebral palsy. Ann Otol Rhinol Laryngol. 2022;131:478–484. doi:10.1177/00034894211026741</w:t>
      </w:r>
    </w:p>
    <w:p w14:paraId="1B15998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279. Nascimento WV, Arreola V, Sanz P, et al. Pathophysiology of swallowing dysfunction in Oarkinson disease and lack of dopaminergic impact on the swallow function and on the effect of thickening agents. Brain Sciences. 2020;10(9):1–16. doi:10.3390/brainsci10090609</w:t>
      </w:r>
    </w:p>
    <w:p w14:paraId="26AFD84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280. Nawka T, Sittel C, Gugatschka M, et al. Permanent transoral surgery of bilateral vocal fold paralysis: A prospective multi-center trial. Laryngoscope. 2015;125:1401–1408. doi:10.1002/lary.25137</w:t>
      </w:r>
    </w:p>
    <w:p w14:paraId="430864B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281. Nip ISB, Wilson EM, Kearney L. Spatial characteristics of jaw movements during chewing in children with cerebral palsy: A pilot study. Dysphagia. 2018;33:33–40. doi:10.1007/s00455-017-9830-2</w:t>
      </w:r>
    </w:p>
    <w:p w14:paraId="340CD3A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282. Nollet JL, Cajander P, Ferris LF, et al. Pharyngo-esophageal modulatory swallow responses to bolus volume and viscosity across time. Laryngoscope. 2022;132(9):1817–1824. doi:10.1002/lary.29987</w:t>
      </w:r>
    </w:p>
    <w:p w14:paraId="6B200A8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283. Nordio S, Arcara G, Berta G, et al. Biofeedback as an adjunctive treatment for post-stroke dysphagia: A pilot-randomized controlled trial. Dysphagia. 2022;37:1207–1216. doi:10.1007/s00455-021-10385-2</w:t>
      </w:r>
    </w:p>
    <w:p w14:paraId="4740AF9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284. Nordio S, Di Stadio A, Koch I, et al. The correlation between pharyngeal residue, penetration/aspiration and nutritional modality: A cross-sectional study in patients with neurogenic dysphagia. Acta Otorhinolaryngol Ital. 2020;40:38–43. doi:10.14639/0392-100X-2136</w:t>
      </w:r>
    </w:p>
    <w:p w14:paraId="179DFA7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285. O'Dea MB, Langmore SE, Krisciunas GP, et al. Effect of lidocaine on swallowing during FEES in patients with Dysphagia. Ann Otol Rhinol Laryngol. 2015;124:537–544. doi:10.1177/0003489415570935</w:t>
      </w:r>
    </w:p>
    <w:p w14:paraId="229E9EA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286. Oh E, Jee S, Kim BK, et al. A new swallowing supplement for dysphagia in patients with Parkinson's disease. Neurological Sciences. 2021;42(5):1949–1958. doi:10.1007/s10072-020-04730-w</w:t>
      </w:r>
    </w:p>
    <w:p w14:paraId="3A39CE2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287. Omara A, Afsah O, Darwish M, et al. The effect of bolus taste variability on swallowing in normal subjects versus stroke patients. Egypt J Ear Nose Throat Allied Sci. 2021;22:1–14. doi:10.21608/ejentas.2021.48965.1278</w:t>
      </w:r>
    </w:p>
    <w:p w14:paraId="56A590D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288. Omari TI, Dejaeger E, Tack J, et al. Effect of bolus volume and viscosity on pharyngeal automated impedance manometry variables derived for broad dysphagia patients. Dysphagia. 2013;28:146–152. doi:10.1007/s00455-012-9423-z</w:t>
      </w:r>
    </w:p>
    <w:p w14:paraId="28B1910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289. Omari TI, Wauters L, Rommel N, et al. Oesophageal pressure-flow metrics in relation to bolus volume, bolus consistency, and bolus perception. United European Gastroenterol J. 2013;1:249–258. doi:10.1177/2050640613492157</w:t>
      </w:r>
    </w:p>
    <w:p w14:paraId="3F163B2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290. Oncescu Moraru AM, Preoteasa CT, Preoteasa E. Masticatory function parameters in patients with removable dental prosthesis. J Med Life.. 2019;12:43–48. doi:10.25122/jml-2019-0028</w:t>
      </w:r>
    </w:p>
    <w:p w14:paraId="52E7E6B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291. Ortega O, Bolívar-Prados M, Arreola V, et al. Therapeutic effect, rheological properties and α-amylase resistance of a new mixed starch and xanthan gum thickener on four different phenotypes of patients with oropharyngeal dysphagia. Nutrients. 2020;12:1–18. doi:10.3390/nu12061873</w:t>
      </w:r>
    </w:p>
    <w:p w14:paraId="258AC00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292. Ortega O, Rofes L, Martin A, et al. A comparative study between two sensory stimulation strategies after two weeks treatment on older patients with oropharyngeal dysphagia. Dysphagia. 2016;31(5):706–716. doi:10.1007/s00455-016-9736-4</w:t>
      </w:r>
    </w:p>
    <w:p w14:paraId="56F5228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293. Ozkaya Akagunduz O, Eyigor S, Kirakli E, et al. Radiation-associated chronic dysphagia assessment by flexible endoscopic evaluation of swallowing (FEES) in head and neck cancer patients: Swallowing-related structures and radiation dose-volume effect. Ann Otol Rhinol Laryngol. 2019;128:73–84. doi:10.1177/0003489418804260</w:t>
      </w:r>
    </w:p>
    <w:p w14:paraId="1539B2E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294. Ozsurekci C, Arslan SS, Demir N, et al. Timing of dysphagia screening in Alzheimer's dementia. JPEN J Parenter Enteral Nutr. 2020;44:516–524. doi:10.1002/jpen.1664</w:t>
      </w:r>
    </w:p>
    <w:p w14:paraId="61908A4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295. Ozturk K, Turhal G, Durusoy D, et al. Long-term swallowing outcomes of radiotherapy and transoral laser microsurgery for T1 glottic cancer treatment.Clin Otolaryngol. 2021;46:340–346. doi:10.1111/coa.13674</w:t>
      </w:r>
    </w:p>
    <w:p w14:paraId="0114A6A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296. Park BH, Seo JH, Ko MH, et al. Effect of 45° reclining sitting posture on swallowing in patients with dysphagia. Yonsei Med J. 2013;54:1137–1142. doi:10.3349/ymj.2013.54.5.1137</w:t>
      </w:r>
    </w:p>
    <w:p w14:paraId="1049E94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297. Park D, Suh JH, Kim H, et al. The effect of four-channel neuromuscular electrical stimulation on swallowing kinematics and pressures: A pilot study. Am J Phys Med Rehabil. 2019;98:1051–1059. doi:10.1097/PHM.0000000000001241</w:t>
      </w:r>
    </w:p>
    <w:p w14:paraId="7E86FA6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298. Park HS, Kim DK, Lee SY, et al. The effect of aging on mastication and swallowing parameters according to the hardness change of solid food. J Texture Stud. 2017;48:362–369. doi:10.1111/jtxs.12249</w:t>
      </w:r>
    </w:p>
    <w:p w14:paraId="1B40E37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299. Park J, Park YG, Lee J, et al. Clinical association between nasopharyngeal reflux and aspiration. Dysphagia. 2021;36(5):891–901. doi:10.1007/s00455-020-10206-y</w:t>
      </w:r>
    </w:p>
    <w:p w14:paraId="2363750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300. Park JS, Oh DH, Chang MY, et al. Effects of expiratory muscle strength training on oropharyngeal dysphagia in subacute stroke patients: A randomised controlled trial. J Oral Rehabil. 2016;43:364–372. doi:10.1111/joor.12382</w:t>
      </w:r>
    </w:p>
    <w:p w14:paraId="398E09E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301. Park T, Kim Y, McCullough G. Oropharyngeal transition of the bolus in post-stroke patients. Am J Phys Med Rehabil. 2013;92:320–326. doi:10.1097/PHM.0b013e318269d935</w:t>
      </w:r>
    </w:p>
    <w:p w14:paraId="191EB3C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302. Park T, Kim Y, Oh BM. Laryngeal closure during swallowing in stroke survivors with cortical or subcortical lesion. J Stroke Cerebrovasc Dis. 2017;26:1766–1772. doi:10.1016/j.jstrokecerebrovasdis.2017.04.003</w:t>
      </w:r>
    </w:p>
    <w:p w14:paraId="49E33FA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303. Park WY, Lee TH, Ham NS, et al. Adding endoscopist-directed flexible endoscopic evaluation of swallowing to the videofluoroscopic swallowing study increased the detection rates of penetration, aspiration, and pharyngeal residue. Gut Liver. 2015;9:623–628. doi:10.5009/gnl14147</w:t>
      </w:r>
    </w:p>
    <w:p w14:paraId="2E0E585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304. Park YC, Lee JY, Lee JS, et al. Characteristics of dysphagia based on the type of ALS in Korean patients evaluated using videofluoroscopic study: A retrospective analysis. Dysphagia. 2022;37(6):1748–1756. doi: 10.1007/s00455-022-10430-8.</w:t>
      </w:r>
    </w:p>
    <w:p w14:paraId="775EE30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305. Patterson J, Toft K, McAuley F, et al. Feasibility and outcomes of fibreoptic endoscopic evaluation of swallowing following prophylactic swallowing rehabilitation in head and neck cancer. Clin Otolaryngol. 2019;44(4):549–556. doi:10.1007/s00455-022-10430-8</w:t>
      </w:r>
    </w:p>
    <w:p w14:paraId="0E3982C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306. Patterson M, Brain R, Chin R, et al. Functional swallowing outcomes in nasopharyngeal cancer treated with IMRT at 6 to 42 months post-radiotherapy. Dysphagia. 2014;29(6):663–670. doi: 10.1007/s00455-014-9559-0.</w:t>
      </w:r>
    </w:p>
    <w:p w14:paraId="4F5BCFE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307. Pauloski BR, Rademaker AW, Logemann JA, et al. Comparison of swallowing function after intensity-modulated radiation therapy and conventional radiotherapy for head and neck cancer. Head Neck. 2015;37(11):1575–1582. doi:10.1002/hed.23796</w:t>
      </w:r>
    </w:p>
    <w:p w14:paraId="1043E48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308. Pavlidou E, Kyrgidis A, Vachtsevanos K, et al. Efficacy of high-intensity training in patients with moderate to severe dysphagia after glossectomy. J Clin Med. 2023;12(17). doi:10.3390/jcm12175613</w:t>
      </w:r>
    </w:p>
    <w:p w14:paraId="17A2E27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309. Pematilleke N, Kaur M, Adhikari B, et al. Relationship between masticatory variables and bolus characteristics of meat with different textures. J Texture Stud. 2021;52:552–560. doi:10.1111/jtxs.12629</w:t>
      </w:r>
    </w:p>
    <w:p w14:paraId="5ED5C2E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310. Perry BJ, Stipancic KL, Martino R, et al. Biomechanical biomarkers of tongue impairment during swallowing in persons diagnosed with amyotrophic lateral sclerosis. Dysphagia. 2021;36(1):147–156. doi:10.1007/s00455-020-10116-z</w:t>
      </w:r>
    </w:p>
    <w:p w14:paraId="49A2ADB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311. Pflug C, Bihler M, Emich K, et al. Critical dysphagia is common in Parkinson disease and occurs even in early stages: A prospective cohort study. Dysphagia. 2018;33:41–50. doi:10.1007/s00455-017-9831-1</w:t>
      </w:r>
    </w:p>
    <w:p w14:paraId="00EF669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312. Pflug C, Nienstedt JC, Gulberti A, et al. Impact of simultaneous subthalamic and nigral stimulation on dysphagia in Parkinson’s disease. Ann Clin Transl Neurol. 2020;7:628–638. doi:10.1002/acn3.51027</w:t>
      </w:r>
    </w:p>
    <w:p w14:paraId="7B3F037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313. Pilz W, Baijens LWJ, Passos VL, et al. Swallowing assessment in myotonic dystrophy type 1 using fiberoptic endoscopic evaluation of swallowing (FEES). Neuromuscul Disord. 2014;24(12):1054–1062. doi:10.1016/j.nmd.2014.06.002</w:t>
      </w:r>
    </w:p>
    <w:p w14:paraId="3B750C4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314. Pilz W, Passos VL, Verdonschot RJ, et al. Swallow-related quality of life and oropharyngeal dysphagia in myotonic dystrophy. Eur Arch Otorhinolaryngol. 2020;277:2357–2362. doi:10.1007/s00405-020-05964-2</w:t>
      </w:r>
    </w:p>
    <w:p w14:paraId="1464E49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315. Pinto C, Balasubramanium R, Acharya V. Nasal airflow monitoring during swallowing: Evidences for respiratory-swallowing incoordination in individuals with chronic obstructive pulmonary disease. Lung India. 2017;34(3):247–250. doi:10.4103/lungindia.lungindia_117_16</w:t>
      </w:r>
    </w:p>
    <w:p w14:paraId="7DA19AA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316. Pinto G, Zetola V, Lange M, et al. Program to diagnose probability of aspiration pneumonia in patients with ischemic stroke. Int Arch Otorhinolaryngol. 2014;18(3):244–248. doi:10.1055/s-0034-1374646</w:t>
      </w:r>
    </w:p>
    <w:p w14:paraId="3BB66B1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317. Pisegna JM, Langmore SE, Meyer TK, et al. Swallowing patterns in the HNC population: Timing of penetration-aspiration events and residue. Otolaryngol Head Neck Surg. 2020;163:1232–1239. doi:10.1177/0194599820933883</w:t>
      </w:r>
    </w:p>
    <w:p w14:paraId="6037C97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318. Pizzorni N, Ginocchio D, Bianchi F, et al. Association between maximum tongue pressure and swallowing safety and efficacy in amyotrophic lateral sclerosis. Neurogastroenterol Motil. 2020;32. doi:10.1111/nmo.13859</w:t>
      </w:r>
    </w:p>
    <w:p w14:paraId="5737DDB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319. Pizzorni N, Radovanovic D, Pecis M, et al. Dysphagia symptoms in obstructive sleep apnea: prevalence and clinical correlates. Respir Res. 2021;22. doi:10.1186/s12931-021-01702-2</w:t>
      </w:r>
    </w:p>
    <w:p w14:paraId="1540FA3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320. Pizzorni N, Schindler A, Castellari M, et al. Swallowing safety and efficiency after open partial horizontal laryngectomy: A videofluoroscopic study. Cancers. 2019;11(4). doi:10.3390/cancers11040549</w:t>
      </w:r>
    </w:p>
    <w:p w14:paraId="78CBCFD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321. Pizzorni N, Schindler A, Fantini M, et al. Relationship between swallowing-related quality of life and fiberoptic endoscopic evaluation of swallowing in patients who underwent open partial horizontal laryngectomy. Eur Arch Otorhinolaryngol. 2018;275(4):973–985. doi:10.1007/s00405-018-4888-5</w:t>
      </w:r>
    </w:p>
    <w:p w14:paraId="3DF07BD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322. Plowman EK, Watts SA, Robison R, et al. Voluntary cough airflow differentiates safe versus unsafe swallowing in amyotrophic lateral sclerosis. Dysphagia. 2016;31:383–390. doi:10.1007/s00455-015-9687-1</w:t>
      </w:r>
    </w:p>
    <w:p w14:paraId="4DCBA4C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323. Ponfick M, Linden R, Nowak DA. Dysphagia- a common, transient symptom in critical illness polyneuropathy: A fiberoptic endoscopic evaluation of swallowing study. Crit Care Med. 2015;43(2):365–372. doi:10.1097/CCM.0000000000000705</w:t>
      </w:r>
    </w:p>
    <w:p w14:paraId="187D063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324. Printza A, Goutsikas C, Triaridis S, et al. Dysphagia diagnosis with questionnaire, tongue strength measurement, and FEES in patients with childhood-onset muscular dystrophy. Int J Pediatr Otorhinolaryngol. 2019;117:198–203. doi:10.1016/j.ijporl.2018.12.005</w:t>
      </w:r>
    </w:p>
    <w:p w14:paraId="0F642DF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325. Pryor LN, Ward EC, Cornwell PL, et al. Impact of nasogastric tubes on swallowing physiology in older, healthy subjects: A randomized controlled crossover trial. Clin Nutr. 2015;34(4):572–578. doi:10.1016/j.clnu.2014.09.002</w:t>
      </w:r>
    </w:p>
    <w:p w14:paraId="1145441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326. Pu D, Choi YY, Chan KMK, et al. Modifying puree meals in residential aged care facilities: A multi-centre feasibility and acceptability study. Geriatrics. 2021;6:. doi:10.3390/geriatrics6040108</w:t>
      </w:r>
    </w:p>
    <w:p w14:paraId="2951DF8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327. Pu D, Lee VHF, Chan KMK, et al. The relationships between radiation dosage and long-term swallowing kinematics and timing in nasopharyngeal carcinoma survivors. Dysphagia. 2022;37:612–621. doi:10.1007/s00455-021-10311-6</w:t>
      </w:r>
    </w:p>
    <w:p w14:paraId="44F9083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328. Queija DS, Dedivitis RA, Arakawa-Sugueno L, et al. Cervicofacial and pharyngolaryngeal lymphedema and deglutition after head and neck cancer treatment. Dysphagia. 2020;35:479–491. doi:10.1007/s00455-019-10053-6</w:t>
      </w:r>
    </w:p>
    <w:p w14:paraId="20BD45C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329. Rahayu Rarasati R, Herawati Juniati S, Yusuf M. Conformity between modified swallowing outcome after laryngectomy questionnaire and flexible endoscopic evaluation of swallowing in laryngeal carcinoma patients after total laryngectomy. J Public Health R. 2022;11. doi:10.1177/22799036221127624</w:t>
      </w:r>
    </w:p>
    <w:p w14:paraId="182BB42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330. Rajappa AT, Soriano KR, Ziemer C, et al. Reduced maximum pitch elevation predicts silent aspiration of small liquid volumes in stroke patients. Front Neurol. 2017;8:436. doi:10.3389/fneur.2017.00436</w:t>
      </w:r>
    </w:p>
    <w:p w14:paraId="5FABC8A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331. Rajski B, Furey V, Nguyen A, et al. Dysphagia outcomes in COVID-19 patients: experiences in long-term acute care hospital (LTACH). Eur Arch Otorhinolaryngol. 2023;280:4255–4260. doi:10.1007/s00405-023-08032-7</w:t>
      </w:r>
    </w:p>
    <w:p w14:paraId="5C3CE81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332. Remijn L, Groen BE, Speyer R, et al. Reproducibility of 3D kinematics and surface electromyography measurements of mastication. Physiol Behav. 2016;155:112–121. doi:10.1016/j.physbeh.2015.11.018</w:t>
      </w:r>
    </w:p>
    <w:p w14:paraId="27A069C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333. Ribeiro PW, Cola PC, Gatto AR, et al. Relationship between dysphagia, National Institutes of Health Stroke Scale Score, and predictors of pneumonia after ischemic stroke. J Stroke Cerebrovasc Dis. 2015;24(9):2088–2094. doi:10.1016/j.jstrokecerebrovasdis.2015.05.009</w:t>
      </w:r>
    </w:p>
    <w:p w14:paraId="50071D0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334. Rocha SG, Silva RG, Berti LC. Qualitative and quantitative ultrasound analysis of oropharyngeal swallowing. CODAS. 2015;27:437–445. doi:10.1590/2317-1782/20152015015</w:t>
      </w:r>
    </w:p>
    <w:p w14:paraId="3BF1B40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335. Rockenbach NDM, Pasqualoto AS, Busanello-Stella AR. Influence of handgrip strength on pharyngeal transit time in individuals with chronic obstructive pulmonary disease. Braz J Otorhinolaryngol. 2023;89:222–229. doi:10.1016/j.bjorl.2022.02.005</w:t>
      </w:r>
    </w:p>
    <w:p w14:paraId="4293DDD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336. Rofes L, Arreola V, Martin A, et al. Natural capsaicinoids improve swallow response in older patients with oropharyngeal dysphagia. Gut. 2013;62:1280–1287. doi:10.1136/gutjnl-2011-300753</w:t>
      </w:r>
    </w:p>
    <w:p w14:paraId="3DB13EA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337. Rofes L, Arreola V, Mukherjee R, et al. The effects of a xanthan gum-based thickener on the swallowing function of patients with dysphagia. Aliment Pharmacol Ther. 2014;39:1169–1179. doi:10.1111/apt.12696</w:t>
      </w:r>
    </w:p>
    <w:p w14:paraId="53BDF23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338. Rogus-Pulia NM, Pierce M, Mittal BB, et al. Bolus effects on patient awareness of swallowing difficulty and swallow physiology after chemoradiation for head and neck cancer. Head Neck. 2015;37:1122–1129. doi:10.1002/hed.23720</w:t>
      </w:r>
    </w:p>
    <w:p w14:paraId="390349B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339. Rumbach AF, Ward EC, Cornwell PL, et al. Physiological characteristics of dysphagia following thermal burn injury. Dysphagia. 2012;27:370–383. doi:10.1007/s00455-011-9376-7</w:t>
      </w:r>
    </w:p>
    <w:p w14:paraId="4E2F710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340. Saconato M, Chiari BM, Lederman HM, et al. Effectiveness of chin-tuck maneuver to facilitate swallowing in neurologic dysphagia. Int Arch Otorhinolaryngol. 2014;20:13–17. doi:10.1055/s-0035-1564721</w:t>
      </w:r>
    </w:p>
    <w:p w14:paraId="0D10164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341. Saconato M, Leite FC, Lederman HM, et al. Temporal and sequential analysis of the pharyngeal phase of swallowing in poststroke patients. Dysphagia. 2020;35(4):598–615. doi:10.1007/s00455-019-10069-y</w:t>
      </w:r>
    </w:p>
    <w:p w14:paraId="3D344C0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342. Saito N, Ogawa T, Shiraishi N, et al. Difference in the electromyographic behavior of the masticatory and swallowing muscles during cued versus spontaneous swallowing. Dysphagia. 2023;39(3):398-406. doi:10.1007/s00455-023-10621-x</w:t>
      </w:r>
    </w:p>
    <w:p w14:paraId="1A54BFD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343. Saito T, Hayashi K, Nakazawa H, et al. Clinical characteristics and lesions responsible for swallowing hesitation after acute cerebral infarction. Dysphagia. 2016;31:567–573. doi:10.1007/s00455-016-9716-8</w:t>
      </w:r>
    </w:p>
    <w:p w14:paraId="40518B0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344. Salehi P, Stafford HJ, Glass RP, et al. Silent aspiration in infants with Prader-Willi syndrome identified by videofluoroscopic swallow study. Medicine (Baltimore). 2017;96. doi:10.1097/MD.0000000000009256</w:t>
      </w:r>
    </w:p>
    <w:p w14:paraId="134E79A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345. Sales DS, da Silva RG, Alvarenga RM, et al. Accuracy of the Brazilian version of the DYMUS questionnaire for the screening of oropharyngeal dysphagia in multiple sclerosis. Mult Scler Relat Disord. 2021;50. doi: 10.1016/j.msard.2021.102772.</w:t>
      </w:r>
    </w:p>
    <w:p w14:paraId="449E092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346. Sampaio M, Argolo N, Melo A, et al. Wet voice as a sign of penetration/aspiration in Parkinson’s disease: Does testing material matter? Dysphagia. 2014;29:610–615. doi:10.1007/s00455-014-9552-7</w:t>
      </w:r>
    </w:p>
    <w:p w14:paraId="7DD134C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347. Sanchez K, Spittle AJ, Slattery JM, et al. Oromotor feeding in children born before 30 weeks' gestation and term-born peers at 12 months' corrected age. J Pediatr. 2016;178:113–118.e111. doi:10.1016/j.jpeds.2016.07.044</w:t>
      </w:r>
    </w:p>
    <w:p w14:paraId="5DE3289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348. Sandblom HO, Dotevall H, Svennerholm K, et al. Characterization of dysphagia and laryngeal findings in COVID-19 patients treated in the ICU- an observational clinical study. PLoS One. 2021;16:. doi:10.1371/journal.pone.0252347</w:t>
      </w:r>
    </w:p>
    <w:p w14:paraId="6E99D2F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349. Sanpei R, Tohara H, Fujita S, et al. Video-endoscopic comparison of swallowing waxy rice mochi and waxy wheat mochi: Improvement of a traditional Japanese food that presents a choking hazard. Biosci Biotechnol Biochem. 2014;78:472–477. doi:10.1080/09168451.2014.877817</w:t>
      </w:r>
    </w:p>
    <w:p w14:paraId="1E4050D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350. Santos CM, Cassiani RA, Dantas RO. Videofluoroscopic evaluation of swallows in anorexia nervosa. Arq Gastroenterol. 2016;53:136–140. doi:10.1590/S0004-28032016000300003</w:t>
      </w:r>
    </w:p>
    <w:p w14:paraId="2468FCD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351. Scarpel RDA, Nóbrega AC, Pinho P, et al. Oropharyngeal swallowing dynamic findings in people with asthma. Dysphagia. 2021;36:541–550. doi:10.1007/s00455-020-10168-1</w:t>
      </w:r>
    </w:p>
    <w:p w14:paraId="6AB80C8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352. Scarponi L, Mozzanica F, De Cristofaro V, et al. Neuromuscular electrical stimulation for treatment-refractory chronic dysphagia in tube-fed patients: A prospective case series. Folia Phoniatr Logop. 2016;67:308–314. doi:10.1159/000443499</w:t>
      </w:r>
    </w:p>
    <w:p w14:paraId="31C4B99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353. Schaefer JH, Luft F, Seiler A, et al. Prevalence, recovery and phenotype of dysphagia in patients with ischaemic cerebellar stroke. Eur J Neurol. 2024;31(7). doi:10.1111/ene.16303</w:t>
      </w:r>
    </w:p>
    <w:p w14:paraId="63115C1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354. Schar M, Woods C, Ooi EH, et al. Pathophysiology of swallowing following oropharyngeal surgery for obstructive sleep apnea syndrome. Neurogastroenterol Motil. 2018;30(5). doi:10.1111/nmo.13277</w:t>
      </w:r>
    </w:p>
    <w:p w14:paraId="2C0747C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355. Schar MS, Omari TI, Woods CM, et al. Swallowing biomechanics before and following multi-level upper airway surgery for obstructive sleep apnea. J Clin Sleep Med. 2022;18:1167–1176. doi:10.5664/jcsm.9824</w:t>
      </w:r>
    </w:p>
    <w:p w14:paraId="2E58B00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356. Schar MS, Omari TI, Woods CM, et al. Altered swallowing biomechanics in people with moderate-severe obstructive sleep apnea. J Clin Sleep Med. 2021;17:1793–1803. doi:10.5664/jcsm.9286</w:t>
      </w:r>
    </w:p>
    <w:p w14:paraId="1B669CA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357. Schiele JT, Penner H, Schneider H, et al. Swallowing tablets and capsules increases the risk of penetration and aspiration in patients with stroke-induced dysphagia. Dysphagia. 2015;30:571–582. doi:10.1007/s00455-015-9639-9</w:t>
      </w:r>
    </w:p>
    <w:p w14:paraId="4A94291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358. Schindler A, Fantini M, Pizzorni N, et al. Swallowing, voice, and quality of life after supratracheal laryngectomy: Preliminary long-term results. Head Neck. 2015;37:557–566. doi:10.1002/hed.23636</w:t>
      </w:r>
    </w:p>
    <w:p w14:paraId="30F8B48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359. Schindler A, Mozzanica F, Sonzini G, et al. Oropharyngeal dysphagia in patients with obstructive sleep apnea syndrome. Dysphagia. 2014;29:44–51. doi:10.1007/s00455-013-9474-9</w:t>
      </w:r>
    </w:p>
    <w:p w14:paraId="5031F40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360. Senirli RT, Kuscu O, Akyol U, et al. Otorhinolaryngological, audiovestibular and swallowing manifestations of patients with Niemann-Pick disease type C. Int J Pediatr Otorhinolaryngol. 2016;80:1–4. doi: 10.1016/j.ijporl.2015.11.009.</w:t>
      </w:r>
    </w:p>
    <w:p w14:paraId="276BCD1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361. Seo HG, Oh BM, Leigh JH, et al. Correlation varies with different time lags between the motions of the hyoid bone, epiglottis, and larynx during swallowing. Dysphagia. 2014;29:591–602. doi:10.1007/s00455-014-9550-9</w:t>
      </w:r>
    </w:p>
    <w:p w14:paraId="6DA6F02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362. Serel Arslan S, Soyer T, Demir N, et al. Effect of swallowing rehabilitation protocol on swallowing function in patients with esophageal atresia and/or tracheoesophageal fistula. Eur J Pediatr Surg. 2017;27(6):526–532. doi:10.1016/j.ijporl.2015.11.009</w:t>
      </w:r>
    </w:p>
    <w:p w14:paraId="3858B08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363. Serel S, Demir N, Karaduman AA, et al. Head and neck cancer: Changes in artrokinematic parameters of neck and swallowing function after radiotherapy. Uluslararasi Hematoloji-Onkoloji Dergisi. 2013;23:97–103. doi:10.4999/uhod.12041</w:t>
      </w:r>
    </w:p>
    <w:p w14:paraId="3D78540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364. Shapira-Galitz Y, Shoffel-Havakuk H, Halperin D, et al. Association between laryngeal sensation, pre-swallow secretions and pharyngeal residue on fiberoptic endoscopic examination of swallowing. Dysphagia. 2019;34(4):548–555. doi:10.1007/s00455-019-10001-4</w:t>
      </w:r>
    </w:p>
    <w:p w14:paraId="4C3D54F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365. Shapira-Galitz Y, Shoffel-Havakuk H, Halperin D, et al. Correlation between pharyngeal residue and aspiration in fiber-optic endoscopic evaluation of swallowing: An observational study. Arch Phys Med Rehabil. 2019;100:488–494. doi:10.1016/j.apmr.2018.05.028</w:t>
      </w:r>
    </w:p>
    <w:p w14:paraId="67F20E5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366. Sia I, Crary MA, Kairalla J, et al. Derivation and measurement consistency of a novel biofluid dynamics measure of deglutitive bolus-driving function-pharyngeal swallowing power. Neurogastroenterol Motil. 2019;31(1). doi:10.1111/nmo.13465</w:t>
      </w:r>
    </w:p>
    <w:p w14:paraId="4C1D857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367. Sideris G, Panagoulis E, Grigoropoulos C, et al. Fiberoptic endoscopic evaluation of swallowing findings in children with Rett syndrome. Clin Pediatr. 2024;63:551–556. doi:10.1177/00099228231184673</w:t>
      </w:r>
    </w:p>
    <w:p w14:paraId="2396CA6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368. Silbergleit AK, LeWitt P, Junn F, et al. Comparison of dysphagia before and after deep brain stimulation in Parkinson's disease. Mov Disord. 2012;27:1763–1768. doi:10.1002/mds.25259</w:t>
      </w:r>
    </w:p>
    <w:p w14:paraId="6ADEA70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369. Simon SR, Florie M, Pilz W, et al. Association between pharyngeal pooling and aspiration using fiberoptic endoscopic evaluation of swallowing in head and neck cancer patients with dysphagia. Dysphagia. 2020;35:42–51. doi:10.1007/s00455-019-09992-x</w:t>
      </w:r>
    </w:p>
    <w:p w14:paraId="7ABAB5C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370. Smaoui S, Peladeau-Pigeon M, Steele CM. Variations in hyoid kinematics across liquid consistencies in healthy swallowing. J Speech Lang Hear Res. 2021;64:51–58. doi:10.1044/2020_JSLHR-20-00508</w:t>
      </w:r>
    </w:p>
    <w:p w14:paraId="67DD2F7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371. Smith-Hublou M, Herndon N, Wong JK, et al. Impacts of deep brain stimulation of the globus pallidus internus on swallowing: A retrospective, cross-sectional study. Dysphagia. 2024;39(5):797-807. doi:10.1007/s00455-023-10660-4</w:t>
      </w:r>
    </w:p>
    <w:p w14:paraId="2B73F3A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372. Sogawa Y, Kimura S, Harigai T, et al. New swallowing evaluation using piezoelectricity in normal individuals. Dysphagia. 2015;30(6):759–767. doi:10.1007/s00455-015-9654-x</w:t>
      </w:r>
    </w:p>
    <w:p w14:paraId="1A562ED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373. Sonoi M, Kayashita J, Yamagata Y, et al. Suitable food textures for videofluoroscopic studies of swallowing in esophageal cancer cases to prevent aspiration pneumonia. Asian Pac J Cancer Prev. 2016;17:3259–3263. 10.14456/apjcp.2016.85/APJCP.2016.17.7.3259.</w:t>
      </w:r>
    </w:p>
    <w:p w14:paraId="774F052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374. Soria FS, da Silva RG, Furkim AM. Acoustic analysis of oropharyngeal swallowing using sonar doppler. Braz J Otorhinolaryngol. 2016;82:39–46. doi:10.1016/j.bjorl.2015.12.001</w:t>
      </w:r>
    </w:p>
    <w:p w14:paraId="2D84B0D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375. Soyer T, Arslan SS, Boybeyi O, et al. The role of oral feeding time and sham feeding on oropharyngeal swallowing functions in children with esophageal atresia. Dysphagia. 2023;38(1):247–252. doi:10.1007/s00455-022-10461-1</w:t>
      </w:r>
    </w:p>
    <w:p w14:paraId="5680C04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376. Soyer T, Arslan SS, Pisiren B, et al. The role of bolus residue and Its relation with respiratory problems in children with esophageal atresia. Dysphagia. 2023;38(6)1546-1550. doi:10.1007/s00455-023-10582-1</w:t>
      </w:r>
    </w:p>
    <w:p w14:paraId="245E63E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377. Spadotto AA, Gatto AR, Cola PC, et al. Components of the acoustic swallowing signal: Preliminary study. J Soc Bras Fonoaudiol. 2012;24:218–222. doi:10.1590/s2179-64912012000300006</w:t>
      </w:r>
    </w:p>
    <w:p w14:paraId="542A65A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378. Sproson L, Pownall S, Enderby P, et al. Combined electrical stimulation and exercise for swallow rehabilitation post-stroke: A pilot randomized control trial. Int J Lang Commun Disord. 2018;53:405–417. doi:10.1111/1460-6984.12359</w:t>
      </w:r>
    </w:p>
    <w:p w14:paraId="798AE3B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379. Sreeraj R, Krishnan V, Manju V, et al. Comparison of masticatory and swallowing functional outcomes in surgically and prosthetically rehabilitated maxillectomy patients. Int J Prosthodont. 2017;30:573–576. doi:10.11607/ijp.4231</w:t>
      </w:r>
    </w:p>
    <w:p w14:paraId="604E4C0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380. Srinet P, Van Daele DJ, Adam SI, et al. A biomechanical study of hyoid bone and laryngeal movements during swallowing comparing the Blom low profile voice inner cannula and Passy-Muir one way tracheotomy tube speaking valves. Dysphagia. 2015;30:723–729. doi:10.1007/s00455-015-9649-7</w:t>
      </w:r>
    </w:p>
    <w:p w14:paraId="36C7881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381. Stafler P, Akel K, Eshel Y, et al. Videofluoroscopy compared with clinical feeding evaluation in children with suspected aspiration. Acta Paediatr. 2022;111:1441–1449. doi:10.1111/apa.16338</w:t>
      </w:r>
    </w:p>
    <w:p w14:paraId="1FBC317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382. Stanley C, Paddle P, Griffiths S, et al. Detecting aspiration during FEES with narrow band imaging in a clinical setting. Dysphagia. 2022;37:591–600. doi:10.1007/s00455-021-10309-0</w:t>
      </w:r>
    </w:p>
    <w:p w14:paraId="11C1B58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383. Steele C, Sasse C, Bressmann T. Tongue-pressure and hyoid movement timing in healthy liquid swallowing. Int J Lang Commun Disord. 2012;47:77–83. doi:10.1111/j.1460-6984.2011.00082.x</w:t>
      </w:r>
    </w:p>
    <w:p w14:paraId="4F5D26E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384. Steele CM, Bayley MT, Bohn MK, et al. Reference values for videofluoroscopic measures of swallowing: An update. J Speech Lang Hear Res. 2023;66:3804–3824. doi:10.1044/2023_JSLHR-23-00246</w:t>
      </w:r>
    </w:p>
    <w:p w14:paraId="43AB1EC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385. Steele CM, Bayley MT, Peladeau-Pigeon M, et al. A randomized trial comparing two tongue-ressure resistance training protocols for post-stroke dysphagia. Dysphagia. 2016;31:452–461. doi:10.1007/s00455-016-9699-5</w:t>
      </w:r>
    </w:p>
    <w:p w14:paraId="16C77EA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386. Steele CM, Molfenter SM, Peladeau-Pigeon M, et al. Variations in tongue-palate swallowing pressures when swallowing xanthan gum-thickened liquids. Dysphagia. 2014;29(6):678–684. doi:10.1007/s00455-014-9561-6</w:t>
      </w:r>
    </w:p>
    <w:p w14:paraId="7E516F8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387. Steele CM, Mukherjee R, Kortelainen JM, et al. Development of a non-invasive device for swallow screening in patients at risk of oropharyngeal dysphagia: Results from a prospective exploratory study. Dysphagia. 2019;34:698–707. doi:10.1007/s00455-018-09974-5</w:t>
      </w:r>
    </w:p>
    <w:p w14:paraId="1531739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388. Steele CM, Peladeau-Pigeon M, Barbon CAE, et al. Reference values for healthy swallowing across the range from thin to extremely thick liquids. J Speech Lang Hear Res. 2019;62:1338–1363. doi:10.1044/2019_JSLHR-S-18-0448</w:t>
      </w:r>
    </w:p>
    <w:p w14:paraId="252CAC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389. Steele CM, Peladeau-Pigeon M, Barbon CAE, et al. Modulation of tongue pressure according to liquid flow properties in healthy swallowing. J Speech Lang Hear Res. 2019;62:22–33. doi:10.1044/2018_JSLHR-S-18-0229</w:t>
      </w:r>
    </w:p>
    <w:p w14:paraId="3DE9E2A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390. Steele CM, Peladeau-Pigeon M, Barrett E, et al. The risk of penetration–aspiration related to residue in the pharynx. Am J Speech Lang Pathol. 2020;29:1608–1617. doi:10.1044/2020_AJSLP-20-00042</w:t>
      </w:r>
    </w:p>
    <w:p w14:paraId="50A9377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391. Steele CM, Peladeau-Pigeon M, Nagy A, et al. Measurement of pharyngeal residue from lateral view videofluoroscopic images. J Speech Lang Hear Res. 2020;63:1404–1415. doi:10.1044/2020_JSLHR-19-00314</w:t>
      </w:r>
    </w:p>
    <w:p w14:paraId="06C2F5A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392. Steidl EMDS, da Trindade Gonçalves BF, de Morais Rockenbach N, et al. Outcomes of manual therapy on the biomechanics of swallowing in individuals with COPD. CODAS. 2021;33:1–6. doi:10.1590/2317-1782/20192020203</w:t>
      </w:r>
    </w:p>
    <w:p w14:paraId="0055E9F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393. Stewart AJ, Butler CR, Muthialu N, et al. Swallowing outcomes in children after slide tracheoplasty. Int J Pediatr Otorhinolaryngol. 2018;108:85–90. doi:10.1016/j.ijporl.2018.02.029</w:t>
      </w:r>
    </w:p>
    <w:p w14:paraId="7AFCB53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394. Strychowsky JE, Dodrill P, Moritz E, et al. Swallowing dysfunction among patients with laryngeal cleft: More than just aspiration? Int J Pediatr Otorhinolaryngol. 2016;82:38–42. doi:10.1016/j.ijporl.2015.12.025</w:t>
      </w:r>
    </w:p>
    <w:p w14:paraId="4BBFEF3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395. Sugimoto H, Tanaka Y, Kodama N, et al. Effects of food particle loss on the evaluation of masticatory ability using image analysis. J Prosthodont Res. 2022;66:484–490. doi:10.2186/jpr.JPR_D_21_00069</w:t>
      </w:r>
    </w:p>
    <w:p w14:paraId="1D4823A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396. Suntrup S, Warnecke T, Kemmling A, et al. Dysphagia in patients with acute striatocapsular hemorrhage. J Neurol. 2012;259:93–99. doi:10.1007/s00415-011-6129-3</w:t>
      </w:r>
    </w:p>
    <w:p w14:paraId="738CE3B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397. Suntrup-Krueger S, Schmidt S, Warnecke T, et al. Extubation readiness in critically ill stroke patients. Stroke. 2019;50:1981–1988. doi:10.1161/STROKEAHA.118.024643</w:t>
      </w:r>
    </w:p>
    <w:p w14:paraId="7F08845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398. Suzuki T, Hino H, Magara J, et al. Effects of head and neck alignment and pharyngeal anatomy on epiglottic inversion during swallowing in dysphagic patients. Dysphagia. 2023;38(6):1519–1527. doi: 10.1007/s00455-023-10579-w.</w:t>
      </w:r>
    </w:p>
    <w:p w14:paraId="04CB26D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399. Szczesniak MM, Omari TI, Lam TY, et al. Evaluation of oropharyngeal deglutitive pressure dynamics in patients with Parkinson’s disease. Am J Physiol Gastrointest Liver Physiol. 2022;322:G421–G430. doi:10.1152/ajpgi.00314.2021</w:t>
      </w:r>
    </w:p>
    <w:p w14:paraId="009D3F4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400. Tabor LC, Plowman EK, Romero-Clark C, et al. Oropharyngeal dysphagia profiles in individuals with oculopharyngeal muscular dystrophy. Neurogastroenterol Motil. 2018;30(4). doi:10.1111/nmo.13251</w:t>
      </w:r>
    </w:p>
    <w:p w14:paraId="2B922DD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401. Takase Uchimura ÉM, Kamata Barcelos IH, de Paiva DB, et al. Evaluation of the location of capsules swallowed with food during the pharyngeal phase triggering in asymptomatic adults. CODAS. 2014;26:476–480. doi:10.1590/2317-1782/20140000045</w:t>
      </w:r>
    </w:p>
    <w:p w14:paraId="21F6364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402. Takei E, Kulvanich S, Tsujimura T, et al. Age-related changes in functional adaptation to bolus characteristics during chewing. Physiol Behav. 2020;225. doi:10.1016/j.physbeh.2020.113102</w:t>
      </w:r>
    </w:p>
    <w:p w14:paraId="7D8E041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403. Tamin S, Adham M, Noer A, et al. Upright epiglottis prevents aspiration in patients with nasopharyngeal carcinoma post-chemoradiation. PLoS One. 2021;16(12). doi:10.1371/journal.pone.0261110</w:t>
      </w:r>
    </w:p>
    <w:p w14:paraId="4C40064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404. Thompson TZ, Obeidin F, Davidoff AA, et al. Coordinate mapping of hyolaryngeal mechanics in swallowing. J Vis Exp. 2014;87. doi:10.3791/51476</w:t>
      </w:r>
    </w:p>
    <w:p w14:paraId="4F3E26F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405. Thottam PJ, Georg M, Chi D, et al. Outcomes and predictors of surgical management in type 1 laryngeal cleft swallowing dysfunction. Laryngoscope. 2016;126(12):2838–2843. doi:10.1002/lary.26069</w:t>
      </w:r>
    </w:p>
    <w:p w14:paraId="1E69A2A8"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406. Tomsen N, Bolivar-Prados M, Ortega O, et al. Therapeutic effect on swallowing function and on hydration status of a new liquid gum-based thickener in independently-living older patients with oropharyngeal dysphagia. Nutrients. 2023;15(21). doi:10.3390/nu15214621</w:t>
      </w:r>
    </w:p>
    <w:p w14:paraId="5591C11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407. Torun EG, Eyuboglu TS, Akkus A, et al. Evaluation of swallowing dysfunction in children with recurrent respiratory symptoms. Guncel Pediatri. 2022;20(2):229–236. doi:10.4274/jcp.2022</w:t>
      </w:r>
    </w:p>
    <w:p w14:paraId="53A9D38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408. Tseng WH, Li TH, Chiu HL, et al. Long-term swallowing-related outcomes in oral cancer patients receiving proactive swallowing therapy. Oral Oncol. 2021;122. doi:10.1016/j.oraloncology.2021.105569</w:t>
      </w:r>
    </w:p>
    <w:p w14:paraId="35245D5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409. Tsubokawa M, Fujitani J, Ashida K, et al. Potential of rice-flour jelly made from high-amylose rice as a dysphagia diet: Evaluation of pharyngeal residue by FEES. Dysphagia. 2023;38(4):1080–1086. doi:10.1007/s00455-022-10529-y</w:t>
      </w:r>
    </w:p>
    <w:p w14:paraId="4F1D01F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410. Tsuzuki H, Inamoto Y, Saitoh E, et al. Effects of bolus consistency and reclining position on kinematic swallowing events in analysis using 320-row area detector computed tomography. J Oral Sci. 2020;62:18–22. doi:10.2334/josnusd.18-0377</w:t>
      </w:r>
    </w:p>
    <w:p w14:paraId="26E1E94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411. Tuomi L, Dotevall H, Bergquist H, et al. The effect of the Shaker head-lift exercise on swallowing function following treatment for head and neck cancer: Results from a randomized, controlled trial with videofluoroscopic evaluation. Head Neck. 2022;44:862–875. doi:10.1002/hed.26982</w:t>
      </w:r>
    </w:p>
    <w:p w14:paraId="43C0172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412. Uesugi Y, Ihara Y, Yuasa K, et al. Sole-ground contact and sitting leg position influence suprahyoid and sternocleidomastoid muscle activity during swallowing of liquids. Clin Exp Dent Res. 2019;5:505–512. doi:10.1002/cre2.216</w:t>
      </w:r>
    </w:p>
    <w:p w14:paraId="3B43EC8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413. Umay EK, Unlu E, Saylam GK, et al. Evaluation of dysphagia in early stroke patients by bedside, endoscopic, and electrophysiological methods. Dysphagia. 2013;28:395–403. doi:10.1007/s00455-013-9447-z</w:t>
      </w:r>
    </w:p>
    <w:p w14:paraId="37D6094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414. Unluer NO, Temucin CM, Demir N, et al. Effects of low-frequency repetitive transcranial magnetic stimulation on swallowing function and quality of life of post-stroke patients. Dysphagia. 2019;34:360–371. doi:10.1007/s00455-018-09965-6</w:t>
      </w:r>
    </w:p>
    <w:p w14:paraId="292FBE6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415. Uram-Tuculescu S, Cooper LF, Allen Foegeding E, et al. Electromyographic evaluation of masticatory muscles in dentate patients versus conventional and implant-supported fixed and removable denture wearers- A preliminary report comparing model foods. Int J Prosthodont. 2015;28:79–92. doi:10.11607/ijp.3931</w:t>
      </w:r>
    </w:p>
    <w:p w14:paraId="27A7DFF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416. Ursino S, Cocuzza P, Seccia V, et al. Pattern of dysphagia after swallowing-sparing intensity-modulated radiotherapy (IMRT) of head and neck cancers: Results of a mono-institutional prospective study. Strahlenther Onkol. 2018;194(12):1114–1123. doi:10.1007/s00066-018-1328-9</w:t>
      </w:r>
    </w:p>
    <w:p w14:paraId="6E48C8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417. Ursino S, Seccia V, Cocuzza P, et al. How does radiotherapy impact swallowing function in nasopharynx and oropharynx cancer? Short-term results of a prospective study. Acta Otorhinolaryngol Ital. 2016;36:174–184. doi:10.14639/0392-100X-640</w:t>
      </w:r>
    </w:p>
    <w:p w14:paraId="7948420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418. Valarelli LP, Corradi AMB, Grechi TH, et al. Cephalometric, muscular and swallowing changes in patients with OSAS. J Oral Rehabil. 2018;45:692–701. doi:10.1111/joor.12666</w:t>
      </w:r>
    </w:p>
    <w:p w14:paraId="641B1AC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419. Valenzano TJ, Guida BT, Peladeau-Pigeon M, et al. Respiratory–swallow coordination in healthy adults during drinking of thin to extremely thick liquids: A research note. J Speech Lang Hear Res. 2020;63:702–709. doi:10.1044/2019_JSLHR-19-00163</w:t>
      </w:r>
    </w:p>
    <w:p w14:paraId="7EDF42B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420. Van Abel KM, Quick MH, Graner DE, et al. Outcomes following TORS for HPV-positive oropharyngeal carcinoma: PEGs, tracheostomies, and beyond. Am J Otolaryngol Head Neck Med Surg. 2019;40:729–734. doi:10.1016/j.amjoto.2019.07.003</w:t>
      </w:r>
    </w:p>
    <w:p w14:paraId="560E90E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421. van de Lande LS, Caron CJJM, Pluijmers BI, et al. Evaluation of swallow function in patients with craniofacial microsomia: A retrospective study. Dysphagia. 2018;33:234–242. doi:10.1007/s00455-017-9851-x</w:t>
      </w:r>
    </w:p>
    <w:p w14:paraId="07DA2A5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422. van den Engel-Hoek L, de Groot IJM, Esser E, et al. Biomechanical events of swallowing are determined more by bolus consistency than by age or gender. Physiol Behav. 2012;106:285–290. doi:10.1016/j.physbeh.2012.02.018</w:t>
      </w:r>
    </w:p>
    <w:p w14:paraId="579804F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423. Van Den Engel-Hoek L, Erasmus CE, Hendriks JCM, et al. Oral muscles are progressively affected in Duchenne muscular dystrophy: Implications for dysphagia treatment. J Neurol. 2013;260:1295–1303. doi:10.1007/s00415-012-6793-y</w:t>
      </w:r>
    </w:p>
    <w:p w14:paraId="7E02F64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424. Van Den Engel-Hoek L, Erasmus CE, Van Hulst KCM, et al. Children with central and peripheral neurologic disorders have distinguishable patterns of dysphagia on videofluoroscopic swallow study. J Child Neurol. 2014;29:646–653. doi:10.1177/0883073813501871</w:t>
      </w:r>
    </w:p>
    <w:p w14:paraId="52AFFD3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425. Van Eck A, Franks E, Vinyard CJ, et al. Sauce it up: Influence of condiment properties on oral processing behavior, bolus formation and sensory perception of solid foods. Food Funct. 2020;11:6186–6201. doi:10.1039/d0fo00821d</w:t>
      </w:r>
    </w:p>
    <w:p w14:paraId="449293A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426. Van Eck A, Wijne C, Fogliano V, et al. Shape up! How shape, size and addition of condiments influence eating behavior towards vegetables. Food Funct. 2019;10:5739–5751. doi:10.1039/c9fo01206k</w:t>
      </w:r>
    </w:p>
    <w:p w14:paraId="46384C7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427. Vansant MB, Parker LA, McWhorter AJ, et al. Predicting swallowing outcomes from objective videofluoroscopic timing and displacement measures in head and neck cancer patients. Dysphagia. 2020;35(5):853–863. doi:10.1007/s00455-020-10091-5</w:t>
      </w:r>
    </w:p>
    <w:p w14:paraId="78DAF57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428. Velayutham P, Irace AL, Kawai K, et al. Silent aspiration: Who is at risk? Laryngoscope. 2018;128:1952–1957. doi:10.1002/lary.27070</w:t>
      </w:r>
    </w:p>
    <w:p w14:paraId="03075D2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429. Verdonschot RJCG, Baijens LWJ, Vanbelle S, et al. Medically unexplained oropharyngeal dysphagia at the university hospital ENT outpatient clinic for dysphagia: A cross-sectional cohort study. Dysphagia. 2019;34:43–51. doi:10.1007/s00455-018-9912-9</w:t>
      </w:r>
    </w:p>
    <w:p w14:paraId="4C8C636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430. Vetter-Laracy S, Osona B, Roca A, et al. Neonatal swallowing assessment using fiberoptic endoscopic evaluation of swallowing (FEES). Pediatr Pulmonol. 2018;53:437–442. doi:10.1002/ppul.23946</w:t>
      </w:r>
    </w:p>
    <w:p w14:paraId="40CD300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431. Vickers Z, Damodhar H, Grummer C, et al. Relationships among rheological, sensory texture, and swallowing pressure measurements of hydrocolloid-thickened fluids. Dysphagia. 2015;30:702–713. doi:10.1007/s00455-015-9647-9</w:t>
      </w:r>
    </w:p>
    <w:p w14:paraId="1AB9027F"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432. Vilardell N, Rofes L, Arreola V, et al. Videofluoroscopic assessment of the pathophysiology of chronic poststroke oropharyngeal dysphagia. Neurogastroenterol Motil. 2017;29:1–8. doi:10.1111/nmo.13111</w:t>
      </w:r>
    </w:p>
    <w:p w14:paraId="46A1763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433. Vogel A, Claus I, Ahring S, et al. Endoscopic characteristics of dysphagia in multiple system atrophy compared to Parkinson's disease. Mov Disord. 2022;37:535–544. doi:10.1002/mds.28854</w:t>
      </w:r>
    </w:p>
    <w:p w14:paraId="3B40D8A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434. Vogel AP, Rommel N, Oettinger A, et al. Speech and swallowing abnormalities in adults with POLG associated ataxia (POLG-A). Mitochondrion. 2017;37:1–7. doi:10.1016/j.mito.2017.06.002</w:t>
      </w:r>
    </w:p>
    <w:p w14:paraId="41C51D45"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435. Vogel AP, Rommel N, Oettinger A, et al. Coordination and timing deficits in speech and swallowing in autosomal recessive spastic ataxia of Charlevoix–Saguenay (ARSACS). J Neurol. 2018;265:2060–2070. doi:10.1007/s00415-018-8950-4</w:t>
      </w:r>
    </w:p>
    <w:p w14:paraId="4200B14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436. Wada S, Goto T, Fujimoto K, et al. Changes in food bolus texture during mastication. J Texture Stud. 2017;48:171–177. doi:10.1111/jtxs.12228</w:t>
      </w:r>
    </w:p>
    <w:p w14:paraId="2F9E39D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437. Wada S, Kawate N, Mizuma M. What type of food can older adults masticate? Evaluation of mastication performance using color-changeable chewing gum. Dysphagia. 2017;32:636–643. doi:10.1007/s00455-017-9807-1</w:t>
      </w:r>
    </w:p>
    <w:p w14:paraId="641D3A9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438. Waito AA, Plowman EK, Barbon CEA, et al. A cross-sectional, quantitative videofluoroscopic analysis of swallowing physiology and function in individuals with amyotrophic lateral sclerosis. J Speech Lang Hear Res. 2020;63:948–962. doi:10.1044/2020_jslhr-19-00051</w:t>
      </w:r>
    </w:p>
    <w:p w14:paraId="505E15D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439. Waito AA, Tabor-Gray LC, Steele CM, et al. Reduced pharyngeal constriction is associated with impaired swallowing efficiency in amyotrophic lateral sclerosis (ALS). Neurogastroenterol Motil. 2018;30(12). doi:10.1111/nmo.13450</w:t>
      </w:r>
    </w:p>
    <w:p w14:paraId="4477ADA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440. Wang P, Chen X, Chen M, et al. Dysphagia pattern in early to moderate Parkinson's disease caused by abnormal pharyngeal kinematic function. Dysphagia. 2024;39(5):905-915. doi:10.1007/s00455-024-10672-8</w:t>
      </w:r>
    </w:p>
    <w:p w14:paraId="3E4E628C"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441. Wang ZY, Chen JM, Ni GX. Effect of an indwelling nasogastric tube on swallowing function in elderly post-stroke dysphagia patients with long-term nasal feeding. BMC Neurology. 2019;19(1):83. doi:10.1186/s12883-019-1314-6</w:t>
      </w:r>
    </w:p>
    <w:p w14:paraId="60275E2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442. Wasuthalainun C, Keskool P, Petsuksiri J, et al. Sparing swallowing-related structures reduces post-radiotherapy dysphagia in oropharyngeal cancer. Asian Pac J Cancer Prev. 2024;25:1451–1456. doi:10.31557/APJCP.2024.25.4.1451</w:t>
      </w:r>
    </w:p>
    <w:p w14:paraId="61535747"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443. Watanabe S, Izuhara E, Oh-Shige H, et al. Relationship between age and sex and the numbers of ingestions and swallows for foods of different textures among healthy adults. Physiol Behav. 2021;229:113225. doi:10.1016/j.physbeh.2020.113225</w:t>
      </w:r>
    </w:p>
    <w:p w14:paraId="5548349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444. Wattanapan P, Saengnil T, Niamnuy C, et al. Textural properties and muscle activities during mastication of normal and ultrasonically softened sticky rice aimed for consumers with swallowing disorder: A pilot study. J Texture Stud. 2021;52:561–566. doi:10.1111/jtxs.12631</w:t>
      </w:r>
    </w:p>
    <w:p w14:paraId="4E16004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445. Watts CR, Kelly B. The effect of bolus consistency and sex on electrophysiological measures of hyolaryngeal muscle activity during swallowing. Dysphagia. 2015;30:551–557. doi:10.1007/s00455-015-9635-0</w:t>
      </w:r>
    </w:p>
    <w:p w14:paraId="3D15C749"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446. Wee MSM, Goh AT, Stieger M, et al. Correlation of instrumental texture properties from textural profile analysis (TPA) with eating behaviours and macronutrient composition for a wide range of solid foods. Food Funct. 2018;9:5301–5312. doi:10.1039/c8fo00791h</w:t>
      </w:r>
    </w:p>
    <w:p w14:paraId="078B226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447. Wineski RE, Panico E, Karas A, et al. Optimal timing and technique for endoscopic management of dysphagia in pediatric aerodigestive patients. Int J Pediatr Otorhinolaryngol. 2021;150. doi:10.1016/j.ijporl.2021.110874</w:t>
      </w:r>
    </w:p>
    <w:p w14:paraId="7FB3659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448. Wong NS, Feng Z, Rappazzo C, et al. Patterns of dysphagia and airway protection in infants with 22q11.2-deletion syndrome. Laryngoscope. 2020;130:2532–2536. doi:10.1002/lary.28317</w:t>
      </w:r>
    </w:p>
    <w:p w14:paraId="204D3716"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449. Wongwan P, Keskool P, Ongard S, et al. Physical properties of meals that are suitable for patients after surgery to treat oral cavity cancers. Asian Pac J Cancer Prev. 2023;24(3):841–847. doi:10.31557/APJCP.2023.24.3.84</w:t>
      </w:r>
    </w:p>
    <w:p w14:paraId="4D4709C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450. Wright SH, Blumenow W, Kumar R, et al. Prevalence of dysphagia following posterior fossa tumour resection in children: the Alder Hey experience. Childs Nerv Syst. 2023;39:609–616. doi:10.1007/s00381-022-05774-3</w:t>
      </w:r>
    </w:p>
    <w:p w14:paraId="394E04E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451. Ws Coriolano MdG, R Belo L, Carneiro D, et al. Swallowing in patients with Parkinson's disease: A surface electromyography study. Dysphagia. 2012;27:550–555. doi:10.1007/s00455-012-9406-0</w:t>
      </w:r>
    </w:p>
    <w:p w14:paraId="011E2ECB"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452. Xiang XL, Wang A, Tu L, et al. The motility of esophageal sphincters during liquid and solid bolus swallows: A multicenter normative value study of high-resolution manometry in China. Neurogastroenterol Motil. 2017;29(1). doi:10.1111/nmo.12914</w:t>
      </w:r>
    </w:p>
    <w:p w14:paraId="7DF5C94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453. Xie T, Bloom L, Padmanaban M, et al. Impact of oral textures on aspiration and changes in swallow dynamics in patients with PD with DBS. J Neurol Neurosurg Psychiatry.2021;92(4):447–449. doi:10.1136/jnnp-2020-324579</w:t>
      </w:r>
    </w:p>
    <w:p w14:paraId="5938B1F1"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454. Yalcin A, Aras I, Gode S, et al. Evaluation of swallowing in transverse maxillary deficiency patients before and after rapid maxillary expansion. Angle Orthod. 2023;93(5):552–557. doi:10.2319/101222-703.1</w:t>
      </w:r>
    </w:p>
    <w:p w14:paraId="6F0F52A0"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455. Yamada T, Matsuo K, Izawa M, et al. Effects of age and viscosity on food transport and breathing–swallowing coordination during eating of two-phase food in nursing home residents. Geriatr Gerontol Int. 2017;17:2171–2177. doi:10.1111/ggi.13056</w:t>
      </w:r>
    </w:p>
    <w:p w14:paraId="39E1A96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456. Yamaguchi E, Torisu T, Tada H, et al. The influence of thickeners of food on the particle size of boluses: A consideration for swallowing. Odontology. 2019;107:546–554. doi:10.1007/s10266-019-00429-3</w:t>
      </w:r>
    </w:p>
    <w:p w14:paraId="212DAA9E"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457. Yamawaki K, Mori T, Itaki S, et al. Relationship between food crushing and oral function in older adults requiring nursing home care: A pilot study. Int J Environ Res Public Health. 2022;19(6): 3419. doi:10.3390/ijerph19063419</w:t>
      </w:r>
    </w:p>
    <w:p w14:paraId="6FF7381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458. Yano J, Aoyagi Y, Ono T, et al. Effect of bolus volume and flow time on temporospatial coordination in oropharyngeal pressure production in healthy subjects. Physiol Behav. 2018;189:92–98. doi:10.1016/j.physbeh.2018.03.006</w:t>
      </w:r>
    </w:p>
    <w:p w14:paraId="7A2F3872"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459. Yasaroglu OF, Serel Arslan S, Kilinc HE, et al. An evaluation of swallowing function in head and neck cancer patients after cancer treatment. Turk J Physiother Rehabil. 2020;31(2):196–201. doi:10.21653/tjpr.538316</w:t>
      </w:r>
    </w:p>
    <w:p w14:paraId="00955DE3"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460. Yu L, Zheng M, Ren J, et al. Supracricoid partial laryngectomy with cricohyoidoepiglottopexy for patients with laryngeal cicatricial stenosis: Safety and efficacy. Head Neck. 2021;43:2634–2643. doi:10.1002/hed.26734</w:t>
      </w:r>
    </w:p>
    <w:p w14:paraId="7D3F734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461. Yu-Lei X, Shan W, Ju Y, et al. Theta burst stimulation versus high-frequency repetitive transcranial magnetic stimulation for poststroke dysphagia: A randomized, double-blind, controlled trial. Medicine. 2022;101(2). doi:10.1097/MD.0000000000028576</w:t>
      </w:r>
    </w:p>
    <w:p w14:paraId="063746C4"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462. Yuen MTY, Tsang RK, Wong IYH, et al. Long-term pharyngeal dysphagia after esophagectomy for esophageal cancer-an investigation using videofluoroscopic swallow studies. Dis Esophagus. 2019;32(1). doi:10.1093/dote/doy068</w:t>
      </w:r>
    </w:p>
    <w:p w14:paraId="11A27A8A"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463. Zhang Z, Perera S, Donohue C, et al. The prediction of risk of penetration–aspiration via hyoid bone displacement features. Dysphagia. 2020;35:66–72. doi:10.1007/s00455-019-10000-5</w:t>
      </w:r>
    </w:p>
    <w:p w14:paraId="2143AF7D" w14:textId="77777777" w:rsidR="0071326A" w:rsidRPr="0071326A"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464. Zhu M, Yu B, Yang W, et al. Evaluation of normal swallowing functions by using dynamic high-density surface electromyography maps. Biomed Eng Online. 2017;16(1):133. doi:10.1186/s12938-017-0424-x</w:t>
      </w:r>
    </w:p>
    <w:p w14:paraId="70DF9E56" w14:textId="3CB02075" w:rsidR="00D0120F" w:rsidRDefault="0071326A" w:rsidP="0071326A">
      <w:pPr>
        <w:rPr>
          <w:rFonts w:ascii="Times New Roman" w:hAnsi="Times New Roman" w:cs="Times New Roman"/>
          <w:sz w:val="24"/>
          <w:szCs w:val="24"/>
        </w:rPr>
      </w:pPr>
      <w:r w:rsidRPr="0071326A">
        <w:rPr>
          <w:rFonts w:ascii="Times New Roman" w:hAnsi="Times New Roman" w:cs="Times New Roman"/>
          <w:sz w:val="24"/>
          <w:szCs w:val="24"/>
        </w:rPr>
        <w:t>465. Zhu Y, Hollis JH. Differences in chewing behaviors between healthy fully dentate young and older adults assessed by electromyographic recordings. Int J Food Sci Nutr. 2015;66:452–457. doi:10.3109/09637486.2015.1038222</w:t>
      </w:r>
      <w:r w:rsidR="00D0120F">
        <w:rPr>
          <w:rFonts w:ascii="Times New Roman" w:hAnsi="Times New Roman" w:cs="Times New Roman"/>
          <w:sz w:val="24"/>
          <w:szCs w:val="24"/>
        </w:rPr>
        <w:br w:type="page"/>
      </w:r>
    </w:p>
    <w:p w14:paraId="3754CA5D" w14:textId="77777777" w:rsidR="006075EF" w:rsidRPr="00163DFD" w:rsidRDefault="006075EF" w:rsidP="006075EF">
      <w:pPr>
        <w:pStyle w:val="Heading1"/>
        <w:numPr>
          <w:ilvl w:val="0"/>
          <w:numId w:val="5"/>
        </w:numPr>
        <w:spacing w:after="240"/>
        <w:ind w:left="567" w:hanging="567"/>
        <w:rPr>
          <w:rFonts w:ascii="Times New Roman" w:hAnsi="Times New Roman" w:cs="Times New Roman"/>
          <w:b/>
          <w:color w:val="auto"/>
          <w:sz w:val="24"/>
          <w:szCs w:val="24"/>
        </w:rPr>
      </w:pPr>
      <w:bookmarkStart w:id="4" w:name="_Toc231831487"/>
      <w:r w:rsidRPr="00163DFD">
        <w:rPr>
          <w:rFonts w:ascii="Times New Roman" w:hAnsi="Times New Roman" w:cs="Times New Roman"/>
          <w:b/>
          <w:color w:val="auto"/>
          <w:sz w:val="24"/>
          <w:szCs w:val="24"/>
        </w:rPr>
        <w:t>Definitions used in study design classification</w:t>
      </w:r>
      <w:bookmarkEnd w:id="4"/>
    </w:p>
    <w:p w14:paraId="4AE427E1" w14:textId="77777777" w:rsidR="006075EF" w:rsidRPr="00690907" w:rsidRDefault="006075EF" w:rsidP="006075EF">
      <w:pPr>
        <w:numPr>
          <w:ilvl w:val="0"/>
          <w:numId w:val="2"/>
        </w:numPr>
        <w:shd w:val="clear" w:color="auto" w:fill="FFFFFF"/>
        <w:tabs>
          <w:tab w:val="clear" w:pos="720"/>
          <w:tab w:val="num" w:pos="284"/>
        </w:tabs>
        <w:spacing w:before="100" w:beforeAutospacing="1" w:after="0" w:line="360" w:lineRule="auto"/>
        <w:ind w:left="284" w:hanging="284"/>
        <w:rPr>
          <w:rFonts w:ascii="Times New Roman" w:eastAsia="Times New Roman" w:hAnsi="Times New Roman" w:cs="Times New Roman"/>
          <w:color w:val="000000"/>
          <w:sz w:val="24"/>
          <w:szCs w:val="24"/>
          <w:lang w:val="en-CA"/>
        </w:rPr>
      </w:pPr>
      <w:r w:rsidRPr="00690907">
        <w:rPr>
          <w:rFonts w:ascii="Times New Roman" w:eastAsia="Times New Roman" w:hAnsi="Times New Roman" w:cs="Times New Roman"/>
          <w:color w:val="000000"/>
          <w:sz w:val="24"/>
          <w:szCs w:val="24"/>
          <w:u w:val="single"/>
        </w:rPr>
        <w:t>Randomized control trial</w:t>
      </w:r>
      <w:r w:rsidRPr="00690907">
        <w:rPr>
          <w:rFonts w:ascii="Times New Roman" w:eastAsia="Times New Roman" w:hAnsi="Times New Roman" w:cs="Times New Roman"/>
          <w:color w:val="000000"/>
          <w:sz w:val="24"/>
          <w:szCs w:val="24"/>
        </w:rPr>
        <w:t xml:space="preserve"> (RCT): one group of participants, randomized into </w:t>
      </w:r>
      <w:r w:rsidRPr="00690907">
        <w:rPr>
          <w:rFonts w:ascii="Times New Roman" w:eastAsia="Times New Roman" w:hAnsi="Times New Roman" w:cs="Times New Roman"/>
          <w:i/>
          <w:iCs/>
          <w:color w:val="C82613"/>
          <w:sz w:val="24"/>
          <w:szCs w:val="24"/>
        </w:rPr>
        <w:t xml:space="preserve">different </w:t>
      </w:r>
      <w:r w:rsidRPr="00690907">
        <w:rPr>
          <w:rFonts w:ascii="Times New Roman" w:eastAsia="Times New Roman" w:hAnsi="Times New Roman" w:cs="Times New Roman"/>
          <w:color w:val="000000"/>
          <w:sz w:val="24"/>
          <w:szCs w:val="24"/>
        </w:rPr>
        <w:t>intervention arms (i.e., control/sham vs treatment)</w:t>
      </w:r>
    </w:p>
    <w:p w14:paraId="2DDAB144" w14:textId="77777777" w:rsidR="006075EF" w:rsidRPr="00690907" w:rsidRDefault="006075EF" w:rsidP="006075EF">
      <w:pPr>
        <w:numPr>
          <w:ilvl w:val="1"/>
          <w:numId w:val="2"/>
        </w:numPr>
        <w:shd w:val="clear" w:color="auto" w:fill="FFFFFF"/>
        <w:tabs>
          <w:tab w:val="num" w:pos="567"/>
        </w:tabs>
        <w:spacing w:before="100" w:beforeAutospacing="1" w:after="0" w:line="360" w:lineRule="auto"/>
        <w:ind w:left="284" w:firstLine="0"/>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Each person only receives one intervention/condition (unlike crossover)</w:t>
      </w:r>
    </w:p>
    <w:p w14:paraId="39CF3EF7" w14:textId="77777777" w:rsidR="006075EF" w:rsidRPr="00690907" w:rsidRDefault="006075EF" w:rsidP="006075EF">
      <w:pPr>
        <w:numPr>
          <w:ilvl w:val="0"/>
          <w:numId w:val="3"/>
        </w:numPr>
        <w:shd w:val="clear" w:color="auto" w:fill="FFFFFF"/>
        <w:tabs>
          <w:tab w:val="clear" w:pos="720"/>
          <w:tab w:val="num" w:pos="284"/>
        </w:tabs>
        <w:spacing w:before="100" w:beforeAutospacing="1" w:after="100" w:afterAutospacing="1" w:line="360" w:lineRule="auto"/>
        <w:ind w:left="284"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u w:val="single"/>
        </w:rPr>
        <w:t>Case Series</w:t>
      </w:r>
      <w:r w:rsidRPr="00690907">
        <w:rPr>
          <w:rFonts w:ascii="Times New Roman" w:eastAsia="Times New Roman" w:hAnsi="Times New Roman" w:cs="Times New Roman"/>
          <w:color w:val="000000"/>
          <w:sz w:val="24"/>
          <w:szCs w:val="24"/>
        </w:rPr>
        <w:t xml:space="preserve">: </w:t>
      </w:r>
      <w:r w:rsidRPr="00690907">
        <w:rPr>
          <w:rFonts w:ascii="Times New Roman" w:eastAsia="Times New Roman" w:hAnsi="Times New Roman" w:cs="Times New Roman"/>
          <w:i/>
          <w:iCs/>
          <w:color w:val="C82613"/>
          <w:sz w:val="24"/>
          <w:szCs w:val="24"/>
        </w:rPr>
        <w:t>description</w:t>
      </w:r>
      <w:r w:rsidRPr="00690907">
        <w:rPr>
          <w:rFonts w:ascii="Times New Roman" w:eastAsia="Times New Roman" w:hAnsi="Times New Roman" w:cs="Times New Roman"/>
          <w:color w:val="C82613"/>
          <w:sz w:val="24"/>
          <w:szCs w:val="24"/>
        </w:rPr>
        <w:t> </w:t>
      </w:r>
      <w:r w:rsidRPr="00690907">
        <w:rPr>
          <w:rFonts w:ascii="Times New Roman" w:eastAsia="Times New Roman" w:hAnsi="Times New Roman" w:cs="Times New Roman"/>
          <w:color w:val="000000"/>
          <w:sz w:val="24"/>
          <w:szCs w:val="24"/>
        </w:rPr>
        <w:t>of a group of patients with a similar condition/undergoing the same intervention</w:t>
      </w:r>
    </w:p>
    <w:p w14:paraId="5EAF6B96" w14:textId="77777777" w:rsidR="006075EF" w:rsidRPr="00690907" w:rsidRDefault="006075EF" w:rsidP="006075EF">
      <w:pPr>
        <w:numPr>
          <w:ilvl w:val="1"/>
          <w:numId w:val="3"/>
        </w:numPr>
        <w:shd w:val="clear" w:color="auto" w:fill="FFFFFF"/>
        <w:tabs>
          <w:tab w:val="num" w:pos="709"/>
        </w:tabs>
        <w:spacing w:before="100" w:beforeAutospacing="1" w:after="100" w:afterAutospacing="1" w:line="360" w:lineRule="auto"/>
        <w:ind w:left="567"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Essentially grouping multiple case studies/reports together (</w:t>
      </w:r>
      <w:r w:rsidRPr="00690907">
        <w:rPr>
          <w:rFonts w:ascii="Times New Roman" w:eastAsia="Times New Roman" w:hAnsi="Times New Roman" w:cs="Times New Roman"/>
          <w:i/>
          <w:iCs/>
          <w:color w:val="C82613"/>
          <w:sz w:val="24"/>
          <w:szCs w:val="24"/>
        </w:rPr>
        <w:t xml:space="preserve">no controls </w:t>
      </w:r>
      <w:r w:rsidRPr="00690907">
        <w:rPr>
          <w:rFonts w:ascii="Times New Roman" w:eastAsia="Times New Roman" w:hAnsi="Times New Roman" w:cs="Times New Roman"/>
          <w:color w:val="000000"/>
          <w:sz w:val="24"/>
          <w:szCs w:val="24"/>
        </w:rPr>
        <w:t>for comparison)</w:t>
      </w:r>
    </w:p>
    <w:p w14:paraId="0ABF3BE0" w14:textId="77777777" w:rsidR="006075EF" w:rsidRPr="00690907" w:rsidRDefault="006075EF" w:rsidP="006075EF">
      <w:pPr>
        <w:numPr>
          <w:ilvl w:val="1"/>
          <w:numId w:val="3"/>
        </w:numPr>
        <w:shd w:val="clear" w:color="auto" w:fill="FFFFFF"/>
        <w:tabs>
          <w:tab w:val="num" w:pos="709"/>
        </w:tabs>
        <w:spacing w:before="100" w:beforeAutospacing="1" w:after="100" w:afterAutospacing="1" w:line="360" w:lineRule="auto"/>
        <w:ind w:left="567"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Often small sample size, with in-depth information on patient demographics (e.g., listing all participants by number)</w:t>
      </w:r>
    </w:p>
    <w:p w14:paraId="6568C6CE" w14:textId="77777777" w:rsidR="006075EF" w:rsidRPr="00690907" w:rsidRDefault="006075EF" w:rsidP="006075EF">
      <w:pPr>
        <w:numPr>
          <w:ilvl w:val="1"/>
          <w:numId w:val="3"/>
        </w:numPr>
        <w:shd w:val="clear" w:color="auto" w:fill="FFFFFF"/>
        <w:tabs>
          <w:tab w:val="num" w:pos="709"/>
        </w:tabs>
        <w:spacing w:before="100" w:beforeAutospacing="1" w:after="100" w:afterAutospacing="1" w:line="360" w:lineRule="auto"/>
        <w:ind w:left="567"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 xml:space="preserve">Not designed to assess for association between intervention/outcome (i.e., primarily </w:t>
      </w:r>
      <w:r w:rsidRPr="00690907">
        <w:rPr>
          <w:rFonts w:ascii="Times New Roman" w:eastAsia="Times New Roman" w:hAnsi="Times New Roman" w:cs="Times New Roman"/>
          <w:color w:val="C82613"/>
          <w:sz w:val="24"/>
          <w:szCs w:val="24"/>
        </w:rPr>
        <w:t xml:space="preserve">descriptive statistics </w:t>
      </w:r>
      <w:r w:rsidRPr="00690907">
        <w:rPr>
          <w:rFonts w:ascii="Times New Roman" w:eastAsia="Times New Roman" w:hAnsi="Times New Roman" w:cs="Times New Roman"/>
          <w:color w:val="000000"/>
          <w:sz w:val="24"/>
          <w:szCs w:val="24"/>
        </w:rPr>
        <w:t>only)</w:t>
      </w:r>
    </w:p>
    <w:p w14:paraId="7F9FC325" w14:textId="77777777" w:rsidR="006075EF" w:rsidRPr="00690907" w:rsidRDefault="006075EF" w:rsidP="006075EF">
      <w:pPr>
        <w:numPr>
          <w:ilvl w:val="0"/>
          <w:numId w:val="3"/>
        </w:numPr>
        <w:shd w:val="clear" w:color="auto" w:fill="FFFFFF"/>
        <w:tabs>
          <w:tab w:val="clear" w:pos="720"/>
          <w:tab w:val="num" w:pos="284"/>
        </w:tabs>
        <w:spacing w:before="100" w:beforeAutospacing="1" w:after="100" w:afterAutospacing="1" w:line="360" w:lineRule="auto"/>
        <w:ind w:left="284"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u w:val="single"/>
        </w:rPr>
        <w:t>Case-Control</w:t>
      </w:r>
      <w:r w:rsidRPr="00690907">
        <w:rPr>
          <w:rFonts w:ascii="Times New Roman" w:eastAsia="Times New Roman" w:hAnsi="Times New Roman" w:cs="Times New Roman"/>
          <w:color w:val="000000"/>
          <w:sz w:val="24"/>
          <w:szCs w:val="24"/>
        </w:rPr>
        <w:t xml:space="preserve">: </w:t>
      </w:r>
      <w:r w:rsidRPr="00690907">
        <w:rPr>
          <w:rFonts w:ascii="Times New Roman" w:eastAsia="Times New Roman" w:hAnsi="Times New Roman" w:cs="Times New Roman"/>
          <w:i/>
          <w:iCs/>
          <w:color w:val="C82613"/>
          <w:sz w:val="24"/>
          <w:szCs w:val="24"/>
        </w:rPr>
        <w:t xml:space="preserve">two </w:t>
      </w:r>
      <w:r w:rsidRPr="00690907">
        <w:rPr>
          <w:rFonts w:ascii="Times New Roman" w:eastAsia="Times New Roman" w:hAnsi="Times New Roman" w:cs="Times New Roman"/>
          <w:color w:val="000000"/>
          <w:sz w:val="24"/>
          <w:szCs w:val="24"/>
        </w:rPr>
        <w:t>groups of participants, recruited by those who have a specific outcome/condition (</w:t>
      </w:r>
      <w:r w:rsidRPr="00690907">
        <w:rPr>
          <w:rFonts w:ascii="Times New Roman" w:eastAsia="Times New Roman" w:hAnsi="Times New Roman" w:cs="Times New Roman"/>
          <w:color w:val="C82613"/>
          <w:sz w:val="24"/>
          <w:szCs w:val="24"/>
        </w:rPr>
        <w:t>cases</w:t>
      </w:r>
      <w:r w:rsidRPr="00690907">
        <w:rPr>
          <w:rFonts w:ascii="Times New Roman" w:eastAsia="Times New Roman" w:hAnsi="Times New Roman" w:cs="Times New Roman"/>
          <w:color w:val="000000"/>
          <w:sz w:val="24"/>
          <w:szCs w:val="24"/>
        </w:rPr>
        <w:t>) vs those who do not (</w:t>
      </w:r>
      <w:r w:rsidRPr="00690907">
        <w:rPr>
          <w:rFonts w:ascii="Times New Roman" w:eastAsia="Times New Roman" w:hAnsi="Times New Roman" w:cs="Times New Roman"/>
          <w:color w:val="C82613"/>
          <w:sz w:val="24"/>
          <w:szCs w:val="24"/>
        </w:rPr>
        <w:t>controls</w:t>
      </w:r>
      <w:r w:rsidRPr="00690907">
        <w:rPr>
          <w:rFonts w:ascii="Times New Roman" w:eastAsia="Times New Roman" w:hAnsi="Times New Roman" w:cs="Times New Roman"/>
          <w:color w:val="000000"/>
          <w:sz w:val="24"/>
          <w:szCs w:val="24"/>
        </w:rPr>
        <w:t>)</w:t>
      </w:r>
    </w:p>
    <w:p w14:paraId="2F0E5B61" w14:textId="77777777" w:rsidR="006075EF" w:rsidRPr="00690907" w:rsidRDefault="006075EF" w:rsidP="006075EF">
      <w:pPr>
        <w:numPr>
          <w:ilvl w:val="1"/>
          <w:numId w:val="3"/>
        </w:numPr>
        <w:shd w:val="clear" w:color="auto" w:fill="FFFFFF"/>
        <w:tabs>
          <w:tab w:val="num" w:pos="567"/>
        </w:tabs>
        <w:spacing w:before="100" w:beforeAutospacing="1" w:after="100" w:afterAutospacing="1" w:line="360" w:lineRule="auto"/>
        <w:ind w:left="567" w:hanging="283"/>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 xml:space="preserve">Always </w:t>
      </w:r>
      <w:r w:rsidRPr="00690907">
        <w:rPr>
          <w:rFonts w:ascii="Times New Roman" w:eastAsia="Times New Roman" w:hAnsi="Times New Roman" w:cs="Times New Roman"/>
          <w:i/>
          <w:iCs/>
          <w:color w:val="C82613"/>
          <w:sz w:val="24"/>
          <w:szCs w:val="24"/>
        </w:rPr>
        <w:t xml:space="preserve">retrospective </w:t>
      </w:r>
      <w:r w:rsidRPr="00690907">
        <w:rPr>
          <w:rFonts w:ascii="Times New Roman" w:eastAsia="Times New Roman" w:hAnsi="Times New Roman" w:cs="Times New Roman"/>
          <w:color w:val="000000"/>
          <w:sz w:val="24"/>
          <w:szCs w:val="24"/>
        </w:rPr>
        <w:t xml:space="preserve">(i.e., looking </w:t>
      </w:r>
      <w:r w:rsidRPr="00690907">
        <w:rPr>
          <w:rFonts w:ascii="Times New Roman" w:eastAsia="Times New Roman" w:hAnsi="Times New Roman" w:cs="Times New Roman"/>
          <w:i/>
          <w:iCs/>
          <w:color w:val="C82613"/>
          <w:sz w:val="24"/>
          <w:szCs w:val="24"/>
        </w:rPr>
        <w:t xml:space="preserve">backward </w:t>
      </w:r>
      <w:r w:rsidRPr="00690907">
        <w:rPr>
          <w:rFonts w:ascii="Times New Roman" w:eastAsia="Times New Roman" w:hAnsi="Times New Roman" w:cs="Times New Roman"/>
          <w:color w:val="000000"/>
          <w:sz w:val="24"/>
          <w:szCs w:val="24"/>
        </w:rPr>
        <w:t xml:space="preserve">in time from time of recruitment to identify </w:t>
      </w:r>
      <w:r w:rsidRPr="00690907">
        <w:rPr>
          <w:rFonts w:ascii="Times New Roman" w:eastAsia="Times New Roman" w:hAnsi="Times New Roman" w:cs="Times New Roman"/>
          <w:i/>
          <w:iCs/>
          <w:color w:val="C82613"/>
          <w:sz w:val="24"/>
          <w:szCs w:val="24"/>
        </w:rPr>
        <w:t xml:space="preserve">exposure history </w:t>
      </w:r>
      <w:r w:rsidRPr="00690907">
        <w:rPr>
          <w:rFonts w:ascii="Times New Roman" w:eastAsia="Times New Roman" w:hAnsi="Times New Roman" w:cs="Times New Roman"/>
          <w:color w:val="000000"/>
          <w:sz w:val="24"/>
          <w:szCs w:val="24"/>
        </w:rPr>
        <w:t xml:space="preserve">or </w:t>
      </w:r>
      <w:r w:rsidRPr="00690907">
        <w:rPr>
          <w:rFonts w:ascii="Times New Roman" w:eastAsia="Times New Roman" w:hAnsi="Times New Roman" w:cs="Times New Roman"/>
          <w:i/>
          <w:iCs/>
          <w:color w:val="C82613"/>
          <w:sz w:val="24"/>
          <w:szCs w:val="24"/>
        </w:rPr>
        <w:t>risk factors</w:t>
      </w:r>
      <w:r w:rsidRPr="00690907">
        <w:rPr>
          <w:rFonts w:ascii="Times New Roman" w:eastAsia="Times New Roman" w:hAnsi="Times New Roman" w:cs="Times New Roman"/>
          <w:color w:val="000000"/>
          <w:sz w:val="24"/>
          <w:szCs w:val="24"/>
        </w:rPr>
        <w:t> leading to the outcome/condition)</w:t>
      </w:r>
    </w:p>
    <w:p w14:paraId="54D4524F" w14:textId="77777777" w:rsidR="006075EF" w:rsidRPr="00690907" w:rsidRDefault="006075EF" w:rsidP="006075EF">
      <w:pPr>
        <w:numPr>
          <w:ilvl w:val="1"/>
          <w:numId w:val="3"/>
        </w:numPr>
        <w:shd w:val="clear" w:color="auto" w:fill="FFFFFF"/>
        <w:tabs>
          <w:tab w:val="num" w:pos="567"/>
        </w:tabs>
        <w:spacing w:before="100" w:beforeAutospacing="1" w:after="100" w:afterAutospacing="1" w:line="360" w:lineRule="auto"/>
        <w:ind w:left="567" w:hanging="283"/>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Controls can be matched or unmatched to cases (e.g., sex, age)</w:t>
      </w:r>
    </w:p>
    <w:p w14:paraId="706671C5" w14:textId="77777777" w:rsidR="006075EF" w:rsidRPr="00690907" w:rsidRDefault="006075EF" w:rsidP="006075EF">
      <w:pPr>
        <w:numPr>
          <w:ilvl w:val="0"/>
          <w:numId w:val="3"/>
        </w:numPr>
        <w:shd w:val="clear" w:color="auto" w:fill="FFFFFF"/>
        <w:tabs>
          <w:tab w:val="clear" w:pos="720"/>
          <w:tab w:val="num" w:pos="284"/>
        </w:tabs>
        <w:spacing w:before="100" w:beforeAutospacing="1" w:after="100" w:afterAutospacing="1" w:line="360" w:lineRule="auto"/>
        <w:ind w:left="284"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u w:val="single"/>
        </w:rPr>
        <w:t>Cross-sectional</w:t>
      </w:r>
      <w:r w:rsidRPr="00690907">
        <w:rPr>
          <w:rFonts w:ascii="Times New Roman" w:eastAsia="Times New Roman" w:hAnsi="Times New Roman" w:cs="Times New Roman"/>
          <w:color w:val="000000"/>
          <w:sz w:val="24"/>
          <w:szCs w:val="24"/>
        </w:rPr>
        <w:t xml:space="preserve">: one or more groups/populations, with data collection taken at a </w:t>
      </w:r>
      <w:r w:rsidRPr="00690907">
        <w:rPr>
          <w:rFonts w:ascii="Times New Roman" w:eastAsia="Times New Roman" w:hAnsi="Times New Roman" w:cs="Times New Roman"/>
          <w:i/>
          <w:iCs/>
          <w:color w:val="C82613"/>
          <w:sz w:val="24"/>
          <w:szCs w:val="24"/>
        </w:rPr>
        <w:t xml:space="preserve">single </w:t>
      </w:r>
      <w:r w:rsidRPr="00690907">
        <w:rPr>
          <w:rFonts w:ascii="Times New Roman" w:eastAsia="Times New Roman" w:hAnsi="Times New Roman" w:cs="Times New Roman"/>
          <w:color w:val="000000"/>
          <w:sz w:val="24"/>
          <w:szCs w:val="24"/>
        </w:rPr>
        <w:t>point in time (i.e., no follow-up)</w:t>
      </w:r>
    </w:p>
    <w:p w14:paraId="252780F0" w14:textId="77777777" w:rsidR="006075EF" w:rsidRPr="00690907" w:rsidRDefault="006075EF" w:rsidP="006075EF">
      <w:pPr>
        <w:numPr>
          <w:ilvl w:val="1"/>
          <w:numId w:val="3"/>
        </w:numPr>
        <w:shd w:val="clear" w:color="auto" w:fill="FFFFFF"/>
        <w:tabs>
          <w:tab w:val="num" w:pos="567"/>
        </w:tabs>
        <w:spacing w:before="100" w:beforeAutospacing="1" w:after="100" w:afterAutospacing="1" w:line="360" w:lineRule="auto"/>
        <w:ind w:left="567" w:hanging="283"/>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 xml:space="preserve">Can have a control group, with main goal to compare similarities and differences between groups </w:t>
      </w:r>
      <w:r w:rsidRPr="00690907">
        <w:rPr>
          <w:rFonts w:ascii="Times New Roman" w:eastAsia="Times New Roman" w:hAnsi="Times New Roman" w:cs="Times New Roman"/>
          <w:i/>
          <w:iCs/>
          <w:color w:val="C82613"/>
          <w:sz w:val="24"/>
          <w:szCs w:val="24"/>
        </w:rPr>
        <w:t>at the time of the study</w:t>
      </w:r>
    </w:p>
    <w:p w14:paraId="778A4017" w14:textId="77777777" w:rsidR="006075EF" w:rsidRPr="00690907" w:rsidRDefault="006075EF" w:rsidP="006075EF">
      <w:pPr>
        <w:numPr>
          <w:ilvl w:val="0"/>
          <w:numId w:val="3"/>
        </w:numPr>
        <w:shd w:val="clear" w:color="auto" w:fill="FFFFFF"/>
        <w:tabs>
          <w:tab w:val="clear" w:pos="720"/>
          <w:tab w:val="num" w:pos="284"/>
        </w:tabs>
        <w:spacing w:before="100" w:beforeAutospacing="1" w:after="100" w:afterAutospacing="1" w:line="360" w:lineRule="auto"/>
        <w:ind w:left="284"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u w:val="single"/>
        </w:rPr>
        <w:t>Crossover</w:t>
      </w:r>
      <w:r w:rsidRPr="00690907">
        <w:rPr>
          <w:rFonts w:ascii="Times New Roman" w:eastAsia="Times New Roman" w:hAnsi="Times New Roman" w:cs="Times New Roman"/>
          <w:color w:val="000000"/>
          <w:sz w:val="24"/>
          <w:szCs w:val="24"/>
        </w:rPr>
        <w:t xml:space="preserve">: one group of participants, with each person undergoing </w:t>
      </w:r>
      <w:r w:rsidRPr="00690907">
        <w:rPr>
          <w:rFonts w:ascii="Times New Roman" w:eastAsia="Times New Roman" w:hAnsi="Times New Roman" w:cs="Times New Roman"/>
          <w:i/>
          <w:iCs/>
          <w:color w:val="C82613"/>
          <w:sz w:val="24"/>
          <w:szCs w:val="24"/>
        </w:rPr>
        <w:t xml:space="preserve">all </w:t>
      </w:r>
      <w:r w:rsidRPr="00690907">
        <w:rPr>
          <w:rFonts w:ascii="Times New Roman" w:eastAsia="Times New Roman" w:hAnsi="Times New Roman" w:cs="Times New Roman"/>
          <w:color w:val="000000"/>
          <w:sz w:val="24"/>
          <w:szCs w:val="24"/>
        </w:rPr>
        <w:t>interventions/conditions</w:t>
      </w:r>
    </w:p>
    <w:p w14:paraId="0DC9A872" w14:textId="77777777" w:rsidR="006075EF" w:rsidRPr="00690907" w:rsidRDefault="006075EF" w:rsidP="006075EF">
      <w:pPr>
        <w:numPr>
          <w:ilvl w:val="1"/>
          <w:numId w:val="3"/>
        </w:numPr>
        <w:shd w:val="clear" w:color="auto" w:fill="FFFFFF"/>
        <w:tabs>
          <w:tab w:val="num" w:pos="567"/>
        </w:tabs>
        <w:spacing w:before="100" w:beforeAutospacing="1" w:after="100" w:afterAutospacing="1" w:line="360" w:lineRule="auto"/>
        <w:ind w:left="567" w:hanging="283"/>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 xml:space="preserve">Typically, the </w:t>
      </w:r>
      <w:r w:rsidRPr="00690907">
        <w:rPr>
          <w:rFonts w:ascii="Times New Roman" w:eastAsia="Times New Roman" w:hAnsi="Times New Roman" w:cs="Times New Roman"/>
          <w:i/>
          <w:iCs/>
          <w:color w:val="C82613"/>
          <w:sz w:val="24"/>
          <w:szCs w:val="24"/>
        </w:rPr>
        <w:t xml:space="preserve">order </w:t>
      </w:r>
      <w:r w:rsidRPr="00690907">
        <w:rPr>
          <w:rFonts w:ascii="Times New Roman" w:eastAsia="Times New Roman" w:hAnsi="Times New Roman" w:cs="Times New Roman"/>
          <w:color w:val="000000"/>
          <w:sz w:val="24"/>
          <w:szCs w:val="24"/>
        </w:rPr>
        <w:t>of intervention/treatment is randomized, with a washout period in between interventions</w:t>
      </w:r>
    </w:p>
    <w:p w14:paraId="0C4FDB15" w14:textId="77777777" w:rsidR="006075EF" w:rsidRPr="00690907" w:rsidRDefault="006075EF" w:rsidP="006075EF">
      <w:pPr>
        <w:numPr>
          <w:ilvl w:val="0"/>
          <w:numId w:val="3"/>
        </w:numPr>
        <w:shd w:val="clear" w:color="auto" w:fill="FFFFFF"/>
        <w:tabs>
          <w:tab w:val="clear" w:pos="720"/>
          <w:tab w:val="num" w:pos="284"/>
        </w:tabs>
        <w:spacing w:before="100" w:beforeAutospacing="1" w:after="100" w:afterAutospacing="1" w:line="360" w:lineRule="auto"/>
        <w:ind w:left="284"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u w:val="single"/>
        </w:rPr>
        <w:t>Cohort</w:t>
      </w:r>
      <w:r w:rsidRPr="00690907">
        <w:rPr>
          <w:rFonts w:ascii="Times New Roman" w:eastAsia="Times New Roman" w:hAnsi="Times New Roman" w:cs="Times New Roman"/>
          <w:color w:val="000000"/>
          <w:sz w:val="24"/>
          <w:szCs w:val="24"/>
        </w:rPr>
        <w:t xml:space="preserve">: one or more groups/populations, with data collected at </w:t>
      </w:r>
      <w:r w:rsidRPr="00690907">
        <w:rPr>
          <w:rFonts w:ascii="Times New Roman" w:eastAsia="Times New Roman" w:hAnsi="Times New Roman" w:cs="Times New Roman"/>
          <w:i/>
          <w:iCs/>
          <w:color w:val="C82613"/>
          <w:sz w:val="24"/>
          <w:szCs w:val="24"/>
        </w:rPr>
        <w:t xml:space="preserve">multiple </w:t>
      </w:r>
      <w:r w:rsidRPr="00690907">
        <w:rPr>
          <w:rFonts w:ascii="Times New Roman" w:eastAsia="Times New Roman" w:hAnsi="Times New Roman" w:cs="Times New Roman"/>
          <w:color w:val="000000"/>
          <w:sz w:val="24"/>
          <w:szCs w:val="24"/>
        </w:rPr>
        <w:t>time points (i.e., longitudinal studies or with follow-up)</w:t>
      </w:r>
    </w:p>
    <w:p w14:paraId="6E947AE9" w14:textId="77777777" w:rsidR="006075EF" w:rsidRPr="00690907" w:rsidRDefault="006075EF" w:rsidP="006075EF">
      <w:pPr>
        <w:numPr>
          <w:ilvl w:val="1"/>
          <w:numId w:val="3"/>
        </w:numPr>
        <w:shd w:val="clear" w:color="auto" w:fill="FFFFFF"/>
        <w:tabs>
          <w:tab w:val="num" w:pos="567"/>
        </w:tabs>
        <w:spacing w:before="100" w:beforeAutospacing="1" w:after="100" w:afterAutospacing="1" w:line="360" w:lineRule="auto"/>
        <w:ind w:left="567"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Can have a control group, with main goal to compare between groups</w:t>
      </w:r>
      <w:r w:rsidRPr="00690907">
        <w:rPr>
          <w:rFonts w:ascii="Times New Roman" w:eastAsia="Times New Roman" w:hAnsi="Times New Roman" w:cs="Times New Roman"/>
          <w:i/>
          <w:iCs/>
          <w:color w:val="C82613"/>
          <w:sz w:val="24"/>
          <w:szCs w:val="24"/>
        </w:rPr>
        <w:t> over time</w:t>
      </w:r>
    </w:p>
    <w:p w14:paraId="513C2505" w14:textId="77777777" w:rsidR="006075EF" w:rsidRPr="00690907" w:rsidRDefault="006075EF" w:rsidP="006075EF">
      <w:pPr>
        <w:numPr>
          <w:ilvl w:val="1"/>
          <w:numId w:val="3"/>
        </w:numPr>
        <w:shd w:val="clear" w:color="auto" w:fill="FFFFFF"/>
        <w:tabs>
          <w:tab w:val="num" w:pos="567"/>
        </w:tabs>
        <w:spacing w:before="100" w:beforeAutospacing="1" w:after="100" w:afterAutospacing="1" w:line="360" w:lineRule="auto"/>
        <w:ind w:left="567" w:hanging="284"/>
        <w:rPr>
          <w:rFonts w:ascii="Times New Roman" w:eastAsia="Times New Roman" w:hAnsi="Times New Roman" w:cs="Times New Roman"/>
          <w:color w:val="000000"/>
          <w:sz w:val="24"/>
          <w:szCs w:val="24"/>
        </w:rPr>
      </w:pPr>
      <w:r w:rsidRPr="00690907">
        <w:rPr>
          <w:rFonts w:ascii="Times New Roman" w:eastAsia="Times New Roman" w:hAnsi="Times New Roman" w:cs="Times New Roman"/>
          <w:color w:val="000000"/>
          <w:sz w:val="24"/>
          <w:szCs w:val="24"/>
        </w:rPr>
        <w:t xml:space="preserve">Can be </w:t>
      </w:r>
      <w:r w:rsidRPr="00690907">
        <w:rPr>
          <w:rFonts w:ascii="Times New Roman" w:eastAsia="Times New Roman" w:hAnsi="Times New Roman" w:cs="Times New Roman"/>
          <w:i/>
          <w:iCs/>
          <w:color w:val="C82613"/>
          <w:sz w:val="24"/>
          <w:szCs w:val="24"/>
        </w:rPr>
        <w:t xml:space="preserve">prospective </w:t>
      </w:r>
      <w:r w:rsidRPr="00690907">
        <w:rPr>
          <w:rFonts w:ascii="Times New Roman" w:eastAsia="Times New Roman" w:hAnsi="Times New Roman" w:cs="Times New Roman"/>
          <w:color w:val="000000"/>
          <w:sz w:val="24"/>
          <w:szCs w:val="24"/>
        </w:rPr>
        <w:t xml:space="preserve">(participants recruited </w:t>
      </w:r>
      <w:r w:rsidRPr="00690907">
        <w:rPr>
          <w:rFonts w:ascii="Times New Roman" w:eastAsia="Times New Roman" w:hAnsi="Times New Roman" w:cs="Times New Roman"/>
          <w:i/>
          <w:iCs/>
          <w:color w:val="C82613"/>
          <w:sz w:val="24"/>
          <w:szCs w:val="24"/>
        </w:rPr>
        <w:t xml:space="preserve">at </w:t>
      </w:r>
      <w:r w:rsidRPr="00690907">
        <w:rPr>
          <w:rFonts w:ascii="Times New Roman" w:eastAsia="Times New Roman" w:hAnsi="Times New Roman" w:cs="Times New Roman"/>
          <w:color w:val="000000"/>
          <w:sz w:val="24"/>
          <w:szCs w:val="24"/>
        </w:rPr>
        <w:t xml:space="preserve">the time of study, and followed forward in time) or </w:t>
      </w:r>
      <w:r w:rsidRPr="00690907">
        <w:rPr>
          <w:rFonts w:ascii="Times New Roman" w:eastAsia="Times New Roman" w:hAnsi="Times New Roman" w:cs="Times New Roman"/>
          <w:i/>
          <w:iCs/>
          <w:color w:val="C82613"/>
          <w:sz w:val="24"/>
          <w:szCs w:val="24"/>
        </w:rPr>
        <w:t xml:space="preserve">retrospective </w:t>
      </w:r>
      <w:r w:rsidRPr="00690907">
        <w:rPr>
          <w:rFonts w:ascii="Times New Roman" w:eastAsia="Times New Roman" w:hAnsi="Times New Roman" w:cs="Times New Roman"/>
          <w:color w:val="000000"/>
          <w:sz w:val="24"/>
          <w:szCs w:val="24"/>
        </w:rPr>
        <w:t xml:space="preserve">(participants recruited </w:t>
      </w:r>
      <w:r w:rsidRPr="00690907">
        <w:rPr>
          <w:rFonts w:ascii="Times New Roman" w:eastAsia="Times New Roman" w:hAnsi="Times New Roman" w:cs="Times New Roman"/>
          <w:i/>
          <w:iCs/>
          <w:color w:val="C82613"/>
          <w:sz w:val="24"/>
          <w:szCs w:val="24"/>
        </w:rPr>
        <w:t xml:space="preserve">before </w:t>
      </w:r>
      <w:r w:rsidRPr="00690907">
        <w:rPr>
          <w:rFonts w:ascii="Times New Roman" w:eastAsia="Times New Roman" w:hAnsi="Times New Roman" w:cs="Times New Roman"/>
          <w:color w:val="000000"/>
          <w:sz w:val="24"/>
          <w:szCs w:val="24"/>
        </w:rPr>
        <w:t>the time of study, then followed forward)</w:t>
      </w:r>
    </w:p>
    <w:p w14:paraId="55D03321" w14:textId="20AD4386" w:rsidR="005E2791" w:rsidRPr="00163DFD" w:rsidRDefault="005E2791" w:rsidP="00163DFD">
      <w:pPr>
        <w:pStyle w:val="Heading1"/>
        <w:numPr>
          <w:ilvl w:val="0"/>
          <w:numId w:val="5"/>
        </w:numPr>
        <w:spacing w:after="240"/>
        <w:ind w:left="567" w:hanging="567"/>
        <w:rPr>
          <w:rFonts w:ascii="Times New Roman" w:hAnsi="Times New Roman" w:cs="Times New Roman"/>
          <w:b/>
          <w:color w:val="auto"/>
          <w:sz w:val="24"/>
          <w:szCs w:val="24"/>
        </w:rPr>
      </w:pPr>
      <w:bookmarkStart w:id="5" w:name="_Toc231831488"/>
      <w:r w:rsidRPr="00163DFD">
        <w:rPr>
          <w:rFonts w:ascii="Times New Roman" w:hAnsi="Times New Roman" w:cs="Times New Roman"/>
          <w:b/>
          <w:color w:val="auto"/>
          <w:sz w:val="24"/>
          <w:szCs w:val="24"/>
        </w:rPr>
        <w:t>List of described stimuli used across the full-text article set (n = 465)</w:t>
      </w:r>
      <w:bookmarkEnd w:id="5"/>
    </w:p>
    <w:tbl>
      <w:tblPr>
        <w:tblW w:w="8784" w:type="dxa"/>
        <w:tblLook w:val="04A0" w:firstRow="1" w:lastRow="0" w:firstColumn="1" w:lastColumn="0" w:noHBand="0" w:noVBand="1"/>
      </w:tblPr>
      <w:tblGrid>
        <w:gridCol w:w="5098"/>
        <w:gridCol w:w="1276"/>
        <w:gridCol w:w="2410"/>
      </w:tblGrid>
      <w:tr w:rsidR="005E2791" w:rsidRPr="005E2791" w14:paraId="2EC4670C" w14:textId="77777777" w:rsidTr="005E2791">
        <w:trPr>
          <w:trHeight w:val="315"/>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A687D" w14:textId="77777777" w:rsidR="005E2791" w:rsidRPr="005E2791" w:rsidRDefault="005E2791" w:rsidP="005E2791">
            <w:pPr>
              <w:spacing w:after="0" w:line="240" w:lineRule="auto"/>
              <w:jc w:val="center"/>
              <w:rPr>
                <w:rFonts w:ascii="Times New Roman" w:eastAsia="Times New Roman" w:hAnsi="Times New Roman" w:cs="Times New Roman"/>
                <w:b/>
                <w:bCs/>
                <w:color w:val="000000"/>
                <w:sz w:val="24"/>
                <w:szCs w:val="24"/>
                <w:u w:val="single"/>
                <w:lang w:val="en-CA" w:eastAsia="en-CA"/>
              </w:rPr>
            </w:pPr>
            <w:r w:rsidRPr="005E2791">
              <w:rPr>
                <w:rFonts w:ascii="Times New Roman" w:eastAsia="Times New Roman" w:hAnsi="Times New Roman" w:cs="Times New Roman"/>
                <w:b/>
                <w:bCs/>
                <w:color w:val="000000"/>
                <w:sz w:val="24"/>
                <w:szCs w:val="24"/>
                <w:u w:val="single"/>
                <w:lang w:val="en-CA" w:eastAsia="en-CA"/>
              </w:rPr>
              <w:t>Stimulus Description</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37759E1" w14:textId="77777777" w:rsidR="005E2791" w:rsidRPr="005E2791" w:rsidRDefault="005E2791" w:rsidP="005E2791">
            <w:pPr>
              <w:spacing w:after="0" w:line="240" w:lineRule="auto"/>
              <w:jc w:val="center"/>
              <w:rPr>
                <w:rFonts w:ascii="Times New Roman" w:eastAsia="Times New Roman" w:hAnsi="Times New Roman" w:cs="Times New Roman"/>
                <w:b/>
                <w:bCs/>
                <w:color w:val="000000"/>
                <w:sz w:val="24"/>
                <w:szCs w:val="24"/>
                <w:u w:val="single"/>
                <w:lang w:val="en-CA" w:eastAsia="en-CA"/>
              </w:rPr>
            </w:pPr>
            <w:r w:rsidRPr="005E2791">
              <w:rPr>
                <w:rFonts w:ascii="Times New Roman" w:eastAsia="Times New Roman" w:hAnsi="Times New Roman" w:cs="Times New Roman"/>
                <w:b/>
                <w:bCs/>
                <w:color w:val="000000"/>
                <w:sz w:val="24"/>
                <w:szCs w:val="24"/>
                <w:u w:val="single"/>
                <w:lang w:val="en-CA" w:eastAsia="en-CA"/>
              </w:rPr>
              <w:t>Number of Articles</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64BFD7BD" w14:textId="77777777" w:rsidR="005E2791" w:rsidRPr="005E2791" w:rsidRDefault="005E2791" w:rsidP="005E2791">
            <w:pPr>
              <w:spacing w:after="0" w:line="240" w:lineRule="auto"/>
              <w:jc w:val="center"/>
              <w:rPr>
                <w:rFonts w:ascii="Times New Roman" w:eastAsia="Times New Roman" w:hAnsi="Times New Roman" w:cs="Times New Roman"/>
                <w:b/>
                <w:bCs/>
                <w:color w:val="000000"/>
                <w:sz w:val="24"/>
                <w:szCs w:val="24"/>
                <w:u w:val="single"/>
                <w:lang w:val="en-CA" w:eastAsia="en-CA"/>
              </w:rPr>
            </w:pPr>
            <w:r w:rsidRPr="005E2791">
              <w:rPr>
                <w:rFonts w:ascii="Times New Roman" w:eastAsia="Times New Roman" w:hAnsi="Times New Roman" w:cs="Times New Roman"/>
                <w:b/>
                <w:bCs/>
                <w:color w:val="000000"/>
                <w:sz w:val="24"/>
                <w:szCs w:val="24"/>
                <w:u w:val="single"/>
                <w:lang w:val="en-CA" w:eastAsia="en-CA"/>
              </w:rPr>
              <w:t>Percent of Full-Text Set (n = 465)</w:t>
            </w:r>
          </w:p>
        </w:tc>
      </w:tr>
      <w:tr w:rsidR="005E2791" w:rsidRPr="005E2791" w14:paraId="5DD95C8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FB1F4B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w:t>
            </w:r>
          </w:p>
        </w:tc>
        <w:tc>
          <w:tcPr>
            <w:tcW w:w="1276" w:type="dxa"/>
            <w:tcBorders>
              <w:top w:val="nil"/>
              <w:left w:val="nil"/>
              <w:bottom w:val="single" w:sz="4" w:space="0" w:color="auto"/>
              <w:right w:val="single" w:sz="4" w:space="0" w:color="auto"/>
            </w:tcBorders>
            <w:shd w:val="clear" w:color="auto" w:fill="auto"/>
            <w:noWrap/>
            <w:vAlign w:val="bottom"/>
            <w:hideMark/>
          </w:tcPr>
          <w:p w14:paraId="2906545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15</w:t>
            </w:r>
          </w:p>
        </w:tc>
        <w:tc>
          <w:tcPr>
            <w:tcW w:w="2410" w:type="dxa"/>
            <w:tcBorders>
              <w:top w:val="nil"/>
              <w:left w:val="nil"/>
              <w:bottom w:val="single" w:sz="4" w:space="0" w:color="auto"/>
              <w:right w:val="single" w:sz="4" w:space="0" w:color="auto"/>
            </w:tcBorders>
            <w:shd w:val="clear" w:color="auto" w:fill="auto"/>
            <w:noWrap/>
            <w:vAlign w:val="bottom"/>
            <w:hideMark/>
          </w:tcPr>
          <w:p w14:paraId="72DE867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3.0%</w:t>
            </w:r>
          </w:p>
        </w:tc>
      </w:tr>
      <w:tr w:rsidR="005E2791" w:rsidRPr="005E2791" w14:paraId="601B648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6C02E1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4</w:t>
            </w:r>
          </w:p>
        </w:tc>
        <w:tc>
          <w:tcPr>
            <w:tcW w:w="1276" w:type="dxa"/>
            <w:tcBorders>
              <w:top w:val="nil"/>
              <w:left w:val="nil"/>
              <w:bottom w:val="single" w:sz="4" w:space="0" w:color="auto"/>
              <w:right w:val="single" w:sz="4" w:space="0" w:color="auto"/>
            </w:tcBorders>
            <w:shd w:val="clear" w:color="auto" w:fill="auto"/>
            <w:noWrap/>
            <w:vAlign w:val="bottom"/>
            <w:hideMark/>
          </w:tcPr>
          <w:p w14:paraId="45B604C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13</w:t>
            </w:r>
          </w:p>
        </w:tc>
        <w:tc>
          <w:tcPr>
            <w:tcW w:w="2410" w:type="dxa"/>
            <w:tcBorders>
              <w:top w:val="nil"/>
              <w:left w:val="nil"/>
              <w:bottom w:val="single" w:sz="4" w:space="0" w:color="auto"/>
              <w:right w:val="single" w:sz="4" w:space="0" w:color="auto"/>
            </w:tcBorders>
            <w:shd w:val="clear" w:color="auto" w:fill="auto"/>
            <w:noWrap/>
            <w:vAlign w:val="bottom"/>
            <w:hideMark/>
          </w:tcPr>
          <w:p w14:paraId="72E1EBA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2.8%</w:t>
            </w:r>
          </w:p>
        </w:tc>
      </w:tr>
      <w:tr w:rsidR="005E2791" w:rsidRPr="005E2791" w14:paraId="50625A6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5ED564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w:t>
            </w:r>
          </w:p>
        </w:tc>
        <w:tc>
          <w:tcPr>
            <w:tcW w:w="1276" w:type="dxa"/>
            <w:tcBorders>
              <w:top w:val="nil"/>
              <w:left w:val="nil"/>
              <w:bottom w:val="single" w:sz="4" w:space="0" w:color="auto"/>
              <w:right w:val="single" w:sz="4" w:space="0" w:color="auto"/>
            </w:tcBorders>
            <w:shd w:val="clear" w:color="auto" w:fill="auto"/>
            <w:noWrap/>
            <w:vAlign w:val="bottom"/>
            <w:hideMark/>
          </w:tcPr>
          <w:p w14:paraId="4D12DE1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11</w:t>
            </w:r>
          </w:p>
        </w:tc>
        <w:tc>
          <w:tcPr>
            <w:tcW w:w="2410" w:type="dxa"/>
            <w:tcBorders>
              <w:top w:val="nil"/>
              <w:left w:val="nil"/>
              <w:bottom w:val="single" w:sz="4" w:space="0" w:color="auto"/>
              <w:right w:val="single" w:sz="4" w:space="0" w:color="auto"/>
            </w:tcBorders>
            <w:shd w:val="clear" w:color="auto" w:fill="auto"/>
            <w:noWrap/>
            <w:vAlign w:val="bottom"/>
            <w:hideMark/>
          </w:tcPr>
          <w:p w14:paraId="67DE25F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2.4%</w:t>
            </w:r>
          </w:p>
        </w:tc>
      </w:tr>
      <w:tr w:rsidR="005E2791" w:rsidRPr="005E2791" w14:paraId="1FAE725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320E2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Three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6356FDD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10</w:t>
            </w:r>
          </w:p>
        </w:tc>
        <w:tc>
          <w:tcPr>
            <w:tcW w:w="2410" w:type="dxa"/>
            <w:tcBorders>
              <w:top w:val="nil"/>
              <w:left w:val="nil"/>
              <w:bottom w:val="single" w:sz="4" w:space="0" w:color="auto"/>
              <w:right w:val="single" w:sz="4" w:space="0" w:color="auto"/>
            </w:tcBorders>
            <w:shd w:val="clear" w:color="auto" w:fill="auto"/>
            <w:noWrap/>
            <w:vAlign w:val="bottom"/>
            <w:hideMark/>
          </w:tcPr>
          <w:p w14:paraId="1B54CFA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2.2%</w:t>
            </w:r>
          </w:p>
        </w:tc>
      </w:tr>
      <w:tr w:rsidR="005E2791" w:rsidRPr="005E2791" w14:paraId="1EEB062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2652A1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1, 2, 3, 4</w:t>
            </w:r>
          </w:p>
        </w:tc>
        <w:tc>
          <w:tcPr>
            <w:tcW w:w="1276" w:type="dxa"/>
            <w:tcBorders>
              <w:top w:val="nil"/>
              <w:left w:val="nil"/>
              <w:bottom w:val="single" w:sz="4" w:space="0" w:color="auto"/>
              <w:right w:val="single" w:sz="4" w:space="0" w:color="auto"/>
            </w:tcBorders>
            <w:shd w:val="clear" w:color="auto" w:fill="auto"/>
            <w:noWrap/>
            <w:vAlign w:val="bottom"/>
            <w:hideMark/>
          </w:tcPr>
          <w:p w14:paraId="7E0C1D2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31C648F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5821285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956C8E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3, 4</w:t>
            </w:r>
          </w:p>
        </w:tc>
        <w:tc>
          <w:tcPr>
            <w:tcW w:w="1276" w:type="dxa"/>
            <w:tcBorders>
              <w:top w:val="nil"/>
              <w:left w:val="nil"/>
              <w:bottom w:val="single" w:sz="4" w:space="0" w:color="auto"/>
              <w:right w:val="single" w:sz="4" w:space="0" w:color="auto"/>
            </w:tcBorders>
            <w:shd w:val="clear" w:color="auto" w:fill="auto"/>
            <w:noWrap/>
            <w:vAlign w:val="bottom"/>
            <w:hideMark/>
          </w:tcPr>
          <w:p w14:paraId="5166002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51201DB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4C2F010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B1534D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4, 7</w:t>
            </w:r>
          </w:p>
        </w:tc>
        <w:tc>
          <w:tcPr>
            <w:tcW w:w="1276" w:type="dxa"/>
            <w:tcBorders>
              <w:top w:val="nil"/>
              <w:left w:val="nil"/>
              <w:bottom w:val="single" w:sz="4" w:space="0" w:color="auto"/>
              <w:right w:val="single" w:sz="4" w:space="0" w:color="auto"/>
            </w:tcBorders>
            <w:shd w:val="clear" w:color="auto" w:fill="auto"/>
            <w:noWrap/>
            <w:vAlign w:val="bottom"/>
            <w:hideMark/>
          </w:tcPr>
          <w:p w14:paraId="4798445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3783891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1A36BED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24698C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w:t>
            </w:r>
          </w:p>
        </w:tc>
        <w:tc>
          <w:tcPr>
            <w:tcW w:w="1276" w:type="dxa"/>
            <w:tcBorders>
              <w:top w:val="nil"/>
              <w:left w:val="nil"/>
              <w:bottom w:val="single" w:sz="4" w:space="0" w:color="auto"/>
              <w:right w:val="single" w:sz="4" w:space="0" w:color="auto"/>
            </w:tcBorders>
            <w:shd w:val="clear" w:color="auto" w:fill="auto"/>
            <w:noWrap/>
            <w:vAlign w:val="bottom"/>
            <w:hideMark/>
          </w:tcPr>
          <w:p w14:paraId="295F9EC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5459F5C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0826E08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143248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pudding</w:t>
            </w:r>
          </w:p>
        </w:tc>
        <w:tc>
          <w:tcPr>
            <w:tcW w:w="1276" w:type="dxa"/>
            <w:tcBorders>
              <w:top w:val="nil"/>
              <w:left w:val="nil"/>
              <w:bottom w:val="single" w:sz="4" w:space="0" w:color="auto"/>
              <w:right w:val="single" w:sz="4" w:space="0" w:color="auto"/>
            </w:tcBorders>
            <w:shd w:val="clear" w:color="auto" w:fill="auto"/>
            <w:noWrap/>
            <w:vAlign w:val="bottom"/>
            <w:hideMark/>
          </w:tcPr>
          <w:p w14:paraId="47DC34C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65E11D1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50F82F1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680E36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w:t>
            </w:r>
          </w:p>
        </w:tc>
        <w:tc>
          <w:tcPr>
            <w:tcW w:w="1276" w:type="dxa"/>
            <w:tcBorders>
              <w:top w:val="nil"/>
              <w:left w:val="nil"/>
              <w:bottom w:val="single" w:sz="4" w:space="0" w:color="auto"/>
              <w:right w:val="single" w:sz="4" w:space="0" w:color="auto"/>
            </w:tcBorders>
            <w:shd w:val="clear" w:color="auto" w:fill="auto"/>
            <w:noWrap/>
            <w:vAlign w:val="bottom"/>
            <w:hideMark/>
          </w:tcPr>
          <w:p w14:paraId="29A0B50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154D490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34DCD78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C338E7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w:t>
            </w:r>
          </w:p>
        </w:tc>
        <w:tc>
          <w:tcPr>
            <w:tcW w:w="1276" w:type="dxa"/>
            <w:tcBorders>
              <w:top w:val="nil"/>
              <w:left w:val="nil"/>
              <w:bottom w:val="single" w:sz="4" w:space="0" w:color="auto"/>
              <w:right w:val="single" w:sz="4" w:space="0" w:color="auto"/>
            </w:tcBorders>
            <w:shd w:val="clear" w:color="auto" w:fill="auto"/>
            <w:noWrap/>
            <w:vAlign w:val="bottom"/>
            <w:hideMark/>
          </w:tcPr>
          <w:p w14:paraId="40EDA13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774F362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6676F53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744FE6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cracker</w:t>
            </w:r>
          </w:p>
        </w:tc>
        <w:tc>
          <w:tcPr>
            <w:tcW w:w="1276" w:type="dxa"/>
            <w:tcBorders>
              <w:top w:val="nil"/>
              <w:left w:val="nil"/>
              <w:bottom w:val="single" w:sz="4" w:space="0" w:color="auto"/>
              <w:right w:val="single" w:sz="4" w:space="0" w:color="auto"/>
            </w:tcBorders>
            <w:shd w:val="clear" w:color="auto" w:fill="auto"/>
            <w:noWrap/>
            <w:vAlign w:val="bottom"/>
            <w:hideMark/>
          </w:tcPr>
          <w:p w14:paraId="4CE1982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8</w:t>
            </w:r>
          </w:p>
        </w:tc>
        <w:tc>
          <w:tcPr>
            <w:tcW w:w="2410" w:type="dxa"/>
            <w:tcBorders>
              <w:top w:val="nil"/>
              <w:left w:val="nil"/>
              <w:bottom w:val="single" w:sz="4" w:space="0" w:color="auto"/>
              <w:right w:val="single" w:sz="4" w:space="0" w:color="auto"/>
            </w:tcBorders>
            <w:shd w:val="clear" w:color="auto" w:fill="auto"/>
            <w:noWrap/>
            <w:vAlign w:val="bottom"/>
            <w:hideMark/>
          </w:tcPr>
          <w:p w14:paraId="0595FF7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1.7%</w:t>
            </w:r>
          </w:p>
        </w:tc>
      </w:tr>
      <w:tr w:rsidR="005E2791" w:rsidRPr="005E2791" w14:paraId="3AFFC78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CA914A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3</w:t>
            </w:r>
          </w:p>
        </w:tc>
        <w:tc>
          <w:tcPr>
            <w:tcW w:w="1276" w:type="dxa"/>
            <w:tcBorders>
              <w:top w:val="nil"/>
              <w:left w:val="nil"/>
              <w:bottom w:val="single" w:sz="4" w:space="0" w:color="auto"/>
              <w:right w:val="single" w:sz="4" w:space="0" w:color="auto"/>
            </w:tcBorders>
            <w:shd w:val="clear" w:color="auto" w:fill="auto"/>
            <w:noWrap/>
            <w:vAlign w:val="bottom"/>
            <w:hideMark/>
          </w:tcPr>
          <w:p w14:paraId="7D8AC2F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7</w:t>
            </w:r>
          </w:p>
        </w:tc>
        <w:tc>
          <w:tcPr>
            <w:tcW w:w="2410" w:type="dxa"/>
            <w:tcBorders>
              <w:top w:val="nil"/>
              <w:left w:val="nil"/>
              <w:bottom w:val="single" w:sz="4" w:space="0" w:color="auto"/>
              <w:right w:val="single" w:sz="4" w:space="0" w:color="auto"/>
            </w:tcBorders>
            <w:shd w:val="clear" w:color="auto" w:fill="auto"/>
            <w:noWrap/>
            <w:vAlign w:val="bottom"/>
            <w:hideMark/>
          </w:tcPr>
          <w:p w14:paraId="4F66EF8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1.5%</w:t>
            </w:r>
          </w:p>
        </w:tc>
      </w:tr>
      <w:tr w:rsidR="005E2791" w:rsidRPr="005E2791" w14:paraId="2F61285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95D2A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honey-thick</w:t>
            </w:r>
          </w:p>
        </w:tc>
        <w:tc>
          <w:tcPr>
            <w:tcW w:w="1276" w:type="dxa"/>
            <w:tcBorders>
              <w:top w:val="nil"/>
              <w:left w:val="nil"/>
              <w:bottom w:val="single" w:sz="4" w:space="0" w:color="auto"/>
              <w:right w:val="single" w:sz="4" w:space="0" w:color="auto"/>
            </w:tcBorders>
            <w:shd w:val="clear" w:color="auto" w:fill="auto"/>
            <w:noWrap/>
            <w:vAlign w:val="bottom"/>
            <w:hideMark/>
          </w:tcPr>
          <w:p w14:paraId="6BBEC68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7</w:t>
            </w:r>
          </w:p>
        </w:tc>
        <w:tc>
          <w:tcPr>
            <w:tcW w:w="2410" w:type="dxa"/>
            <w:tcBorders>
              <w:top w:val="nil"/>
              <w:left w:val="nil"/>
              <w:bottom w:val="single" w:sz="4" w:space="0" w:color="auto"/>
              <w:right w:val="single" w:sz="4" w:space="0" w:color="auto"/>
            </w:tcBorders>
            <w:shd w:val="clear" w:color="auto" w:fill="auto"/>
            <w:noWrap/>
            <w:vAlign w:val="bottom"/>
            <w:hideMark/>
          </w:tcPr>
          <w:p w14:paraId="10D3FB6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1.5%</w:t>
            </w:r>
          </w:p>
        </w:tc>
      </w:tr>
      <w:tr w:rsidR="005E2791" w:rsidRPr="005E2791" w14:paraId="50320FB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D555DB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4</w:t>
            </w:r>
          </w:p>
        </w:tc>
        <w:tc>
          <w:tcPr>
            <w:tcW w:w="1276" w:type="dxa"/>
            <w:tcBorders>
              <w:top w:val="nil"/>
              <w:left w:val="nil"/>
              <w:bottom w:val="single" w:sz="4" w:space="0" w:color="auto"/>
              <w:right w:val="single" w:sz="4" w:space="0" w:color="auto"/>
            </w:tcBorders>
            <w:shd w:val="clear" w:color="auto" w:fill="auto"/>
            <w:noWrap/>
            <w:vAlign w:val="bottom"/>
            <w:hideMark/>
          </w:tcPr>
          <w:p w14:paraId="0EF9BDC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6</w:t>
            </w:r>
          </w:p>
        </w:tc>
        <w:tc>
          <w:tcPr>
            <w:tcW w:w="2410" w:type="dxa"/>
            <w:tcBorders>
              <w:top w:val="nil"/>
              <w:left w:val="nil"/>
              <w:bottom w:val="single" w:sz="4" w:space="0" w:color="auto"/>
              <w:right w:val="single" w:sz="4" w:space="0" w:color="auto"/>
            </w:tcBorders>
            <w:shd w:val="clear" w:color="auto" w:fill="auto"/>
            <w:noWrap/>
            <w:vAlign w:val="bottom"/>
            <w:hideMark/>
          </w:tcPr>
          <w:p w14:paraId="1DF1616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1.3%</w:t>
            </w:r>
          </w:p>
        </w:tc>
      </w:tr>
      <w:tr w:rsidR="005E2791" w:rsidRPr="005E2791" w14:paraId="10E58ED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B91F03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 Cracker</w:t>
            </w:r>
          </w:p>
        </w:tc>
        <w:tc>
          <w:tcPr>
            <w:tcW w:w="1276" w:type="dxa"/>
            <w:tcBorders>
              <w:top w:val="nil"/>
              <w:left w:val="nil"/>
              <w:bottom w:val="single" w:sz="4" w:space="0" w:color="auto"/>
              <w:right w:val="single" w:sz="4" w:space="0" w:color="auto"/>
            </w:tcBorders>
            <w:shd w:val="clear" w:color="auto" w:fill="auto"/>
            <w:noWrap/>
            <w:vAlign w:val="bottom"/>
            <w:hideMark/>
          </w:tcPr>
          <w:p w14:paraId="18BA51A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6</w:t>
            </w:r>
          </w:p>
        </w:tc>
        <w:tc>
          <w:tcPr>
            <w:tcW w:w="2410" w:type="dxa"/>
            <w:tcBorders>
              <w:top w:val="nil"/>
              <w:left w:val="nil"/>
              <w:bottom w:val="single" w:sz="4" w:space="0" w:color="auto"/>
              <w:right w:val="single" w:sz="4" w:space="0" w:color="auto"/>
            </w:tcBorders>
            <w:shd w:val="clear" w:color="auto" w:fill="auto"/>
            <w:noWrap/>
            <w:vAlign w:val="bottom"/>
            <w:hideMark/>
          </w:tcPr>
          <w:p w14:paraId="3EDBCA1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1.3%</w:t>
            </w:r>
          </w:p>
        </w:tc>
      </w:tr>
      <w:tr w:rsidR="005E2791" w:rsidRPr="005E2791" w14:paraId="1BF6CFC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1A5421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paste</w:t>
            </w:r>
          </w:p>
        </w:tc>
        <w:tc>
          <w:tcPr>
            <w:tcW w:w="1276" w:type="dxa"/>
            <w:tcBorders>
              <w:top w:val="nil"/>
              <w:left w:val="nil"/>
              <w:bottom w:val="single" w:sz="4" w:space="0" w:color="auto"/>
              <w:right w:val="single" w:sz="4" w:space="0" w:color="auto"/>
            </w:tcBorders>
            <w:shd w:val="clear" w:color="auto" w:fill="auto"/>
            <w:noWrap/>
            <w:vAlign w:val="bottom"/>
            <w:hideMark/>
          </w:tcPr>
          <w:p w14:paraId="4BE6505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6</w:t>
            </w:r>
          </w:p>
        </w:tc>
        <w:tc>
          <w:tcPr>
            <w:tcW w:w="2410" w:type="dxa"/>
            <w:tcBorders>
              <w:top w:val="nil"/>
              <w:left w:val="nil"/>
              <w:bottom w:val="single" w:sz="4" w:space="0" w:color="auto"/>
              <w:right w:val="single" w:sz="4" w:space="0" w:color="auto"/>
            </w:tcBorders>
            <w:shd w:val="clear" w:color="auto" w:fill="auto"/>
            <w:noWrap/>
            <w:vAlign w:val="bottom"/>
            <w:hideMark/>
          </w:tcPr>
          <w:p w14:paraId="5DA4F27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1.3%</w:t>
            </w:r>
          </w:p>
        </w:tc>
      </w:tr>
      <w:tr w:rsidR="005E2791" w:rsidRPr="005E2791" w14:paraId="6E23A7C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68D7AC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pudding</w:t>
            </w:r>
          </w:p>
        </w:tc>
        <w:tc>
          <w:tcPr>
            <w:tcW w:w="1276" w:type="dxa"/>
            <w:tcBorders>
              <w:top w:val="nil"/>
              <w:left w:val="nil"/>
              <w:bottom w:val="single" w:sz="4" w:space="0" w:color="auto"/>
              <w:right w:val="single" w:sz="4" w:space="0" w:color="auto"/>
            </w:tcBorders>
            <w:shd w:val="clear" w:color="auto" w:fill="auto"/>
            <w:noWrap/>
            <w:vAlign w:val="bottom"/>
            <w:hideMark/>
          </w:tcPr>
          <w:p w14:paraId="5CACFA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5</w:t>
            </w:r>
          </w:p>
        </w:tc>
        <w:tc>
          <w:tcPr>
            <w:tcW w:w="2410" w:type="dxa"/>
            <w:tcBorders>
              <w:top w:val="nil"/>
              <w:left w:val="nil"/>
              <w:bottom w:val="single" w:sz="4" w:space="0" w:color="auto"/>
              <w:right w:val="single" w:sz="4" w:space="0" w:color="auto"/>
            </w:tcBorders>
            <w:shd w:val="clear" w:color="auto" w:fill="auto"/>
            <w:noWrap/>
            <w:vAlign w:val="bottom"/>
            <w:hideMark/>
          </w:tcPr>
          <w:p w14:paraId="7306FCF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1.1%</w:t>
            </w:r>
          </w:p>
        </w:tc>
      </w:tr>
      <w:tr w:rsidR="005E2791" w:rsidRPr="005E2791" w14:paraId="65043B4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E7AC7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w:t>
            </w:r>
          </w:p>
        </w:tc>
        <w:tc>
          <w:tcPr>
            <w:tcW w:w="1276" w:type="dxa"/>
            <w:tcBorders>
              <w:top w:val="nil"/>
              <w:left w:val="nil"/>
              <w:bottom w:val="single" w:sz="4" w:space="0" w:color="auto"/>
              <w:right w:val="single" w:sz="4" w:space="0" w:color="auto"/>
            </w:tcBorders>
            <w:shd w:val="clear" w:color="auto" w:fill="auto"/>
            <w:noWrap/>
            <w:vAlign w:val="bottom"/>
            <w:hideMark/>
          </w:tcPr>
          <w:p w14:paraId="1ACF6BB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5</w:t>
            </w:r>
          </w:p>
        </w:tc>
        <w:tc>
          <w:tcPr>
            <w:tcW w:w="2410" w:type="dxa"/>
            <w:tcBorders>
              <w:top w:val="nil"/>
              <w:left w:val="nil"/>
              <w:bottom w:val="single" w:sz="4" w:space="0" w:color="auto"/>
              <w:right w:val="single" w:sz="4" w:space="0" w:color="auto"/>
            </w:tcBorders>
            <w:shd w:val="clear" w:color="auto" w:fill="auto"/>
            <w:noWrap/>
            <w:vAlign w:val="bottom"/>
            <w:hideMark/>
          </w:tcPr>
          <w:p w14:paraId="2263AD8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1.1%</w:t>
            </w:r>
          </w:p>
        </w:tc>
      </w:tr>
      <w:tr w:rsidR="005E2791" w:rsidRPr="005E2791" w14:paraId="387DB26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E61FD1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 cookie</w:t>
            </w:r>
          </w:p>
        </w:tc>
        <w:tc>
          <w:tcPr>
            <w:tcW w:w="1276" w:type="dxa"/>
            <w:tcBorders>
              <w:top w:val="nil"/>
              <w:left w:val="nil"/>
              <w:bottom w:val="single" w:sz="4" w:space="0" w:color="auto"/>
              <w:right w:val="single" w:sz="4" w:space="0" w:color="auto"/>
            </w:tcBorders>
            <w:shd w:val="clear" w:color="auto" w:fill="auto"/>
            <w:noWrap/>
            <w:vAlign w:val="bottom"/>
            <w:hideMark/>
          </w:tcPr>
          <w:p w14:paraId="403711F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5</w:t>
            </w:r>
          </w:p>
        </w:tc>
        <w:tc>
          <w:tcPr>
            <w:tcW w:w="2410" w:type="dxa"/>
            <w:tcBorders>
              <w:top w:val="nil"/>
              <w:left w:val="nil"/>
              <w:bottom w:val="single" w:sz="4" w:space="0" w:color="auto"/>
              <w:right w:val="single" w:sz="4" w:space="0" w:color="auto"/>
            </w:tcBorders>
            <w:shd w:val="clear" w:color="auto" w:fill="auto"/>
            <w:noWrap/>
            <w:vAlign w:val="bottom"/>
            <w:hideMark/>
          </w:tcPr>
          <w:p w14:paraId="1BB98DB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1.1%</w:t>
            </w:r>
          </w:p>
        </w:tc>
      </w:tr>
      <w:tr w:rsidR="005E2791" w:rsidRPr="005E2791" w14:paraId="17B7547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931802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semi-solid, cracker</w:t>
            </w:r>
          </w:p>
        </w:tc>
        <w:tc>
          <w:tcPr>
            <w:tcW w:w="1276" w:type="dxa"/>
            <w:tcBorders>
              <w:top w:val="nil"/>
              <w:left w:val="nil"/>
              <w:bottom w:val="single" w:sz="4" w:space="0" w:color="auto"/>
              <w:right w:val="single" w:sz="4" w:space="0" w:color="auto"/>
            </w:tcBorders>
            <w:shd w:val="clear" w:color="auto" w:fill="auto"/>
            <w:noWrap/>
            <w:vAlign w:val="bottom"/>
            <w:hideMark/>
          </w:tcPr>
          <w:p w14:paraId="0B0EC34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5</w:t>
            </w:r>
          </w:p>
        </w:tc>
        <w:tc>
          <w:tcPr>
            <w:tcW w:w="2410" w:type="dxa"/>
            <w:tcBorders>
              <w:top w:val="nil"/>
              <w:left w:val="nil"/>
              <w:bottom w:val="single" w:sz="4" w:space="0" w:color="auto"/>
              <w:right w:val="single" w:sz="4" w:space="0" w:color="auto"/>
            </w:tcBorders>
            <w:shd w:val="clear" w:color="auto" w:fill="auto"/>
            <w:noWrap/>
            <w:vAlign w:val="bottom"/>
            <w:hideMark/>
          </w:tcPr>
          <w:p w14:paraId="5066EDA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1.1%</w:t>
            </w:r>
          </w:p>
        </w:tc>
      </w:tr>
      <w:tr w:rsidR="005E2791" w:rsidRPr="005E2791" w14:paraId="1A12B5A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F2F3EC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paste</w:t>
            </w:r>
          </w:p>
        </w:tc>
        <w:tc>
          <w:tcPr>
            <w:tcW w:w="1276" w:type="dxa"/>
            <w:tcBorders>
              <w:top w:val="nil"/>
              <w:left w:val="nil"/>
              <w:bottom w:val="single" w:sz="4" w:space="0" w:color="auto"/>
              <w:right w:val="single" w:sz="4" w:space="0" w:color="auto"/>
            </w:tcBorders>
            <w:shd w:val="clear" w:color="auto" w:fill="auto"/>
            <w:noWrap/>
            <w:vAlign w:val="bottom"/>
            <w:hideMark/>
          </w:tcPr>
          <w:p w14:paraId="028930D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4</w:t>
            </w:r>
          </w:p>
        </w:tc>
        <w:tc>
          <w:tcPr>
            <w:tcW w:w="2410" w:type="dxa"/>
            <w:tcBorders>
              <w:top w:val="nil"/>
              <w:left w:val="nil"/>
              <w:bottom w:val="single" w:sz="4" w:space="0" w:color="auto"/>
              <w:right w:val="single" w:sz="4" w:space="0" w:color="auto"/>
            </w:tcBorders>
            <w:shd w:val="clear" w:color="auto" w:fill="auto"/>
            <w:noWrap/>
            <w:vAlign w:val="bottom"/>
            <w:hideMark/>
          </w:tcPr>
          <w:p w14:paraId="64227C9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0.9%</w:t>
            </w:r>
          </w:p>
        </w:tc>
      </w:tr>
      <w:tr w:rsidR="005E2791" w:rsidRPr="005E2791" w14:paraId="6D598EA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AD0924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applesauce, cracker</w:t>
            </w:r>
          </w:p>
        </w:tc>
        <w:tc>
          <w:tcPr>
            <w:tcW w:w="1276" w:type="dxa"/>
            <w:tcBorders>
              <w:top w:val="nil"/>
              <w:left w:val="nil"/>
              <w:bottom w:val="single" w:sz="4" w:space="0" w:color="auto"/>
              <w:right w:val="single" w:sz="4" w:space="0" w:color="auto"/>
            </w:tcBorders>
            <w:shd w:val="clear" w:color="auto" w:fill="auto"/>
            <w:noWrap/>
            <w:vAlign w:val="bottom"/>
            <w:hideMark/>
          </w:tcPr>
          <w:p w14:paraId="0E878A6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4</w:t>
            </w:r>
          </w:p>
        </w:tc>
        <w:tc>
          <w:tcPr>
            <w:tcW w:w="2410" w:type="dxa"/>
            <w:tcBorders>
              <w:top w:val="nil"/>
              <w:left w:val="nil"/>
              <w:bottom w:val="single" w:sz="4" w:space="0" w:color="auto"/>
              <w:right w:val="single" w:sz="4" w:space="0" w:color="auto"/>
            </w:tcBorders>
            <w:shd w:val="clear" w:color="auto" w:fill="auto"/>
            <w:noWrap/>
            <w:vAlign w:val="bottom"/>
            <w:hideMark/>
          </w:tcPr>
          <w:p w14:paraId="00D458A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0.9%</w:t>
            </w:r>
          </w:p>
        </w:tc>
      </w:tr>
      <w:tr w:rsidR="005E2791" w:rsidRPr="005E2791" w14:paraId="5CE8902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FC1846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1, 2, 3</w:t>
            </w:r>
          </w:p>
        </w:tc>
        <w:tc>
          <w:tcPr>
            <w:tcW w:w="1276" w:type="dxa"/>
            <w:tcBorders>
              <w:top w:val="nil"/>
              <w:left w:val="nil"/>
              <w:bottom w:val="single" w:sz="4" w:space="0" w:color="auto"/>
              <w:right w:val="single" w:sz="4" w:space="0" w:color="auto"/>
            </w:tcBorders>
            <w:shd w:val="clear" w:color="auto" w:fill="auto"/>
            <w:noWrap/>
            <w:vAlign w:val="bottom"/>
            <w:hideMark/>
          </w:tcPr>
          <w:p w14:paraId="5E01B84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0307CA4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788B1DB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0EF6AD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3, 4, 7</w:t>
            </w:r>
          </w:p>
        </w:tc>
        <w:tc>
          <w:tcPr>
            <w:tcW w:w="1276" w:type="dxa"/>
            <w:tcBorders>
              <w:top w:val="nil"/>
              <w:left w:val="nil"/>
              <w:bottom w:val="single" w:sz="4" w:space="0" w:color="auto"/>
              <w:right w:val="single" w:sz="4" w:space="0" w:color="auto"/>
            </w:tcBorders>
            <w:shd w:val="clear" w:color="auto" w:fill="auto"/>
            <w:noWrap/>
            <w:vAlign w:val="bottom"/>
            <w:hideMark/>
          </w:tcPr>
          <w:p w14:paraId="5BE25A7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5B5BFC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1CFCCE4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00E3C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3, 7</w:t>
            </w:r>
          </w:p>
        </w:tc>
        <w:tc>
          <w:tcPr>
            <w:tcW w:w="1276" w:type="dxa"/>
            <w:tcBorders>
              <w:top w:val="nil"/>
              <w:left w:val="nil"/>
              <w:bottom w:val="single" w:sz="4" w:space="0" w:color="auto"/>
              <w:right w:val="single" w:sz="4" w:space="0" w:color="auto"/>
            </w:tcBorders>
            <w:shd w:val="clear" w:color="auto" w:fill="auto"/>
            <w:noWrap/>
            <w:vAlign w:val="bottom"/>
            <w:hideMark/>
          </w:tcPr>
          <w:p w14:paraId="1930315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68E10EA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7CEDC38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83367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Five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29CC580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F5AE41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235689B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87355E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Four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0BB377E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7F0CA65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4242E3A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9EDDBD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pudding, biscuit</w:t>
            </w:r>
          </w:p>
        </w:tc>
        <w:tc>
          <w:tcPr>
            <w:tcW w:w="1276" w:type="dxa"/>
            <w:tcBorders>
              <w:top w:val="nil"/>
              <w:left w:val="nil"/>
              <w:bottom w:val="single" w:sz="4" w:space="0" w:color="auto"/>
              <w:right w:val="single" w:sz="4" w:space="0" w:color="auto"/>
            </w:tcBorders>
            <w:shd w:val="clear" w:color="auto" w:fill="auto"/>
            <w:noWrap/>
            <w:vAlign w:val="bottom"/>
            <w:hideMark/>
          </w:tcPr>
          <w:p w14:paraId="4516AC7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1E2BB9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462327E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B242AB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puree, bread</w:t>
            </w:r>
          </w:p>
        </w:tc>
        <w:tc>
          <w:tcPr>
            <w:tcW w:w="1276" w:type="dxa"/>
            <w:tcBorders>
              <w:top w:val="nil"/>
              <w:left w:val="nil"/>
              <w:bottom w:val="single" w:sz="4" w:space="0" w:color="auto"/>
              <w:right w:val="single" w:sz="4" w:space="0" w:color="auto"/>
            </w:tcBorders>
            <w:shd w:val="clear" w:color="auto" w:fill="auto"/>
            <w:noWrap/>
            <w:vAlign w:val="bottom"/>
            <w:hideMark/>
          </w:tcPr>
          <w:p w14:paraId="5586F53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357AE15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074E890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DBDF72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applesauce</w:t>
            </w:r>
          </w:p>
        </w:tc>
        <w:tc>
          <w:tcPr>
            <w:tcW w:w="1276" w:type="dxa"/>
            <w:tcBorders>
              <w:top w:val="nil"/>
              <w:left w:val="nil"/>
              <w:bottom w:val="single" w:sz="4" w:space="0" w:color="auto"/>
              <w:right w:val="single" w:sz="4" w:space="0" w:color="auto"/>
            </w:tcBorders>
            <w:shd w:val="clear" w:color="auto" w:fill="auto"/>
            <w:noWrap/>
            <w:vAlign w:val="bottom"/>
            <w:hideMark/>
          </w:tcPr>
          <w:p w14:paraId="0BC0264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658A579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0F948B6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AECB21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bread</w:t>
            </w:r>
          </w:p>
        </w:tc>
        <w:tc>
          <w:tcPr>
            <w:tcW w:w="1276" w:type="dxa"/>
            <w:tcBorders>
              <w:top w:val="nil"/>
              <w:left w:val="nil"/>
              <w:bottom w:val="single" w:sz="4" w:space="0" w:color="auto"/>
              <w:right w:val="single" w:sz="4" w:space="0" w:color="auto"/>
            </w:tcBorders>
            <w:shd w:val="clear" w:color="auto" w:fill="auto"/>
            <w:noWrap/>
            <w:vAlign w:val="bottom"/>
            <w:hideMark/>
          </w:tcPr>
          <w:p w14:paraId="15789AD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4ED9AB7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38D6B6D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0B5336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jelly, bread</w:t>
            </w:r>
          </w:p>
        </w:tc>
        <w:tc>
          <w:tcPr>
            <w:tcW w:w="1276" w:type="dxa"/>
            <w:tcBorders>
              <w:top w:val="nil"/>
              <w:left w:val="nil"/>
              <w:bottom w:val="single" w:sz="4" w:space="0" w:color="auto"/>
              <w:right w:val="single" w:sz="4" w:space="0" w:color="auto"/>
            </w:tcBorders>
            <w:shd w:val="clear" w:color="auto" w:fill="auto"/>
            <w:noWrap/>
            <w:vAlign w:val="bottom"/>
            <w:hideMark/>
          </w:tcPr>
          <w:p w14:paraId="5281E4B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5C30025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3F20E8D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031643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w:t>
            </w:r>
          </w:p>
        </w:tc>
        <w:tc>
          <w:tcPr>
            <w:tcW w:w="1276" w:type="dxa"/>
            <w:tcBorders>
              <w:top w:val="nil"/>
              <w:left w:val="nil"/>
              <w:bottom w:val="single" w:sz="4" w:space="0" w:color="auto"/>
              <w:right w:val="single" w:sz="4" w:space="0" w:color="auto"/>
            </w:tcBorders>
            <w:shd w:val="clear" w:color="auto" w:fill="auto"/>
            <w:noWrap/>
            <w:vAlign w:val="bottom"/>
            <w:hideMark/>
          </w:tcPr>
          <w:p w14:paraId="21DF8E5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863939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0F82469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C9208D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pudding, cookie</w:t>
            </w:r>
          </w:p>
        </w:tc>
        <w:tc>
          <w:tcPr>
            <w:tcW w:w="1276" w:type="dxa"/>
            <w:tcBorders>
              <w:top w:val="nil"/>
              <w:left w:val="nil"/>
              <w:bottom w:val="single" w:sz="4" w:space="0" w:color="auto"/>
              <w:right w:val="single" w:sz="4" w:space="0" w:color="auto"/>
            </w:tcBorders>
            <w:shd w:val="clear" w:color="auto" w:fill="auto"/>
            <w:noWrap/>
            <w:vAlign w:val="bottom"/>
            <w:hideMark/>
          </w:tcPr>
          <w:p w14:paraId="39697CB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EE342B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3088CEC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3DAAA8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puree, cookie</w:t>
            </w:r>
          </w:p>
        </w:tc>
        <w:tc>
          <w:tcPr>
            <w:tcW w:w="1276" w:type="dxa"/>
            <w:tcBorders>
              <w:top w:val="nil"/>
              <w:left w:val="nil"/>
              <w:bottom w:val="single" w:sz="4" w:space="0" w:color="auto"/>
              <w:right w:val="single" w:sz="4" w:space="0" w:color="auto"/>
            </w:tcBorders>
            <w:shd w:val="clear" w:color="auto" w:fill="auto"/>
            <w:noWrap/>
            <w:vAlign w:val="bottom"/>
            <w:hideMark/>
          </w:tcPr>
          <w:p w14:paraId="46CBF1A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903596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06E18BD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B71A1C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spoon-thick</w:t>
            </w:r>
          </w:p>
        </w:tc>
        <w:tc>
          <w:tcPr>
            <w:tcW w:w="1276" w:type="dxa"/>
            <w:tcBorders>
              <w:top w:val="nil"/>
              <w:left w:val="nil"/>
              <w:bottom w:val="single" w:sz="4" w:space="0" w:color="auto"/>
              <w:right w:val="single" w:sz="4" w:space="0" w:color="auto"/>
            </w:tcBorders>
            <w:shd w:val="clear" w:color="auto" w:fill="auto"/>
            <w:noWrap/>
            <w:vAlign w:val="bottom"/>
            <w:hideMark/>
          </w:tcPr>
          <w:p w14:paraId="21572D7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2877616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103F65B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5BE402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semi-solid</w:t>
            </w:r>
          </w:p>
        </w:tc>
        <w:tc>
          <w:tcPr>
            <w:tcW w:w="1276" w:type="dxa"/>
            <w:tcBorders>
              <w:top w:val="nil"/>
              <w:left w:val="nil"/>
              <w:bottom w:val="single" w:sz="4" w:space="0" w:color="auto"/>
              <w:right w:val="single" w:sz="4" w:space="0" w:color="auto"/>
            </w:tcBorders>
            <w:shd w:val="clear" w:color="auto" w:fill="auto"/>
            <w:noWrap/>
            <w:vAlign w:val="bottom"/>
            <w:hideMark/>
          </w:tcPr>
          <w:p w14:paraId="3EB0B10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1B831EC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184A942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B2F1A7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paste, biscuit</w:t>
            </w:r>
          </w:p>
        </w:tc>
        <w:tc>
          <w:tcPr>
            <w:tcW w:w="1276" w:type="dxa"/>
            <w:tcBorders>
              <w:top w:val="nil"/>
              <w:left w:val="nil"/>
              <w:bottom w:val="single" w:sz="4" w:space="0" w:color="auto"/>
              <w:right w:val="single" w:sz="4" w:space="0" w:color="auto"/>
            </w:tcBorders>
            <w:shd w:val="clear" w:color="auto" w:fill="auto"/>
            <w:noWrap/>
            <w:vAlign w:val="bottom"/>
            <w:hideMark/>
          </w:tcPr>
          <w:p w14:paraId="09181FE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7D8CA95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0D935F1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02272B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puree, solid</w:t>
            </w:r>
          </w:p>
        </w:tc>
        <w:tc>
          <w:tcPr>
            <w:tcW w:w="1276" w:type="dxa"/>
            <w:tcBorders>
              <w:top w:val="nil"/>
              <w:left w:val="nil"/>
              <w:bottom w:val="single" w:sz="4" w:space="0" w:color="auto"/>
              <w:right w:val="single" w:sz="4" w:space="0" w:color="auto"/>
            </w:tcBorders>
            <w:shd w:val="clear" w:color="auto" w:fill="auto"/>
            <w:noWrap/>
            <w:vAlign w:val="bottom"/>
            <w:hideMark/>
          </w:tcPr>
          <w:p w14:paraId="4497821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03667B4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641E47C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9B4574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ultra-thin, nectar-thick</w:t>
            </w:r>
          </w:p>
        </w:tc>
        <w:tc>
          <w:tcPr>
            <w:tcW w:w="1276" w:type="dxa"/>
            <w:tcBorders>
              <w:top w:val="nil"/>
              <w:left w:val="nil"/>
              <w:bottom w:val="single" w:sz="4" w:space="0" w:color="auto"/>
              <w:right w:val="single" w:sz="4" w:space="0" w:color="auto"/>
            </w:tcBorders>
            <w:shd w:val="clear" w:color="auto" w:fill="auto"/>
            <w:noWrap/>
            <w:vAlign w:val="bottom"/>
            <w:hideMark/>
          </w:tcPr>
          <w:p w14:paraId="468497F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67C74E9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14D9069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8B55A9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Two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60621C6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w:t>
            </w:r>
          </w:p>
        </w:tc>
        <w:tc>
          <w:tcPr>
            <w:tcW w:w="2410" w:type="dxa"/>
            <w:tcBorders>
              <w:top w:val="nil"/>
              <w:left w:val="nil"/>
              <w:bottom w:val="single" w:sz="4" w:space="0" w:color="auto"/>
              <w:right w:val="single" w:sz="4" w:space="0" w:color="auto"/>
            </w:tcBorders>
            <w:shd w:val="clear" w:color="auto" w:fill="auto"/>
            <w:noWrap/>
            <w:vAlign w:val="bottom"/>
            <w:hideMark/>
          </w:tcPr>
          <w:p w14:paraId="2EE7FCC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0.6%</w:t>
            </w:r>
          </w:p>
        </w:tc>
      </w:tr>
      <w:tr w:rsidR="005E2791" w:rsidRPr="005E2791" w14:paraId="3334B98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4DF378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1, 2</w:t>
            </w:r>
          </w:p>
        </w:tc>
        <w:tc>
          <w:tcPr>
            <w:tcW w:w="1276" w:type="dxa"/>
            <w:tcBorders>
              <w:top w:val="nil"/>
              <w:left w:val="nil"/>
              <w:bottom w:val="single" w:sz="4" w:space="0" w:color="auto"/>
              <w:right w:val="single" w:sz="4" w:space="0" w:color="auto"/>
            </w:tcBorders>
            <w:shd w:val="clear" w:color="auto" w:fill="auto"/>
            <w:noWrap/>
            <w:vAlign w:val="bottom"/>
            <w:hideMark/>
          </w:tcPr>
          <w:p w14:paraId="62614FD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A40CE3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0BF8697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8BF235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w:t>
            </w:r>
          </w:p>
        </w:tc>
        <w:tc>
          <w:tcPr>
            <w:tcW w:w="1276" w:type="dxa"/>
            <w:tcBorders>
              <w:top w:val="nil"/>
              <w:left w:val="nil"/>
              <w:bottom w:val="single" w:sz="4" w:space="0" w:color="auto"/>
              <w:right w:val="single" w:sz="4" w:space="0" w:color="auto"/>
            </w:tcBorders>
            <w:shd w:val="clear" w:color="auto" w:fill="auto"/>
            <w:noWrap/>
            <w:vAlign w:val="bottom"/>
            <w:hideMark/>
          </w:tcPr>
          <w:p w14:paraId="27BAFD7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B9AC80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510B39C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3F1F70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3</w:t>
            </w:r>
          </w:p>
        </w:tc>
        <w:tc>
          <w:tcPr>
            <w:tcW w:w="1276" w:type="dxa"/>
            <w:tcBorders>
              <w:top w:val="nil"/>
              <w:left w:val="nil"/>
              <w:bottom w:val="single" w:sz="4" w:space="0" w:color="auto"/>
              <w:right w:val="single" w:sz="4" w:space="0" w:color="auto"/>
            </w:tcBorders>
            <w:shd w:val="clear" w:color="auto" w:fill="auto"/>
            <w:noWrap/>
            <w:vAlign w:val="bottom"/>
            <w:hideMark/>
          </w:tcPr>
          <w:p w14:paraId="049EC5B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A141F8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20AA75B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6B4E4D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3, 4, 5, 6, 7</w:t>
            </w:r>
          </w:p>
        </w:tc>
        <w:tc>
          <w:tcPr>
            <w:tcW w:w="1276" w:type="dxa"/>
            <w:tcBorders>
              <w:top w:val="nil"/>
              <w:left w:val="nil"/>
              <w:bottom w:val="single" w:sz="4" w:space="0" w:color="auto"/>
              <w:right w:val="single" w:sz="4" w:space="0" w:color="auto"/>
            </w:tcBorders>
            <w:shd w:val="clear" w:color="auto" w:fill="auto"/>
            <w:noWrap/>
            <w:vAlign w:val="bottom"/>
            <w:hideMark/>
          </w:tcPr>
          <w:p w14:paraId="54BC83A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F14165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795B220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673442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4, 7</w:t>
            </w:r>
          </w:p>
        </w:tc>
        <w:tc>
          <w:tcPr>
            <w:tcW w:w="1276" w:type="dxa"/>
            <w:tcBorders>
              <w:top w:val="nil"/>
              <w:left w:val="nil"/>
              <w:bottom w:val="single" w:sz="4" w:space="0" w:color="auto"/>
              <w:right w:val="single" w:sz="4" w:space="0" w:color="auto"/>
            </w:tcBorders>
            <w:shd w:val="clear" w:color="auto" w:fill="auto"/>
            <w:noWrap/>
            <w:vAlign w:val="bottom"/>
            <w:hideMark/>
          </w:tcPr>
          <w:p w14:paraId="4F0A4F0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985B41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422698E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349B6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7</w:t>
            </w:r>
          </w:p>
        </w:tc>
        <w:tc>
          <w:tcPr>
            <w:tcW w:w="1276" w:type="dxa"/>
            <w:tcBorders>
              <w:top w:val="nil"/>
              <w:left w:val="nil"/>
              <w:bottom w:val="single" w:sz="4" w:space="0" w:color="auto"/>
              <w:right w:val="single" w:sz="4" w:space="0" w:color="auto"/>
            </w:tcBorders>
            <w:shd w:val="clear" w:color="auto" w:fill="auto"/>
            <w:noWrap/>
            <w:vAlign w:val="bottom"/>
            <w:hideMark/>
          </w:tcPr>
          <w:p w14:paraId="553A1E1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31A2807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1E6C0AE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DC51A6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3, 4</w:t>
            </w:r>
          </w:p>
        </w:tc>
        <w:tc>
          <w:tcPr>
            <w:tcW w:w="1276" w:type="dxa"/>
            <w:tcBorders>
              <w:top w:val="nil"/>
              <w:left w:val="nil"/>
              <w:bottom w:val="single" w:sz="4" w:space="0" w:color="auto"/>
              <w:right w:val="single" w:sz="4" w:space="0" w:color="auto"/>
            </w:tcBorders>
            <w:shd w:val="clear" w:color="auto" w:fill="auto"/>
            <w:noWrap/>
            <w:vAlign w:val="bottom"/>
            <w:hideMark/>
          </w:tcPr>
          <w:p w14:paraId="6D91DF1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1029609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C71ABE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1EC002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Carrots, peanuts</w:t>
            </w:r>
          </w:p>
        </w:tc>
        <w:tc>
          <w:tcPr>
            <w:tcW w:w="1276" w:type="dxa"/>
            <w:tcBorders>
              <w:top w:val="nil"/>
              <w:left w:val="nil"/>
              <w:bottom w:val="single" w:sz="4" w:space="0" w:color="auto"/>
              <w:right w:val="single" w:sz="4" w:space="0" w:color="auto"/>
            </w:tcBorders>
            <w:shd w:val="clear" w:color="auto" w:fill="auto"/>
            <w:noWrap/>
            <w:vAlign w:val="bottom"/>
            <w:hideMark/>
          </w:tcPr>
          <w:p w14:paraId="45CF0B7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32F7EDF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C0316A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FDC57B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puree</w:t>
            </w:r>
          </w:p>
        </w:tc>
        <w:tc>
          <w:tcPr>
            <w:tcW w:w="1276" w:type="dxa"/>
            <w:tcBorders>
              <w:top w:val="nil"/>
              <w:left w:val="nil"/>
              <w:bottom w:val="single" w:sz="4" w:space="0" w:color="auto"/>
              <w:right w:val="single" w:sz="4" w:space="0" w:color="auto"/>
            </w:tcBorders>
            <w:shd w:val="clear" w:color="auto" w:fill="auto"/>
            <w:noWrap/>
            <w:vAlign w:val="bottom"/>
            <w:hideMark/>
          </w:tcPr>
          <w:p w14:paraId="231EEF1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74C606E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0DCB8F6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D888C3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semi-solid</w:t>
            </w:r>
          </w:p>
        </w:tc>
        <w:tc>
          <w:tcPr>
            <w:tcW w:w="1276" w:type="dxa"/>
            <w:tcBorders>
              <w:top w:val="nil"/>
              <w:left w:val="nil"/>
              <w:bottom w:val="single" w:sz="4" w:space="0" w:color="auto"/>
              <w:right w:val="single" w:sz="4" w:space="0" w:color="auto"/>
            </w:tcBorders>
            <w:shd w:val="clear" w:color="auto" w:fill="auto"/>
            <w:noWrap/>
            <w:vAlign w:val="bottom"/>
            <w:hideMark/>
          </w:tcPr>
          <w:p w14:paraId="0A78C0F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58FEED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0FAD9EA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548D9E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semi-solid, solid</w:t>
            </w:r>
          </w:p>
        </w:tc>
        <w:tc>
          <w:tcPr>
            <w:tcW w:w="1276" w:type="dxa"/>
            <w:tcBorders>
              <w:top w:val="nil"/>
              <w:left w:val="nil"/>
              <w:bottom w:val="single" w:sz="4" w:space="0" w:color="auto"/>
              <w:right w:val="single" w:sz="4" w:space="0" w:color="auto"/>
            </w:tcBorders>
            <w:shd w:val="clear" w:color="auto" w:fill="auto"/>
            <w:noWrap/>
            <w:vAlign w:val="bottom"/>
            <w:hideMark/>
          </w:tcPr>
          <w:p w14:paraId="66DB4B7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05EA7C4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2A2494C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2AC731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Mayonnaises, solid</w:t>
            </w:r>
          </w:p>
        </w:tc>
        <w:tc>
          <w:tcPr>
            <w:tcW w:w="1276" w:type="dxa"/>
            <w:tcBorders>
              <w:top w:val="nil"/>
              <w:left w:val="nil"/>
              <w:bottom w:val="single" w:sz="4" w:space="0" w:color="auto"/>
              <w:right w:val="single" w:sz="4" w:space="0" w:color="auto"/>
            </w:tcBorders>
            <w:shd w:val="clear" w:color="auto" w:fill="auto"/>
            <w:noWrap/>
            <w:vAlign w:val="bottom"/>
            <w:hideMark/>
          </w:tcPr>
          <w:p w14:paraId="7CC80DF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21CBFFE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1442FD5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86CBD6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custard, biscuit</w:t>
            </w:r>
          </w:p>
        </w:tc>
        <w:tc>
          <w:tcPr>
            <w:tcW w:w="1276" w:type="dxa"/>
            <w:tcBorders>
              <w:top w:val="nil"/>
              <w:left w:val="nil"/>
              <w:bottom w:val="single" w:sz="4" w:space="0" w:color="auto"/>
              <w:right w:val="single" w:sz="4" w:space="0" w:color="auto"/>
            </w:tcBorders>
            <w:shd w:val="clear" w:color="auto" w:fill="auto"/>
            <w:noWrap/>
            <w:vAlign w:val="bottom"/>
            <w:hideMark/>
          </w:tcPr>
          <w:p w14:paraId="5EAA34B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2B426D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09149E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FCE5E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custard, mashed potato</w:t>
            </w:r>
          </w:p>
        </w:tc>
        <w:tc>
          <w:tcPr>
            <w:tcW w:w="1276" w:type="dxa"/>
            <w:tcBorders>
              <w:top w:val="nil"/>
              <w:left w:val="nil"/>
              <w:bottom w:val="single" w:sz="4" w:space="0" w:color="auto"/>
              <w:right w:val="single" w:sz="4" w:space="0" w:color="auto"/>
            </w:tcBorders>
            <w:shd w:val="clear" w:color="auto" w:fill="auto"/>
            <w:noWrap/>
            <w:vAlign w:val="bottom"/>
            <w:hideMark/>
          </w:tcPr>
          <w:p w14:paraId="490C310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73C17AC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13BBFC9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0CD737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jelly-drink, cracker</w:t>
            </w:r>
          </w:p>
        </w:tc>
        <w:tc>
          <w:tcPr>
            <w:tcW w:w="1276" w:type="dxa"/>
            <w:tcBorders>
              <w:top w:val="nil"/>
              <w:left w:val="nil"/>
              <w:bottom w:val="single" w:sz="4" w:space="0" w:color="auto"/>
              <w:right w:val="single" w:sz="4" w:space="0" w:color="auto"/>
            </w:tcBorders>
            <w:shd w:val="clear" w:color="auto" w:fill="auto"/>
            <w:noWrap/>
            <w:vAlign w:val="bottom"/>
            <w:hideMark/>
          </w:tcPr>
          <w:p w14:paraId="24D2A34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3FCF6E0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50BEBD9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DD54F9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pudding, cookie</w:t>
            </w:r>
          </w:p>
        </w:tc>
        <w:tc>
          <w:tcPr>
            <w:tcW w:w="1276" w:type="dxa"/>
            <w:tcBorders>
              <w:top w:val="nil"/>
              <w:left w:val="nil"/>
              <w:bottom w:val="single" w:sz="4" w:space="0" w:color="auto"/>
              <w:right w:val="single" w:sz="4" w:space="0" w:color="auto"/>
            </w:tcBorders>
            <w:shd w:val="clear" w:color="auto" w:fill="auto"/>
            <w:noWrap/>
            <w:vAlign w:val="bottom"/>
            <w:hideMark/>
          </w:tcPr>
          <w:p w14:paraId="6B5A686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06644BD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70899F7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07C2A1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76668A5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6D6265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2425F5F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AB7531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puree, cracker</w:t>
            </w:r>
          </w:p>
        </w:tc>
        <w:tc>
          <w:tcPr>
            <w:tcW w:w="1276" w:type="dxa"/>
            <w:tcBorders>
              <w:top w:val="nil"/>
              <w:left w:val="nil"/>
              <w:bottom w:val="single" w:sz="4" w:space="0" w:color="auto"/>
              <w:right w:val="single" w:sz="4" w:space="0" w:color="auto"/>
            </w:tcBorders>
            <w:shd w:val="clear" w:color="auto" w:fill="auto"/>
            <w:noWrap/>
            <w:vAlign w:val="bottom"/>
            <w:hideMark/>
          </w:tcPr>
          <w:p w14:paraId="15FCC3C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1CEF51E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000F9DF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F5ADA6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puree, solid</w:t>
            </w:r>
          </w:p>
        </w:tc>
        <w:tc>
          <w:tcPr>
            <w:tcW w:w="1276" w:type="dxa"/>
            <w:tcBorders>
              <w:top w:val="nil"/>
              <w:left w:val="nil"/>
              <w:bottom w:val="single" w:sz="4" w:space="0" w:color="auto"/>
              <w:right w:val="single" w:sz="4" w:space="0" w:color="auto"/>
            </w:tcBorders>
            <w:shd w:val="clear" w:color="auto" w:fill="auto"/>
            <w:noWrap/>
            <w:vAlign w:val="bottom"/>
            <w:hideMark/>
          </w:tcPr>
          <w:p w14:paraId="3B79860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018520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0DD9D04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22B511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 cookie</w:t>
            </w:r>
          </w:p>
        </w:tc>
        <w:tc>
          <w:tcPr>
            <w:tcW w:w="1276" w:type="dxa"/>
            <w:tcBorders>
              <w:top w:val="nil"/>
              <w:left w:val="nil"/>
              <w:bottom w:val="single" w:sz="4" w:space="0" w:color="auto"/>
              <w:right w:val="single" w:sz="4" w:space="0" w:color="auto"/>
            </w:tcBorders>
            <w:shd w:val="clear" w:color="auto" w:fill="auto"/>
            <w:noWrap/>
            <w:vAlign w:val="bottom"/>
            <w:hideMark/>
          </w:tcPr>
          <w:p w14:paraId="02D2A2B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65B9395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312971C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817B5B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pills</w:t>
            </w:r>
          </w:p>
        </w:tc>
        <w:tc>
          <w:tcPr>
            <w:tcW w:w="1276" w:type="dxa"/>
            <w:tcBorders>
              <w:top w:val="nil"/>
              <w:left w:val="nil"/>
              <w:bottom w:val="single" w:sz="4" w:space="0" w:color="auto"/>
              <w:right w:val="single" w:sz="4" w:space="0" w:color="auto"/>
            </w:tcBorders>
            <w:shd w:val="clear" w:color="auto" w:fill="auto"/>
            <w:noWrap/>
            <w:vAlign w:val="bottom"/>
            <w:hideMark/>
          </w:tcPr>
          <w:p w14:paraId="40A4093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7002A96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3CB135C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DFF340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 mixed consistencies</w:t>
            </w:r>
          </w:p>
        </w:tc>
        <w:tc>
          <w:tcPr>
            <w:tcW w:w="1276" w:type="dxa"/>
            <w:tcBorders>
              <w:top w:val="nil"/>
              <w:left w:val="nil"/>
              <w:bottom w:val="single" w:sz="4" w:space="0" w:color="auto"/>
              <w:right w:val="single" w:sz="4" w:space="0" w:color="auto"/>
            </w:tcBorders>
            <w:shd w:val="clear" w:color="auto" w:fill="auto"/>
            <w:noWrap/>
            <w:vAlign w:val="bottom"/>
            <w:hideMark/>
          </w:tcPr>
          <w:p w14:paraId="627B4AE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2EF65F4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4A6864E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569D69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biscuit</w:t>
            </w:r>
          </w:p>
        </w:tc>
        <w:tc>
          <w:tcPr>
            <w:tcW w:w="1276" w:type="dxa"/>
            <w:tcBorders>
              <w:top w:val="nil"/>
              <w:left w:val="nil"/>
              <w:bottom w:val="single" w:sz="4" w:space="0" w:color="auto"/>
              <w:right w:val="single" w:sz="4" w:space="0" w:color="auto"/>
            </w:tcBorders>
            <w:shd w:val="clear" w:color="auto" w:fill="auto"/>
            <w:noWrap/>
            <w:vAlign w:val="bottom"/>
            <w:hideMark/>
          </w:tcPr>
          <w:p w14:paraId="785AF00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3B7BA0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19F348C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1F3BAE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bread</w:t>
            </w:r>
          </w:p>
        </w:tc>
        <w:tc>
          <w:tcPr>
            <w:tcW w:w="1276" w:type="dxa"/>
            <w:tcBorders>
              <w:top w:val="nil"/>
              <w:left w:val="nil"/>
              <w:bottom w:val="single" w:sz="4" w:space="0" w:color="auto"/>
              <w:right w:val="single" w:sz="4" w:space="0" w:color="auto"/>
            </w:tcBorders>
            <w:shd w:val="clear" w:color="auto" w:fill="auto"/>
            <w:noWrap/>
            <w:vAlign w:val="bottom"/>
            <w:hideMark/>
          </w:tcPr>
          <w:p w14:paraId="1E55E04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F88B0C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5909C69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53B6C0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semi-liquid</w:t>
            </w:r>
          </w:p>
        </w:tc>
        <w:tc>
          <w:tcPr>
            <w:tcW w:w="1276" w:type="dxa"/>
            <w:tcBorders>
              <w:top w:val="nil"/>
              <w:left w:val="nil"/>
              <w:bottom w:val="single" w:sz="4" w:space="0" w:color="auto"/>
              <w:right w:val="single" w:sz="4" w:space="0" w:color="auto"/>
            </w:tcBorders>
            <w:shd w:val="clear" w:color="auto" w:fill="auto"/>
            <w:noWrap/>
            <w:vAlign w:val="bottom"/>
            <w:hideMark/>
          </w:tcPr>
          <w:p w14:paraId="73AD41A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8BCAB7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1D41D40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715A0E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semi-solid, solid</w:t>
            </w:r>
          </w:p>
        </w:tc>
        <w:tc>
          <w:tcPr>
            <w:tcW w:w="1276" w:type="dxa"/>
            <w:tcBorders>
              <w:top w:val="nil"/>
              <w:left w:val="nil"/>
              <w:bottom w:val="single" w:sz="4" w:space="0" w:color="auto"/>
              <w:right w:val="single" w:sz="4" w:space="0" w:color="auto"/>
            </w:tcBorders>
            <w:shd w:val="clear" w:color="auto" w:fill="auto"/>
            <w:noWrap/>
            <w:vAlign w:val="bottom"/>
            <w:hideMark/>
          </w:tcPr>
          <w:p w14:paraId="43CB4B6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6919C90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4213781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6F08A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pudding</w:t>
            </w:r>
          </w:p>
        </w:tc>
        <w:tc>
          <w:tcPr>
            <w:tcW w:w="1276" w:type="dxa"/>
            <w:tcBorders>
              <w:top w:val="nil"/>
              <w:left w:val="nil"/>
              <w:bottom w:val="single" w:sz="4" w:space="0" w:color="auto"/>
              <w:right w:val="single" w:sz="4" w:space="0" w:color="auto"/>
            </w:tcBorders>
            <w:shd w:val="clear" w:color="auto" w:fill="auto"/>
            <w:noWrap/>
            <w:vAlign w:val="bottom"/>
            <w:hideMark/>
          </w:tcPr>
          <w:p w14:paraId="1BAAA8E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7D1FA54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335DC75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FF2882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pudding, cracker</w:t>
            </w:r>
          </w:p>
        </w:tc>
        <w:tc>
          <w:tcPr>
            <w:tcW w:w="1276" w:type="dxa"/>
            <w:tcBorders>
              <w:top w:val="nil"/>
              <w:left w:val="nil"/>
              <w:bottom w:val="single" w:sz="4" w:space="0" w:color="auto"/>
              <w:right w:val="single" w:sz="4" w:space="0" w:color="auto"/>
            </w:tcBorders>
            <w:shd w:val="clear" w:color="auto" w:fill="auto"/>
            <w:noWrap/>
            <w:vAlign w:val="bottom"/>
            <w:hideMark/>
          </w:tcPr>
          <w:p w14:paraId="165F42A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5F8CB08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9E35BB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FB4742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38D99E9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0FA5E23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3DE8EBE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243A87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thickened, puree</w:t>
            </w:r>
          </w:p>
        </w:tc>
        <w:tc>
          <w:tcPr>
            <w:tcW w:w="1276" w:type="dxa"/>
            <w:tcBorders>
              <w:top w:val="nil"/>
              <w:left w:val="nil"/>
              <w:bottom w:val="single" w:sz="4" w:space="0" w:color="auto"/>
              <w:right w:val="single" w:sz="4" w:space="0" w:color="auto"/>
            </w:tcBorders>
            <w:shd w:val="clear" w:color="auto" w:fill="auto"/>
            <w:noWrap/>
            <w:vAlign w:val="bottom"/>
            <w:hideMark/>
          </w:tcPr>
          <w:p w14:paraId="08A1F32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7F9316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BD8B51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BAF9CB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bread</w:t>
            </w:r>
          </w:p>
        </w:tc>
        <w:tc>
          <w:tcPr>
            <w:tcW w:w="1276" w:type="dxa"/>
            <w:tcBorders>
              <w:top w:val="nil"/>
              <w:left w:val="nil"/>
              <w:bottom w:val="single" w:sz="4" w:space="0" w:color="auto"/>
              <w:right w:val="single" w:sz="4" w:space="0" w:color="auto"/>
            </w:tcBorders>
            <w:shd w:val="clear" w:color="auto" w:fill="auto"/>
            <w:noWrap/>
            <w:vAlign w:val="bottom"/>
            <w:hideMark/>
          </w:tcPr>
          <w:p w14:paraId="0B1C0C7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E17385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C9D91E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3A85DF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mashed potato</w:t>
            </w:r>
          </w:p>
        </w:tc>
        <w:tc>
          <w:tcPr>
            <w:tcW w:w="1276" w:type="dxa"/>
            <w:tcBorders>
              <w:top w:val="nil"/>
              <w:left w:val="nil"/>
              <w:bottom w:val="single" w:sz="4" w:space="0" w:color="auto"/>
              <w:right w:val="single" w:sz="4" w:space="0" w:color="auto"/>
            </w:tcBorders>
            <w:shd w:val="clear" w:color="auto" w:fill="auto"/>
            <w:noWrap/>
            <w:vAlign w:val="bottom"/>
            <w:hideMark/>
          </w:tcPr>
          <w:p w14:paraId="1D29BD8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6557993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1392288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3F3D46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Three types of rice</w:t>
            </w:r>
          </w:p>
        </w:tc>
        <w:tc>
          <w:tcPr>
            <w:tcW w:w="1276" w:type="dxa"/>
            <w:tcBorders>
              <w:top w:val="nil"/>
              <w:left w:val="nil"/>
              <w:bottom w:val="single" w:sz="4" w:space="0" w:color="auto"/>
              <w:right w:val="single" w:sz="4" w:space="0" w:color="auto"/>
            </w:tcBorders>
            <w:shd w:val="clear" w:color="auto" w:fill="auto"/>
            <w:noWrap/>
            <w:vAlign w:val="bottom"/>
            <w:hideMark/>
          </w:tcPr>
          <w:p w14:paraId="6C27C91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4D5A12D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69DD3D8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928F1F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Two types of rice</w:t>
            </w:r>
          </w:p>
        </w:tc>
        <w:tc>
          <w:tcPr>
            <w:tcW w:w="1276" w:type="dxa"/>
            <w:tcBorders>
              <w:top w:val="nil"/>
              <w:left w:val="nil"/>
              <w:bottom w:val="single" w:sz="4" w:space="0" w:color="auto"/>
              <w:right w:val="single" w:sz="4" w:space="0" w:color="auto"/>
            </w:tcBorders>
            <w:shd w:val="clear" w:color="auto" w:fill="auto"/>
            <w:noWrap/>
            <w:vAlign w:val="bottom"/>
            <w:hideMark/>
          </w:tcPr>
          <w:p w14:paraId="62D7A2C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2</w:t>
            </w:r>
          </w:p>
        </w:tc>
        <w:tc>
          <w:tcPr>
            <w:tcW w:w="2410" w:type="dxa"/>
            <w:tcBorders>
              <w:top w:val="nil"/>
              <w:left w:val="nil"/>
              <w:bottom w:val="single" w:sz="4" w:space="0" w:color="auto"/>
              <w:right w:val="single" w:sz="4" w:space="0" w:color="auto"/>
            </w:tcBorders>
            <w:shd w:val="clear" w:color="auto" w:fill="auto"/>
            <w:noWrap/>
            <w:vAlign w:val="bottom"/>
            <w:hideMark/>
          </w:tcPr>
          <w:p w14:paraId="058C13B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0.4%</w:t>
            </w:r>
          </w:p>
        </w:tc>
      </w:tr>
      <w:tr w:rsidR="005E2791" w:rsidRPr="005E2791" w14:paraId="2618045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78D588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3, 4, 5, 6</w:t>
            </w:r>
          </w:p>
        </w:tc>
        <w:tc>
          <w:tcPr>
            <w:tcW w:w="1276" w:type="dxa"/>
            <w:tcBorders>
              <w:top w:val="nil"/>
              <w:left w:val="nil"/>
              <w:bottom w:val="single" w:sz="4" w:space="0" w:color="auto"/>
              <w:right w:val="single" w:sz="4" w:space="0" w:color="auto"/>
            </w:tcBorders>
            <w:shd w:val="clear" w:color="auto" w:fill="auto"/>
            <w:noWrap/>
            <w:vAlign w:val="bottom"/>
            <w:hideMark/>
          </w:tcPr>
          <w:p w14:paraId="348A04A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DE0DA0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E45706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26B95B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4, 5</w:t>
            </w:r>
          </w:p>
        </w:tc>
        <w:tc>
          <w:tcPr>
            <w:tcW w:w="1276" w:type="dxa"/>
            <w:tcBorders>
              <w:top w:val="nil"/>
              <w:left w:val="nil"/>
              <w:bottom w:val="single" w:sz="4" w:space="0" w:color="auto"/>
              <w:right w:val="single" w:sz="4" w:space="0" w:color="auto"/>
            </w:tcBorders>
            <w:shd w:val="clear" w:color="auto" w:fill="auto"/>
            <w:noWrap/>
            <w:vAlign w:val="bottom"/>
            <w:hideMark/>
          </w:tcPr>
          <w:p w14:paraId="745B369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A4B1A8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91FF88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8F6049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4, 6</w:t>
            </w:r>
          </w:p>
        </w:tc>
        <w:tc>
          <w:tcPr>
            <w:tcW w:w="1276" w:type="dxa"/>
            <w:tcBorders>
              <w:top w:val="nil"/>
              <w:left w:val="nil"/>
              <w:bottom w:val="single" w:sz="4" w:space="0" w:color="auto"/>
              <w:right w:val="single" w:sz="4" w:space="0" w:color="auto"/>
            </w:tcBorders>
            <w:shd w:val="clear" w:color="auto" w:fill="auto"/>
            <w:noWrap/>
            <w:vAlign w:val="bottom"/>
            <w:hideMark/>
          </w:tcPr>
          <w:p w14:paraId="011A372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5C1712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FE3EC3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A8D6FC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5</w:t>
            </w:r>
          </w:p>
        </w:tc>
        <w:tc>
          <w:tcPr>
            <w:tcW w:w="1276" w:type="dxa"/>
            <w:tcBorders>
              <w:top w:val="nil"/>
              <w:left w:val="nil"/>
              <w:bottom w:val="single" w:sz="4" w:space="0" w:color="auto"/>
              <w:right w:val="single" w:sz="4" w:space="0" w:color="auto"/>
            </w:tcBorders>
            <w:shd w:val="clear" w:color="auto" w:fill="auto"/>
            <w:noWrap/>
            <w:vAlign w:val="bottom"/>
            <w:hideMark/>
          </w:tcPr>
          <w:p w14:paraId="4F05723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EFAA04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BE6B01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5EA79D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5, 7</w:t>
            </w:r>
          </w:p>
        </w:tc>
        <w:tc>
          <w:tcPr>
            <w:tcW w:w="1276" w:type="dxa"/>
            <w:tcBorders>
              <w:top w:val="nil"/>
              <w:left w:val="nil"/>
              <w:bottom w:val="single" w:sz="4" w:space="0" w:color="auto"/>
              <w:right w:val="single" w:sz="4" w:space="0" w:color="auto"/>
            </w:tcBorders>
            <w:shd w:val="clear" w:color="auto" w:fill="auto"/>
            <w:noWrap/>
            <w:vAlign w:val="bottom"/>
            <w:hideMark/>
          </w:tcPr>
          <w:p w14:paraId="7F51D25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100847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F068ED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BFEE4B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2, 6, 7</w:t>
            </w:r>
          </w:p>
        </w:tc>
        <w:tc>
          <w:tcPr>
            <w:tcW w:w="1276" w:type="dxa"/>
            <w:tcBorders>
              <w:top w:val="nil"/>
              <w:left w:val="nil"/>
              <w:bottom w:val="single" w:sz="4" w:space="0" w:color="auto"/>
              <w:right w:val="single" w:sz="4" w:space="0" w:color="auto"/>
            </w:tcBorders>
            <w:shd w:val="clear" w:color="auto" w:fill="auto"/>
            <w:noWrap/>
            <w:vAlign w:val="bottom"/>
            <w:hideMark/>
          </w:tcPr>
          <w:p w14:paraId="6C98E47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0823A6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25656F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9A3257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3, 4, 7</w:t>
            </w:r>
          </w:p>
        </w:tc>
        <w:tc>
          <w:tcPr>
            <w:tcW w:w="1276" w:type="dxa"/>
            <w:tcBorders>
              <w:top w:val="nil"/>
              <w:left w:val="nil"/>
              <w:bottom w:val="single" w:sz="4" w:space="0" w:color="auto"/>
              <w:right w:val="single" w:sz="4" w:space="0" w:color="auto"/>
            </w:tcBorders>
            <w:shd w:val="clear" w:color="auto" w:fill="auto"/>
            <w:noWrap/>
            <w:vAlign w:val="bottom"/>
            <w:hideMark/>
          </w:tcPr>
          <w:p w14:paraId="22E087F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ACCEAB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0AC107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552F05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3, 5, 6</w:t>
            </w:r>
          </w:p>
        </w:tc>
        <w:tc>
          <w:tcPr>
            <w:tcW w:w="1276" w:type="dxa"/>
            <w:tcBorders>
              <w:top w:val="nil"/>
              <w:left w:val="nil"/>
              <w:bottom w:val="single" w:sz="4" w:space="0" w:color="auto"/>
              <w:right w:val="single" w:sz="4" w:space="0" w:color="auto"/>
            </w:tcBorders>
            <w:shd w:val="clear" w:color="auto" w:fill="auto"/>
            <w:noWrap/>
            <w:vAlign w:val="bottom"/>
            <w:hideMark/>
          </w:tcPr>
          <w:p w14:paraId="59DAEC5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EA9519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DA68A0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40022F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4, 5-0 mixed; 6-2 mixed; 7</w:t>
            </w:r>
          </w:p>
        </w:tc>
        <w:tc>
          <w:tcPr>
            <w:tcW w:w="1276" w:type="dxa"/>
            <w:tcBorders>
              <w:top w:val="nil"/>
              <w:left w:val="nil"/>
              <w:bottom w:val="single" w:sz="4" w:space="0" w:color="auto"/>
              <w:right w:val="single" w:sz="4" w:space="0" w:color="auto"/>
            </w:tcBorders>
            <w:shd w:val="clear" w:color="auto" w:fill="auto"/>
            <w:noWrap/>
            <w:vAlign w:val="bottom"/>
            <w:hideMark/>
          </w:tcPr>
          <w:p w14:paraId="744AE62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86C4BD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3418B8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0A831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0, 4, 6</w:t>
            </w:r>
          </w:p>
        </w:tc>
        <w:tc>
          <w:tcPr>
            <w:tcW w:w="1276" w:type="dxa"/>
            <w:tcBorders>
              <w:top w:val="nil"/>
              <w:left w:val="nil"/>
              <w:bottom w:val="single" w:sz="4" w:space="0" w:color="auto"/>
              <w:right w:val="single" w:sz="4" w:space="0" w:color="auto"/>
            </w:tcBorders>
            <w:shd w:val="clear" w:color="auto" w:fill="auto"/>
            <w:noWrap/>
            <w:vAlign w:val="bottom"/>
            <w:hideMark/>
          </w:tcPr>
          <w:p w14:paraId="1354D58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88FE49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82C67F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492EB5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2, 3, 4</w:t>
            </w:r>
          </w:p>
        </w:tc>
        <w:tc>
          <w:tcPr>
            <w:tcW w:w="1276" w:type="dxa"/>
            <w:tcBorders>
              <w:top w:val="nil"/>
              <w:left w:val="nil"/>
              <w:bottom w:val="single" w:sz="4" w:space="0" w:color="auto"/>
              <w:right w:val="single" w:sz="4" w:space="0" w:color="auto"/>
            </w:tcBorders>
            <w:shd w:val="clear" w:color="auto" w:fill="auto"/>
            <w:noWrap/>
            <w:vAlign w:val="bottom"/>
            <w:hideMark/>
          </w:tcPr>
          <w:p w14:paraId="135A9FD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6B350B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69B19F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A9D4B0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IDDSI levels 3, 4, 6</w:t>
            </w:r>
          </w:p>
        </w:tc>
        <w:tc>
          <w:tcPr>
            <w:tcW w:w="1276" w:type="dxa"/>
            <w:tcBorders>
              <w:top w:val="nil"/>
              <w:left w:val="nil"/>
              <w:bottom w:val="single" w:sz="4" w:space="0" w:color="auto"/>
              <w:right w:val="single" w:sz="4" w:space="0" w:color="auto"/>
            </w:tcBorders>
            <w:shd w:val="clear" w:color="auto" w:fill="auto"/>
            <w:noWrap/>
            <w:vAlign w:val="bottom"/>
            <w:hideMark/>
          </w:tcPr>
          <w:p w14:paraId="5F53468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8C632E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244037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740CB7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"Fluids", "diet"</w:t>
            </w:r>
          </w:p>
        </w:tc>
        <w:tc>
          <w:tcPr>
            <w:tcW w:w="1276" w:type="dxa"/>
            <w:tcBorders>
              <w:top w:val="nil"/>
              <w:left w:val="nil"/>
              <w:bottom w:val="single" w:sz="4" w:space="0" w:color="auto"/>
              <w:right w:val="single" w:sz="4" w:space="0" w:color="auto"/>
            </w:tcBorders>
            <w:shd w:val="clear" w:color="auto" w:fill="auto"/>
            <w:noWrap/>
            <w:vAlign w:val="bottom"/>
            <w:hideMark/>
          </w:tcPr>
          <w:p w14:paraId="5BCB465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05544F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2C0C20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6459B2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35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375D5C5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3AB6EA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5CC111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7E14E3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59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098206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C4B74C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4704D5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0B8A9E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Five different gels</w:t>
            </w:r>
          </w:p>
        </w:tc>
        <w:tc>
          <w:tcPr>
            <w:tcW w:w="1276" w:type="dxa"/>
            <w:tcBorders>
              <w:top w:val="nil"/>
              <w:left w:val="nil"/>
              <w:bottom w:val="single" w:sz="4" w:space="0" w:color="auto"/>
              <w:right w:val="single" w:sz="4" w:space="0" w:color="auto"/>
            </w:tcBorders>
            <w:shd w:val="clear" w:color="auto" w:fill="auto"/>
            <w:noWrap/>
            <w:vAlign w:val="bottom"/>
            <w:hideMark/>
          </w:tcPr>
          <w:p w14:paraId="175AB0C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D3C7C1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7459C8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355345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Four types of rice</w:t>
            </w:r>
          </w:p>
        </w:tc>
        <w:tc>
          <w:tcPr>
            <w:tcW w:w="1276" w:type="dxa"/>
            <w:tcBorders>
              <w:top w:val="nil"/>
              <w:left w:val="nil"/>
              <w:bottom w:val="single" w:sz="4" w:space="0" w:color="auto"/>
              <w:right w:val="single" w:sz="4" w:space="0" w:color="auto"/>
            </w:tcBorders>
            <w:shd w:val="clear" w:color="auto" w:fill="auto"/>
            <w:noWrap/>
            <w:vAlign w:val="bottom"/>
            <w:hideMark/>
          </w:tcPr>
          <w:p w14:paraId="36C6C17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1F9628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D57E23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492A57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bread</w:t>
            </w:r>
          </w:p>
        </w:tc>
        <w:tc>
          <w:tcPr>
            <w:tcW w:w="1276" w:type="dxa"/>
            <w:tcBorders>
              <w:top w:val="nil"/>
              <w:left w:val="nil"/>
              <w:bottom w:val="single" w:sz="4" w:space="0" w:color="auto"/>
              <w:right w:val="single" w:sz="4" w:space="0" w:color="auto"/>
            </w:tcBorders>
            <w:shd w:val="clear" w:color="auto" w:fill="auto"/>
            <w:noWrap/>
            <w:vAlign w:val="bottom"/>
            <w:hideMark/>
          </w:tcPr>
          <w:p w14:paraId="28E2761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2D9ECA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FF8F3A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F8EFA6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carrots</w:t>
            </w:r>
          </w:p>
        </w:tc>
        <w:tc>
          <w:tcPr>
            <w:tcW w:w="1276" w:type="dxa"/>
            <w:tcBorders>
              <w:top w:val="nil"/>
              <w:left w:val="nil"/>
              <w:bottom w:val="single" w:sz="4" w:space="0" w:color="auto"/>
              <w:right w:val="single" w:sz="4" w:space="0" w:color="auto"/>
            </w:tcBorders>
            <w:shd w:val="clear" w:color="auto" w:fill="auto"/>
            <w:noWrap/>
            <w:vAlign w:val="bottom"/>
            <w:hideMark/>
          </w:tcPr>
          <w:p w14:paraId="6B291CC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341021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527038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CA857A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honey-thick, pudding, cookie</w:t>
            </w:r>
          </w:p>
        </w:tc>
        <w:tc>
          <w:tcPr>
            <w:tcW w:w="1276" w:type="dxa"/>
            <w:tcBorders>
              <w:top w:val="nil"/>
              <w:left w:val="nil"/>
              <w:bottom w:val="single" w:sz="4" w:space="0" w:color="auto"/>
              <w:right w:val="single" w:sz="4" w:space="0" w:color="auto"/>
            </w:tcBorders>
            <w:shd w:val="clear" w:color="auto" w:fill="auto"/>
            <w:noWrap/>
            <w:vAlign w:val="bottom"/>
            <w:hideMark/>
          </w:tcPr>
          <w:p w14:paraId="4138C4B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9E083A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FDB924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4BED01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nectar-thick, pudding, solid</w:t>
            </w:r>
          </w:p>
        </w:tc>
        <w:tc>
          <w:tcPr>
            <w:tcW w:w="1276" w:type="dxa"/>
            <w:tcBorders>
              <w:top w:val="nil"/>
              <w:left w:val="nil"/>
              <w:bottom w:val="single" w:sz="4" w:space="0" w:color="auto"/>
              <w:right w:val="single" w:sz="4" w:space="0" w:color="auto"/>
            </w:tcBorders>
            <w:shd w:val="clear" w:color="auto" w:fill="auto"/>
            <w:noWrap/>
            <w:vAlign w:val="bottom"/>
            <w:hideMark/>
          </w:tcPr>
          <w:p w14:paraId="57420D5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C06E71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FB6D15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587877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pudding</w:t>
            </w:r>
          </w:p>
        </w:tc>
        <w:tc>
          <w:tcPr>
            <w:tcW w:w="1276" w:type="dxa"/>
            <w:tcBorders>
              <w:top w:val="nil"/>
              <w:left w:val="nil"/>
              <w:bottom w:val="single" w:sz="4" w:space="0" w:color="auto"/>
              <w:right w:val="single" w:sz="4" w:space="0" w:color="auto"/>
            </w:tcBorders>
            <w:shd w:val="clear" w:color="auto" w:fill="auto"/>
            <w:noWrap/>
            <w:vAlign w:val="bottom"/>
            <w:hideMark/>
          </w:tcPr>
          <w:p w14:paraId="2B6563C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BB1D14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462924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38A895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pudding, jellies</w:t>
            </w:r>
          </w:p>
        </w:tc>
        <w:tc>
          <w:tcPr>
            <w:tcW w:w="1276" w:type="dxa"/>
            <w:tcBorders>
              <w:top w:val="nil"/>
              <w:left w:val="nil"/>
              <w:bottom w:val="single" w:sz="4" w:space="0" w:color="auto"/>
              <w:right w:val="single" w:sz="4" w:space="0" w:color="auto"/>
            </w:tcBorders>
            <w:shd w:val="clear" w:color="auto" w:fill="auto"/>
            <w:noWrap/>
            <w:vAlign w:val="bottom"/>
            <w:hideMark/>
          </w:tcPr>
          <w:p w14:paraId="34C4B7E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9D03A8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9B08AF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491A47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semi-liquid, semi-solid</w:t>
            </w:r>
          </w:p>
        </w:tc>
        <w:tc>
          <w:tcPr>
            <w:tcW w:w="1276" w:type="dxa"/>
            <w:tcBorders>
              <w:top w:val="nil"/>
              <w:left w:val="nil"/>
              <w:bottom w:val="single" w:sz="4" w:space="0" w:color="auto"/>
              <w:right w:val="single" w:sz="4" w:space="0" w:color="auto"/>
            </w:tcBorders>
            <w:shd w:val="clear" w:color="auto" w:fill="auto"/>
            <w:noWrap/>
            <w:vAlign w:val="bottom"/>
            <w:hideMark/>
          </w:tcPr>
          <w:p w14:paraId="325EABA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4EB809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3283CD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4D0712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semi-solid, biscuit</w:t>
            </w:r>
          </w:p>
        </w:tc>
        <w:tc>
          <w:tcPr>
            <w:tcW w:w="1276" w:type="dxa"/>
            <w:tcBorders>
              <w:top w:val="nil"/>
              <w:left w:val="nil"/>
              <w:bottom w:val="single" w:sz="4" w:space="0" w:color="auto"/>
              <w:right w:val="single" w:sz="4" w:space="0" w:color="auto"/>
            </w:tcBorders>
            <w:shd w:val="clear" w:color="auto" w:fill="auto"/>
            <w:noWrap/>
            <w:vAlign w:val="bottom"/>
            <w:hideMark/>
          </w:tcPr>
          <w:p w14:paraId="5B9211A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DBC12C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E24B21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9B3164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solid</w:t>
            </w:r>
          </w:p>
        </w:tc>
        <w:tc>
          <w:tcPr>
            <w:tcW w:w="1276" w:type="dxa"/>
            <w:tcBorders>
              <w:top w:val="nil"/>
              <w:left w:val="nil"/>
              <w:bottom w:val="single" w:sz="4" w:space="0" w:color="auto"/>
              <w:right w:val="single" w:sz="4" w:space="0" w:color="auto"/>
            </w:tcBorders>
            <w:shd w:val="clear" w:color="auto" w:fill="auto"/>
            <w:noWrap/>
            <w:vAlign w:val="bottom"/>
            <w:hideMark/>
          </w:tcPr>
          <w:p w14:paraId="266AFD5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1859EA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71492E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0D1814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viscous</w:t>
            </w:r>
          </w:p>
        </w:tc>
        <w:tc>
          <w:tcPr>
            <w:tcW w:w="1276" w:type="dxa"/>
            <w:tcBorders>
              <w:top w:val="nil"/>
              <w:left w:val="nil"/>
              <w:bottom w:val="single" w:sz="4" w:space="0" w:color="auto"/>
              <w:right w:val="single" w:sz="4" w:space="0" w:color="auto"/>
            </w:tcBorders>
            <w:shd w:val="clear" w:color="auto" w:fill="auto"/>
            <w:noWrap/>
            <w:vAlign w:val="bottom"/>
            <w:hideMark/>
          </w:tcPr>
          <w:p w14:paraId="1058BDC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776793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3B37EC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B54D86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viscous foods</w:t>
            </w:r>
          </w:p>
        </w:tc>
        <w:tc>
          <w:tcPr>
            <w:tcW w:w="1276" w:type="dxa"/>
            <w:tcBorders>
              <w:top w:val="nil"/>
              <w:left w:val="nil"/>
              <w:bottom w:val="single" w:sz="4" w:space="0" w:color="auto"/>
              <w:right w:val="single" w:sz="4" w:space="0" w:color="auto"/>
            </w:tcBorders>
            <w:shd w:val="clear" w:color="auto" w:fill="auto"/>
            <w:noWrap/>
            <w:vAlign w:val="bottom"/>
            <w:hideMark/>
          </w:tcPr>
          <w:p w14:paraId="10FDABA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EAED1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1B28B6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813D2A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viscous liquid</w:t>
            </w:r>
          </w:p>
        </w:tc>
        <w:tc>
          <w:tcPr>
            <w:tcW w:w="1276" w:type="dxa"/>
            <w:tcBorders>
              <w:top w:val="nil"/>
              <w:left w:val="nil"/>
              <w:bottom w:val="single" w:sz="4" w:space="0" w:color="auto"/>
              <w:right w:val="single" w:sz="4" w:space="0" w:color="auto"/>
            </w:tcBorders>
            <w:shd w:val="clear" w:color="auto" w:fill="auto"/>
            <w:noWrap/>
            <w:vAlign w:val="bottom"/>
            <w:hideMark/>
          </w:tcPr>
          <w:p w14:paraId="0B84AD7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BFF06B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111857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99BBDB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viscous, solid</w:t>
            </w:r>
          </w:p>
        </w:tc>
        <w:tc>
          <w:tcPr>
            <w:tcW w:w="1276" w:type="dxa"/>
            <w:tcBorders>
              <w:top w:val="nil"/>
              <w:left w:val="nil"/>
              <w:bottom w:val="single" w:sz="4" w:space="0" w:color="auto"/>
              <w:right w:val="single" w:sz="4" w:space="0" w:color="auto"/>
            </w:tcBorders>
            <w:shd w:val="clear" w:color="auto" w:fill="auto"/>
            <w:noWrap/>
            <w:vAlign w:val="bottom"/>
            <w:hideMark/>
          </w:tcPr>
          <w:p w14:paraId="26CA35F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685AB8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9AA152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83963D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 yogurt</w:t>
            </w:r>
          </w:p>
        </w:tc>
        <w:tc>
          <w:tcPr>
            <w:tcW w:w="1276" w:type="dxa"/>
            <w:tcBorders>
              <w:top w:val="nil"/>
              <w:left w:val="nil"/>
              <w:bottom w:val="single" w:sz="4" w:space="0" w:color="auto"/>
              <w:right w:val="single" w:sz="4" w:space="0" w:color="auto"/>
            </w:tcBorders>
            <w:shd w:val="clear" w:color="auto" w:fill="auto"/>
            <w:noWrap/>
            <w:vAlign w:val="bottom"/>
            <w:hideMark/>
          </w:tcPr>
          <w:p w14:paraId="2CB831D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15D76F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10C5C3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CFB870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Liquids, semi-solid, solid</w:t>
            </w:r>
          </w:p>
        </w:tc>
        <w:tc>
          <w:tcPr>
            <w:tcW w:w="1276" w:type="dxa"/>
            <w:tcBorders>
              <w:top w:val="nil"/>
              <w:left w:val="nil"/>
              <w:bottom w:val="single" w:sz="4" w:space="0" w:color="auto"/>
              <w:right w:val="single" w:sz="4" w:space="0" w:color="auto"/>
            </w:tcBorders>
            <w:shd w:val="clear" w:color="auto" w:fill="auto"/>
            <w:noWrap/>
            <w:vAlign w:val="bottom"/>
            <w:hideMark/>
          </w:tcPr>
          <w:p w14:paraId="187851B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AE4A7F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DD0817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23A674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Meat, cookie</w:t>
            </w:r>
          </w:p>
        </w:tc>
        <w:tc>
          <w:tcPr>
            <w:tcW w:w="1276" w:type="dxa"/>
            <w:tcBorders>
              <w:top w:val="nil"/>
              <w:left w:val="nil"/>
              <w:bottom w:val="single" w:sz="4" w:space="0" w:color="auto"/>
              <w:right w:val="single" w:sz="4" w:space="0" w:color="auto"/>
            </w:tcBorders>
            <w:shd w:val="clear" w:color="auto" w:fill="auto"/>
            <w:noWrap/>
            <w:vAlign w:val="bottom"/>
            <w:hideMark/>
          </w:tcPr>
          <w:p w14:paraId="3598B23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DFA7E6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C166FE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302E38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Mildly thick, two types of jelly</w:t>
            </w:r>
          </w:p>
        </w:tc>
        <w:tc>
          <w:tcPr>
            <w:tcW w:w="1276" w:type="dxa"/>
            <w:tcBorders>
              <w:top w:val="nil"/>
              <w:left w:val="nil"/>
              <w:bottom w:val="single" w:sz="4" w:space="0" w:color="auto"/>
              <w:right w:val="single" w:sz="4" w:space="0" w:color="auto"/>
            </w:tcBorders>
            <w:shd w:val="clear" w:color="auto" w:fill="auto"/>
            <w:noWrap/>
            <w:vAlign w:val="bottom"/>
            <w:hideMark/>
          </w:tcPr>
          <w:p w14:paraId="30E0A31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4DC8CE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FBE10D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3D0DA8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Nectar-thick, applesauce</w:t>
            </w:r>
          </w:p>
        </w:tc>
        <w:tc>
          <w:tcPr>
            <w:tcW w:w="1276" w:type="dxa"/>
            <w:tcBorders>
              <w:top w:val="nil"/>
              <w:left w:val="nil"/>
              <w:bottom w:val="single" w:sz="4" w:space="0" w:color="auto"/>
              <w:right w:val="single" w:sz="4" w:space="0" w:color="auto"/>
            </w:tcBorders>
            <w:shd w:val="clear" w:color="auto" w:fill="auto"/>
            <w:noWrap/>
            <w:vAlign w:val="bottom"/>
            <w:hideMark/>
          </w:tcPr>
          <w:p w14:paraId="0E5C111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D083AA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6F6B55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9983C8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Nectar-thick, honey-thick</w:t>
            </w:r>
          </w:p>
        </w:tc>
        <w:tc>
          <w:tcPr>
            <w:tcW w:w="1276" w:type="dxa"/>
            <w:tcBorders>
              <w:top w:val="nil"/>
              <w:left w:val="nil"/>
              <w:bottom w:val="single" w:sz="4" w:space="0" w:color="auto"/>
              <w:right w:val="single" w:sz="4" w:space="0" w:color="auto"/>
            </w:tcBorders>
            <w:shd w:val="clear" w:color="auto" w:fill="auto"/>
            <w:noWrap/>
            <w:vAlign w:val="bottom"/>
            <w:hideMark/>
          </w:tcPr>
          <w:p w14:paraId="6055F02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BEA4F7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5CD7F5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98685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Nectar-thick,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4EE6690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858129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D9C956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79A589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Nectar-thick, semi-solid</w:t>
            </w:r>
          </w:p>
        </w:tc>
        <w:tc>
          <w:tcPr>
            <w:tcW w:w="1276" w:type="dxa"/>
            <w:tcBorders>
              <w:top w:val="nil"/>
              <w:left w:val="nil"/>
              <w:bottom w:val="single" w:sz="4" w:space="0" w:color="auto"/>
              <w:right w:val="single" w:sz="4" w:space="0" w:color="auto"/>
            </w:tcBorders>
            <w:shd w:val="clear" w:color="auto" w:fill="auto"/>
            <w:noWrap/>
            <w:vAlign w:val="bottom"/>
            <w:hideMark/>
          </w:tcPr>
          <w:p w14:paraId="1746412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D3D240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D9B84E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B1CA7B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Puree, gelled puree</w:t>
            </w:r>
          </w:p>
        </w:tc>
        <w:tc>
          <w:tcPr>
            <w:tcW w:w="1276" w:type="dxa"/>
            <w:tcBorders>
              <w:top w:val="nil"/>
              <w:left w:val="nil"/>
              <w:bottom w:val="single" w:sz="4" w:space="0" w:color="auto"/>
              <w:right w:val="single" w:sz="4" w:space="0" w:color="auto"/>
            </w:tcBorders>
            <w:shd w:val="clear" w:color="auto" w:fill="auto"/>
            <w:noWrap/>
            <w:vAlign w:val="bottom"/>
            <w:hideMark/>
          </w:tcPr>
          <w:p w14:paraId="455A4D9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45FE3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A11AD9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2464AF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Puree, porridge, 45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4DB5BBC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FF2361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B26060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33CDA7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Puree, soft food, solid</w:t>
            </w:r>
          </w:p>
        </w:tc>
        <w:tc>
          <w:tcPr>
            <w:tcW w:w="1276" w:type="dxa"/>
            <w:tcBorders>
              <w:top w:val="nil"/>
              <w:left w:val="nil"/>
              <w:bottom w:val="single" w:sz="4" w:space="0" w:color="auto"/>
              <w:right w:val="single" w:sz="4" w:space="0" w:color="auto"/>
            </w:tcBorders>
            <w:shd w:val="clear" w:color="auto" w:fill="auto"/>
            <w:noWrap/>
            <w:vAlign w:val="bottom"/>
            <w:hideMark/>
          </w:tcPr>
          <w:p w14:paraId="4095B69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A8A6A8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CB90B6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CC10DF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Pureed rice with and without gelling agent</w:t>
            </w:r>
          </w:p>
        </w:tc>
        <w:tc>
          <w:tcPr>
            <w:tcW w:w="1276" w:type="dxa"/>
            <w:tcBorders>
              <w:top w:val="nil"/>
              <w:left w:val="nil"/>
              <w:bottom w:val="single" w:sz="4" w:space="0" w:color="auto"/>
              <w:right w:val="single" w:sz="4" w:space="0" w:color="auto"/>
            </w:tcBorders>
            <w:shd w:val="clear" w:color="auto" w:fill="auto"/>
            <w:noWrap/>
            <w:vAlign w:val="bottom"/>
            <w:hideMark/>
          </w:tcPr>
          <w:p w14:paraId="55424A2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B245AB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195992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1F832A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Rice (low, medium high moisture content)</w:t>
            </w:r>
          </w:p>
        </w:tc>
        <w:tc>
          <w:tcPr>
            <w:tcW w:w="1276" w:type="dxa"/>
            <w:tcBorders>
              <w:top w:val="nil"/>
              <w:left w:val="nil"/>
              <w:bottom w:val="single" w:sz="4" w:space="0" w:color="auto"/>
              <w:right w:val="single" w:sz="4" w:space="0" w:color="auto"/>
            </w:tcBorders>
            <w:shd w:val="clear" w:color="auto" w:fill="auto"/>
            <w:noWrap/>
            <w:vAlign w:val="bottom"/>
            <w:hideMark/>
          </w:tcPr>
          <w:p w14:paraId="79BB49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0F3BC9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564CF2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32274B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Rice, mixed consistencies</w:t>
            </w:r>
          </w:p>
        </w:tc>
        <w:tc>
          <w:tcPr>
            <w:tcW w:w="1276" w:type="dxa"/>
            <w:tcBorders>
              <w:top w:val="nil"/>
              <w:left w:val="nil"/>
              <w:bottom w:val="single" w:sz="4" w:space="0" w:color="auto"/>
              <w:right w:val="single" w:sz="4" w:space="0" w:color="auto"/>
            </w:tcBorders>
            <w:shd w:val="clear" w:color="auto" w:fill="auto"/>
            <w:noWrap/>
            <w:vAlign w:val="bottom"/>
            <w:hideMark/>
          </w:tcPr>
          <w:p w14:paraId="7BE5809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E837D2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329C7E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76CF04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Seven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794AA21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F39457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3E0054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4E6F08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Six model foods</w:t>
            </w:r>
          </w:p>
        </w:tc>
        <w:tc>
          <w:tcPr>
            <w:tcW w:w="1276" w:type="dxa"/>
            <w:tcBorders>
              <w:top w:val="nil"/>
              <w:left w:val="nil"/>
              <w:bottom w:val="single" w:sz="4" w:space="0" w:color="auto"/>
              <w:right w:val="single" w:sz="4" w:space="0" w:color="auto"/>
            </w:tcBorders>
            <w:shd w:val="clear" w:color="auto" w:fill="auto"/>
            <w:noWrap/>
            <w:vAlign w:val="bottom"/>
            <w:hideMark/>
          </w:tcPr>
          <w:p w14:paraId="6AA6AF2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7996C6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CF170F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437638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Soft and hard food</w:t>
            </w:r>
          </w:p>
        </w:tc>
        <w:tc>
          <w:tcPr>
            <w:tcW w:w="1276" w:type="dxa"/>
            <w:tcBorders>
              <w:top w:val="nil"/>
              <w:left w:val="nil"/>
              <w:bottom w:val="single" w:sz="4" w:space="0" w:color="auto"/>
              <w:right w:val="single" w:sz="4" w:space="0" w:color="auto"/>
            </w:tcBorders>
            <w:shd w:val="clear" w:color="auto" w:fill="auto"/>
            <w:noWrap/>
            <w:vAlign w:val="bottom"/>
            <w:hideMark/>
          </w:tcPr>
          <w:p w14:paraId="0BF26A9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DF00B6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9FB77D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588715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 xml:space="preserve">Soft food, semi-solid </w:t>
            </w:r>
          </w:p>
        </w:tc>
        <w:tc>
          <w:tcPr>
            <w:tcW w:w="1276" w:type="dxa"/>
            <w:tcBorders>
              <w:top w:val="nil"/>
              <w:left w:val="nil"/>
              <w:bottom w:val="single" w:sz="4" w:space="0" w:color="auto"/>
              <w:right w:val="single" w:sz="4" w:space="0" w:color="auto"/>
            </w:tcBorders>
            <w:shd w:val="clear" w:color="auto" w:fill="auto"/>
            <w:noWrap/>
            <w:vAlign w:val="bottom"/>
            <w:hideMark/>
          </w:tcPr>
          <w:p w14:paraId="1E71629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EDEF21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7E44E9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F3222A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Thick, mixed consistency jelly</w:t>
            </w:r>
          </w:p>
        </w:tc>
        <w:tc>
          <w:tcPr>
            <w:tcW w:w="1276" w:type="dxa"/>
            <w:tcBorders>
              <w:top w:val="nil"/>
              <w:left w:val="nil"/>
              <w:bottom w:val="single" w:sz="4" w:space="0" w:color="auto"/>
              <w:right w:val="single" w:sz="4" w:space="0" w:color="auto"/>
            </w:tcBorders>
            <w:shd w:val="clear" w:color="auto" w:fill="auto"/>
            <w:noWrap/>
            <w:vAlign w:val="bottom"/>
            <w:hideMark/>
          </w:tcPr>
          <w:p w14:paraId="5167C0B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45A510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55CA3F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CA8D6A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Thick, paste, cookie</w:t>
            </w:r>
          </w:p>
        </w:tc>
        <w:tc>
          <w:tcPr>
            <w:tcW w:w="1276" w:type="dxa"/>
            <w:tcBorders>
              <w:top w:val="nil"/>
              <w:left w:val="nil"/>
              <w:bottom w:val="single" w:sz="4" w:space="0" w:color="auto"/>
              <w:right w:val="single" w:sz="4" w:space="0" w:color="auto"/>
            </w:tcBorders>
            <w:shd w:val="clear" w:color="auto" w:fill="auto"/>
            <w:noWrap/>
            <w:vAlign w:val="bottom"/>
            <w:hideMark/>
          </w:tcPr>
          <w:p w14:paraId="343F4A3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B0EE46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62CB52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E0A700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Thick, pudding, pills, mixed consistencies</w:t>
            </w:r>
          </w:p>
        </w:tc>
        <w:tc>
          <w:tcPr>
            <w:tcW w:w="1276" w:type="dxa"/>
            <w:tcBorders>
              <w:top w:val="nil"/>
              <w:left w:val="nil"/>
              <w:bottom w:val="single" w:sz="4" w:space="0" w:color="auto"/>
              <w:right w:val="single" w:sz="4" w:space="0" w:color="auto"/>
            </w:tcBorders>
            <w:shd w:val="clear" w:color="auto" w:fill="auto"/>
            <w:noWrap/>
            <w:vAlign w:val="bottom"/>
            <w:hideMark/>
          </w:tcPr>
          <w:p w14:paraId="017892B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9A1259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EFE174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C2F6D1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mixed consistency, thick mixed consistency</w:t>
            </w:r>
          </w:p>
        </w:tc>
        <w:tc>
          <w:tcPr>
            <w:tcW w:w="1276" w:type="dxa"/>
            <w:tcBorders>
              <w:top w:val="nil"/>
              <w:left w:val="nil"/>
              <w:bottom w:val="single" w:sz="4" w:space="0" w:color="auto"/>
              <w:right w:val="single" w:sz="4" w:space="0" w:color="auto"/>
            </w:tcBorders>
            <w:shd w:val="clear" w:color="auto" w:fill="auto"/>
            <w:noWrap/>
            <w:vAlign w:val="bottom"/>
            <w:hideMark/>
          </w:tcPr>
          <w:p w14:paraId="427885C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4B0D59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B4D46E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4D1004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applesauce, bread</w:t>
            </w:r>
          </w:p>
        </w:tc>
        <w:tc>
          <w:tcPr>
            <w:tcW w:w="1276" w:type="dxa"/>
            <w:tcBorders>
              <w:top w:val="nil"/>
              <w:left w:val="nil"/>
              <w:bottom w:val="single" w:sz="4" w:space="0" w:color="auto"/>
              <w:right w:val="single" w:sz="4" w:space="0" w:color="auto"/>
            </w:tcBorders>
            <w:shd w:val="clear" w:color="auto" w:fill="auto"/>
            <w:noWrap/>
            <w:vAlign w:val="bottom"/>
            <w:hideMark/>
          </w:tcPr>
          <w:p w14:paraId="4105523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42F72A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576634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EA50F0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 xml:space="preserve">Thin, applesauce, cracker </w:t>
            </w:r>
          </w:p>
        </w:tc>
        <w:tc>
          <w:tcPr>
            <w:tcW w:w="1276" w:type="dxa"/>
            <w:tcBorders>
              <w:top w:val="nil"/>
              <w:left w:val="nil"/>
              <w:bottom w:val="single" w:sz="4" w:space="0" w:color="auto"/>
              <w:right w:val="single" w:sz="4" w:space="0" w:color="auto"/>
            </w:tcBorders>
            <w:shd w:val="clear" w:color="auto" w:fill="auto"/>
            <w:noWrap/>
            <w:vAlign w:val="bottom"/>
            <w:hideMark/>
          </w:tcPr>
          <w:p w14:paraId="2D3DC7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626B18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CF4F6B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CAD08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applesauce, crisp bread</w:t>
            </w:r>
          </w:p>
        </w:tc>
        <w:tc>
          <w:tcPr>
            <w:tcW w:w="1276" w:type="dxa"/>
            <w:tcBorders>
              <w:top w:val="nil"/>
              <w:left w:val="nil"/>
              <w:bottom w:val="single" w:sz="4" w:space="0" w:color="auto"/>
              <w:right w:val="single" w:sz="4" w:space="0" w:color="auto"/>
            </w:tcBorders>
            <w:shd w:val="clear" w:color="auto" w:fill="auto"/>
            <w:noWrap/>
            <w:vAlign w:val="bottom"/>
            <w:hideMark/>
          </w:tcPr>
          <w:p w14:paraId="64AF17B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C2EDD8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3856F1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CA94AD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applesauce, pudding</w:t>
            </w:r>
          </w:p>
        </w:tc>
        <w:tc>
          <w:tcPr>
            <w:tcW w:w="1276" w:type="dxa"/>
            <w:tcBorders>
              <w:top w:val="nil"/>
              <w:left w:val="nil"/>
              <w:bottom w:val="single" w:sz="4" w:space="0" w:color="auto"/>
              <w:right w:val="single" w:sz="4" w:space="0" w:color="auto"/>
            </w:tcBorders>
            <w:shd w:val="clear" w:color="auto" w:fill="auto"/>
            <w:noWrap/>
            <w:vAlign w:val="bottom"/>
            <w:hideMark/>
          </w:tcPr>
          <w:p w14:paraId="05A989E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41B39C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1736FF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103F51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banana, biscuit</w:t>
            </w:r>
          </w:p>
        </w:tc>
        <w:tc>
          <w:tcPr>
            <w:tcW w:w="1276" w:type="dxa"/>
            <w:tcBorders>
              <w:top w:val="nil"/>
              <w:left w:val="nil"/>
              <w:bottom w:val="single" w:sz="4" w:space="0" w:color="auto"/>
              <w:right w:val="single" w:sz="4" w:space="0" w:color="auto"/>
            </w:tcBorders>
            <w:shd w:val="clear" w:color="auto" w:fill="auto"/>
            <w:noWrap/>
            <w:vAlign w:val="bottom"/>
            <w:hideMark/>
          </w:tcPr>
          <w:p w14:paraId="2FDD3EA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5B87BD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C88C46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49A816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biscuit, bread</w:t>
            </w:r>
          </w:p>
        </w:tc>
        <w:tc>
          <w:tcPr>
            <w:tcW w:w="1276" w:type="dxa"/>
            <w:tcBorders>
              <w:top w:val="nil"/>
              <w:left w:val="nil"/>
              <w:bottom w:val="single" w:sz="4" w:space="0" w:color="auto"/>
              <w:right w:val="single" w:sz="4" w:space="0" w:color="auto"/>
            </w:tcBorders>
            <w:shd w:val="clear" w:color="auto" w:fill="auto"/>
            <w:noWrap/>
            <w:vAlign w:val="bottom"/>
            <w:hideMark/>
          </w:tcPr>
          <w:p w14:paraId="1662911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E64652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47EF12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5E2C72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carrot, banana, mixed consistencies</w:t>
            </w:r>
          </w:p>
        </w:tc>
        <w:tc>
          <w:tcPr>
            <w:tcW w:w="1276" w:type="dxa"/>
            <w:tcBorders>
              <w:top w:val="nil"/>
              <w:left w:val="nil"/>
              <w:bottom w:val="single" w:sz="4" w:space="0" w:color="auto"/>
              <w:right w:val="single" w:sz="4" w:space="0" w:color="auto"/>
            </w:tcBorders>
            <w:shd w:val="clear" w:color="auto" w:fill="auto"/>
            <w:noWrap/>
            <w:vAlign w:val="bottom"/>
            <w:hideMark/>
          </w:tcPr>
          <w:p w14:paraId="580018E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6C87D6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D7566C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F6CCE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compote, cookie</w:t>
            </w:r>
          </w:p>
        </w:tc>
        <w:tc>
          <w:tcPr>
            <w:tcW w:w="1276" w:type="dxa"/>
            <w:tcBorders>
              <w:top w:val="nil"/>
              <w:left w:val="nil"/>
              <w:bottom w:val="single" w:sz="4" w:space="0" w:color="auto"/>
              <w:right w:val="single" w:sz="4" w:space="0" w:color="auto"/>
            </w:tcBorders>
            <w:shd w:val="clear" w:color="auto" w:fill="auto"/>
            <w:noWrap/>
            <w:vAlign w:val="bottom"/>
            <w:hideMark/>
          </w:tcPr>
          <w:p w14:paraId="7B204C7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121EC5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F2F2A4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BF3D21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cookie</w:t>
            </w:r>
          </w:p>
        </w:tc>
        <w:tc>
          <w:tcPr>
            <w:tcW w:w="1276" w:type="dxa"/>
            <w:tcBorders>
              <w:top w:val="nil"/>
              <w:left w:val="nil"/>
              <w:bottom w:val="single" w:sz="4" w:space="0" w:color="auto"/>
              <w:right w:val="single" w:sz="4" w:space="0" w:color="auto"/>
            </w:tcBorders>
            <w:shd w:val="clear" w:color="auto" w:fill="auto"/>
            <w:noWrap/>
            <w:vAlign w:val="bottom"/>
            <w:hideMark/>
          </w:tcPr>
          <w:p w14:paraId="23CF2C8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DECC42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CD0F95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F767CA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cookies</w:t>
            </w:r>
          </w:p>
        </w:tc>
        <w:tc>
          <w:tcPr>
            <w:tcW w:w="1276" w:type="dxa"/>
            <w:tcBorders>
              <w:top w:val="nil"/>
              <w:left w:val="nil"/>
              <w:bottom w:val="single" w:sz="4" w:space="0" w:color="auto"/>
              <w:right w:val="single" w:sz="4" w:space="0" w:color="auto"/>
            </w:tcBorders>
            <w:shd w:val="clear" w:color="auto" w:fill="auto"/>
            <w:noWrap/>
            <w:vAlign w:val="bottom"/>
            <w:hideMark/>
          </w:tcPr>
          <w:p w14:paraId="6F99D53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B96373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E8570E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7FA800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corned beef</w:t>
            </w:r>
          </w:p>
        </w:tc>
        <w:tc>
          <w:tcPr>
            <w:tcW w:w="1276" w:type="dxa"/>
            <w:tcBorders>
              <w:top w:val="nil"/>
              <w:left w:val="nil"/>
              <w:bottom w:val="single" w:sz="4" w:space="0" w:color="auto"/>
              <w:right w:val="single" w:sz="4" w:space="0" w:color="auto"/>
            </w:tcBorders>
            <w:shd w:val="clear" w:color="auto" w:fill="auto"/>
            <w:noWrap/>
            <w:vAlign w:val="bottom"/>
            <w:hideMark/>
          </w:tcPr>
          <w:p w14:paraId="300D9AC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4F88EA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E19529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048949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corned beef, mixed consistency</w:t>
            </w:r>
          </w:p>
        </w:tc>
        <w:tc>
          <w:tcPr>
            <w:tcW w:w="1276" w:type="dxa"/>
            <w:tcBorders>
              <w:top w:val="nil"/>
              <w:left w:val="nil"/>
              <w:bottom w:val="single" w:sz="4" w:space="0" w:color="auto"/>
              <w:right w:val="single" w:sz="4" w:space="0" w:color="auto"/>
            </w:tcBorders>
            <w:shd w:val="clear" w:color="auto" w:fill="auto"/>
            <w:noWrap/>
            <w:vAlign w:val="bottom"/>
            <w:hideMark/>
          </w:tcPr>
          <w:p w14:paraId="7B798D2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1289CF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871D59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C83506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cracker</w:t>
            </w:r>
          </w:p>
        </w:tc>
        <w:tc>
          <w:tcPr>
            <w:tcW w:w="1276" w:type="dxa"/>
            <w:tcBorders>
              <w:top w:val="nil"/>
              <w:left w:val="nil"/>
              <w:bottom w:val="single" w:sz="4" w:space="0" w:color="auto"/>
              <w:right w:val="single" w:sz="4" w:space="0" w:color="auto"/>
            </w:tcBorders>
            <w:shd w:val="clear" w:color="auto" w:fill="auto"/>
            <w:noWrap/>
            <w:vAlign w:val="bottom"/>
            <w:hideMark/>
          </w:tcPr>
          <w:p w14:paraId="54B0CFC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E1F0E3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A25D85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21BA16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custard</w:t>
            </w:r>
          </w:p>
        </w:tc>
        <w:tc>
          <w:tcPr>
            <w:tcW w:w="1276" w:type="dxa"/>
            <w:tcBorders>
              <w:top w:val="nil"/>
              <w:left w:val="nil"/>
              <w:bottom w:val="single" w:sz="4" w:space="0" w:color="auto"/>
              <w:right w:val="single" w:sz="4" w:space="0" w:color="auto"/>
            </w:tcBorders>
            <w:shd w:val="clear" w:color="auto" w:fill="auto"/>
            <w:noWrap/>
            <w:vAlign w:val="bottom"/>
            <w:hideMark/>
          </w:tcPr>
          <w:p w14:paraId="690BB1F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0B6A6B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103B7E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8E8C3F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custard, mashed banana, biscuit</w:t>
            </w:r>
          </w:p>
        </w:tc>
        <w:tc>
          <w:tcPr>
            <w:tcW w:w="1276" w:type="dxa"/>
            <w:tcBorders>
              <w:top w:val="nil"/>
              <w:left w:val="nil"/>
              <w:bottom w:val="single" w:sz="4" w:space="0" w:color="auto"/>
              <w:right w:val="single" w:sz="4" w:space="0" w:color="auto"/>
            </w:tcBorders>
            <w:shd w:val="clear" w:color="auto" w:fill="auto"/>
            <w:noWrap/>
            <w:vAlign w:val="bottom"/>
            <w:hideMark/>
          </w:tcPr>
          <w:p w14:paraId="34B1C73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333B06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B0D613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6B2501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diced fruit, biscuit</w:t>
            </w:r>
          </w:p>
        </w:tc>
        <w:tc>
          <w:tcPr>
            <w:tcW w:w="1276" w:type="dxa"/>
            <w:tcBorders>
              <w:top w:val="nil"/>
              <w:left w:val="nil"/>
              <w:bottom w:val="single" w:sz="4" w:space="0" w:color="auto"/>
              <w:right w:val="single" w:sz="4" w:space="0" w:color="auto"/>
            </w:tcBorders>
            <w:shd w:val="clear" w:color="auto" w:fill="auto"/>
            <w:noWrap/>
            <w:vAlign w:val="bottom"/>
            <w:hideMark/>
          </w:tcPr>
          <w:p w14:paraId="11B746E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F28609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4987D4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B561EF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gelatin</w:t>
            </w:r>
          </w:p>
        </w:tc>
        <w:tc>
          <w:tcPr>
            <w:tcW w:w="1276" w:type="dxa"/>
            <w:tcBorders>
              <w:top w:val="nil"/>
              <w:left w:val="nil"/>
              <w:bottom w:val="single" w:sz="4" w:space="0" w:color="auto"/>
              <w:right w:val="single" w:sz="4" w:space="0" w:color="auto"/>
            </w:tcBorders>
            <w:shd w:val="clear" w:color="auto" w:fill="auto"/>
            <w:noWrap/>
            <w:vAlign w:val="bottom"/>
            <w:hideMark/>
          </w:tcPr>
          <w:p w14:paraId="51EFC4B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65ACDD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F6123C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90A556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half-nectar-thick, nectar-thick</w:t>
            </w:r>
          </w:p>
        </w:tc>
        <w:tc>
          <w:tcPr>
            <w:tcW w:w="1276" w:type="dxa"/>
            <w:tcBorders>
              <w:top w:val="nil"/>
              <w:left w:val="nil"/>
              <w:bottom w:val="single" w:sz="4" w:space="0" w:color="auto"/>
              <w:right w:val="single" w:sz="4" w:space="0" w:color="auto"/>
            </w:tcBorders>
            <w:shd w:val="clear" w:color="auto" w:fill="auto"/>
            <w:noWrap/>
            <w:vAlign w:val="bottom"/>
            <w:hideMark/>
          </w:tcPr>
          <w:p w14:paraId="5C7BE12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7799BF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B5601C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CA75DD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half-nectar-thick, nectar-thick, honey-thick</w:t>
            </w:r>
          </w:p>
        </w:tc>
        <w:tc>
          <w:tcPr>
            <w:tcW w:w="1276" w:type="dxa"/>
            <w:tcBorders>
              <w:top w:val="nil"/>
              <w:left w:val="nil"/>
              <w:bottom w:val="single" w:sz="4" w:space="0" w:color="auto"/>
              <w:right w:val="single" w:sz="4" w:space="0" w:color="auto"/>
            </w:tcBorders>
            <w:shd w:val="clear" w:color="auto" w:fill="auto"/>
            <w:noWrap/>
            <w:vAlign w:val="bottom"/>
            <w:hideMark/>
          </w:tcPr>
          <w:p w14:paraId="7BC7F04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05A82B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53DA13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D8FBBF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half-nectar-thick, nectar-thick, honey-thick,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6E2B9A7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9D1EB5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411F9B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85DF76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half-nectar-thick, nectar-thick,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57E8BDA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6C1637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CF9013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0A4C1E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honey-thick,</w:t>
            </w:r>
          </w:p>
        </w:tc>
        <w:tc>
          <w:tcPr>
            <w:tcW w:w="1276" w:type="dxa"/>
            <w:tcBorders>
              <w:top w:val="nil"/>
              <w:left w:val="nil"/>
              <w:bottom w:val="single" w:sz="4" w:space="0" w:color="auto"/>
              <w:right w:val="single" w:sz="4" w:space="0" w:color="auto"/>
            </w:tcBorders>
            <w:shd w:val="clear" w:color="auto" w:fill="auto"/>
            <w:noWrap/>
            <w:vAlign w:val="bottom"/>
            <w:hideMark/>
          </w:tcPr>
          <w:p w14:paraId="1BAED8F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DC72C3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D0EDFC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7AF974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honey-thick, pudding</w:t>
            </w:r>
          </w:p>
        </w:tc>
        <w:tc>
          <w:tcPr>
            <w:tcW w:w="1276" w:type="dxa"/>
            <w:tcBorders>
              <w:top w:val="nil"/>
              <w:left w:val="nil"/>
              <w:bottom w:val="single" w:sz="4" w:space="0" w:color="auto"/>
              <w:right w:val="single" w:sz="4" w:space="0" w:color="auto"/>
            </w:tcBorders>
            <w:shd w:val="clear" w:color="auto" w:fill="auto"/>
            <w:noWrap/>
            <w:vAlign w:val="bottom"/>
            <w:hideMark/>
          </w:tcPr>
          <w:p w14:paraId="264A8C8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4FDF0E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33F37F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EAB885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honey-thick,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4599801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CD3C52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DD4261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B53E86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honey-thick, yogurt, cracker</w:t>
            </w:r>
          </w:p>
        </w:tc>
        <w:tc>
          <w:tcPr>
            <w:tcW w:w="1276" w:type="dxa"/>
            <w:tcBorders>
              <w:top w:val="nil"/>
              <w:left w:val="nil"/>
              <w:bottom w:val="single" w:sz="4" w:space="0" w:color="auto"/>
              <w:right w:val="single" w:sz="4" w:space="0" w:color="auto"/>
            </w:tcBorders>
            <w:shd w:val="clear" w:color="auto" w:fill="auto"/>
            <w:noWrap/>
            <w:vAlign w:val="bottom"/>
            <w:hideMark/>
          </w:tcPr>
          <w:p w14:paraId="1D07D58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0970CD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5B7A47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EC60A9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infant thick liquids, smooth puree</w:t>
            </w:r>
          </w:p>
        </w:tc>
        <w:tc>
          <w:tcPr>
            <w:tcW w:w="1276" w:type="dxa"/>
            <w:tcBorders>
              <w:top w:val="nil"/>
              <w:left w:val="nil"/>
              <w:bottom w:val="single" w:sz="4" w:space="0" w:color="auto"/>
              <w:right w:val="single" w:sz="4" w:space="0" w:color="auto"/>
            </w:tcBorders>
            <w:shd w:val="clear" w:color="auto" w:fill="auto"/>
            <w:noWrap/>
            <w:vAlign w:val="bottom"/>
            <w:hideMark/>
          </w:tcPr>
          <w:p w14:paraId="6E91DCB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CCDFED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A76691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12DB2B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jelly</w:t>
            </w:r>
          </w:p>
        </w:tc>
        <w:tc>
          <w:tcPr>
            <w:tcW w:w="1276" w:type="dxa"/>
            <w:tcBorders>
              <w:top w:val="nil"/>
              <w:left w:val="nil"/>
              <w:bottom w:val="single" w:sz="4" w:space="0" w:color="auto"/>
              <w:right w:val="single" w:sz="4" w:space="0" w:color="auto"/>
            </w:tcBorders>
            <w:shd w:val="clear" w:color="auto" w:fill="auto"/>
            <w:noWrap/>
            <w:vAlign w:val="bottom"/>
            <w:hideMark/>
          </w:tcPr>
          <w:p w14:paraId="312DDA8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724D11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695B34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BA9D23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jelly drink</w:t>
            </w:r>
          </w:p>
        </w:tc>
        <w:tc>
          <w:tcPr>
            <w:tcW w:w="1276" w:type="dxa"/>
            <w:tcBorders>
              <w:top w:val="nil"/>
              <w:left w:val="nil"/>
              <w:bottom w:val="single" w:sz="4" w:space="0" w:color="auto"/>
              <w:right w:val="single" w:sz="4" w:space="0" w:color="auto"/>
            </w:tcBorders>
            <w:shd w:val="clear" w:color="auto" w:fill="auto"/>
            <w:noWrap/>
            <w:vAlign w:val="bottom"/>
            <w:hideMark/>
          </w:tcPr>
          <w:p w14:paraId="1CF1AF4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EDD9B2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983261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80CA1A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jelly, cracker</w:t>
            </w:r>
          </w:p>
        </w:tc>
        <w:tc>
          <w:tcPr>
            <w:tcW w:w="1276" w:type="dxa"/>
            <w:tcBorders>
              <w:top w:val="nil"/>
              <w:left w:val="nil"/>
              <w:bottom w:val="single" w:sz="4" w:space="0" w:color="auto"/>
              <w:right w:val="single" w:sz="4" w:space="0" w:color="auto"/>
            </w:tcBorders>
            <w:shd w:val="clear" w:color="auto" w:fill="auto"/>
            <w:noWrap/>
            <w:vAlign w:val="bottom"/>
            <w:hideMark/>
          </w:tcPr>
          <w:p w14:paraId="67A2A09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4F6C22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0BD942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759049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jelly-drink</w:t>
            </w:r>
          </w:p>
        </w:tc>
        <w:tc>
          <w:tcPr>
            <w:tcW w:w="1276" w:type="dxa"/>
            <w:tcBorders>
              <w:top w:val="nil"/>
              <w:left w:val="nil"/>
              <w:bottom w:val="single" w:sz="4" w:space="0" w:color="auto"/>
              <w:right w:val="single" w:sz="4" w:space="0" w:color="auto"/>
            </w:tcBorders>
            <w:shd w:val="clear" w:color="auto" w:fill="auto"/>
            <w:noWrap/>
            <w:vAlign w:val="bottom"/>
            <w:hideMark/>
          </w:tcPr>
          <w:p w14:paraId="5D12E71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937E79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CB7F76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3EA853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mildly thick</w:t>
            </w:r>
          </w:p>
        </w:tc>
        <w:tc>
          <w:tcPr>
            <w:tcW w:w="1276" w:type="dxa"/>
            <w:tcBorders>
              <w:top w:val="nil"/>
              <w:left w:val="nil"/>
              <w:bottom w:val="single" w:sz="4" w:space="0" w:color="auto"/>
              <w:right w:val="single" w:sz="4" w:space="0" w:color="auto"/>
            </w:tcBorders>
            <w:shd w:val="clear" w:color="auto" w:fill="auto"/>
            <w:noWrap/>
            <w:vAlign w:val="bottom"/>
            <w:hideMark/>
          </w:tcPr>
          <w:p w14:paraId="0706A83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5710A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33DA6E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89ABBE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mildly thick, extra thick</w:t>
            </w:r>
          </w:p>
        </w:tc>
        <w:tc>
          <w:tcPr>
            <w:tcW w:w="1276" w:type="dxa"/>
            <w:tcBorders>
              <w:top w:val="nil"/>
              <w:left w:val="nil"/>
              <w:bottom w:val="single" w:sz="4" w:space="0" w:color="auto"/>
              <w:right w:val="single" w:sz="4" w:space="0" w:color="auto"/>
            </w:tcBorders>
            <w:shd w:val="clear" w:color="auto" w:fill="auto"/>
            <w:noWrap/>
            <w:vAlign w:val="bottom"/>
            <w:hideMark/>
          </w:tcPr>
          <w:p w14:paraId="232666A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33CEC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5E6214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F38F85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mildly thick, moderately thick</w:t>
            </w:r>
          </w:p>
        </w:tc>
        <w:tc>
          <w:tcPr>
            <w:tcW w:w="1276" w:type="dxa"/>
            <w:tcBorders>
              <w:top w:val="nil"/>
              <w:left w:val="nil"/>
              <w:bottom w:val="single" w:sz="4" w:space="0" w:color="auto"/>
              <w:right w:val="single" w:sz="4" w:space="0" w:color="auto"/>
            </w:tcBorders>
            <w:shd w:val="clear" w:color="auto" w:fill="auto"/>
            <w:noWrap/>
            <w:vAlign w:val="bottom"/>
            <w:hideMark/>
          </w:tcPr>
          <w:p w14:paraId="179BBDD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CCF406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BF4376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896AE2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mildly 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37A3EB7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68CA07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2A7AB5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2FEBCF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mildly thick, rice congee with minced meat, rice with minced vegetables</w:t>
            </w:r>
          </w:p>
        </w:tc>
        <w:tc>
          <w:tcPr>
            <w:tcW w:w="1276" w:type="dxa"/>
            <w:tcBorders>
              <w:top w:val="nil"/>
              <w:left w:val="nil"/>
              <w:bottom w:val="single" w:sz="4" w:space="0" w:color="auto"/>
              <w:right w:val="single" w:sz="4" w:space="0" w:color="auto"/>
            </w:tcBorders>
            <w:shd w:val="clear" w:color="auto" w:fill="auto"/>
            <w:noWrap/>
            <w:vAlign w:val="bottom"/>
            <w:hideMark/>
          </w:tcPr>
          <w:p w14:paraId="61A4397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43CFC4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7F7287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564868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moderately thick, applesauce, bread</w:t>
            </w:r>
          </w:p>
        </w:tc>
        <w:tc>
          <w:tcPr>
            <w:tcW w:w="1276" w:type="dxa"/>
            <w:tcBorders>
              <w:top w:val="nil"/>
              <w:left w:val="nil"/>
              <w:bottom w:val="single" w:sz="4" w:space="0" w:color="auto"/>
              <w:right w:val="single" w:sz="4" w:space="0" w:color="auto"/>
            </w:tcBorders>
            <w:shd w:val="clear" w:color="auto" w:fill="auto"/>
            <w:noWrap/>
            <w:vAlign w:val="bottom"/>
            <w:hideMark/>
          </w:tcPr>
          <w:p w14:paraId="0C8936F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70F7B3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8F9B9D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FD7AF7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moderately thick, extremely thick</w:t>
            </w:r>
          </w:p>
        </w:tc>
        <w:tc>
          <w:tcPr>
            <w:tcW w:w="1276" w:type="dxa"/>
            <w:tcBorders>
              <w:top w:val="nil"/>
              <w:left w:val="nil"/>
              <w:bottom w:val="single" w:sz="4" w:space="0" w:color="auto"/>
              <w:right w:val="single" w:sz="4" w:space="0" w:color="auto"/>
            </w:tcBorders>
            <w:shd w:val="clear" w:color="auto" w:fill="auto"/>
            <w:noWrap/>
            <w:vAlign w:val="bottom"/>
            <w:hideMark/>
          </w:tcPr>
          <w:p w14:paraId="7072A95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9D845C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27E1B5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F5B18C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w:t>
            </w:r>
          </w:p>
        </w:tc>
        <w:tc>
          <w:tcPr>
            <w:tcW w:w="1276" w:type="dxa"/>
            <w:tcBorders>
              <w:top w:val="nil"/>
              <w:left w:val="nil"/>
              <w:bottom w:val="single" w:sz="4" w:space="0" w:color="auto"/>
              <w:right w:val="single" w:sz="4" w:space="0" w:color="auto"/>
            </w:tcBorders>
            <w:shd w:val="clear" w:color="auto" w:fill="auto"/>
            <w:noWrap/>
            <w:vAlign w:val="bottom"/>
            <w:hideMark/>
          </w:tcPr>
          <w:p w14:paraId="04D2D35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701FE1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FAE54C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AEAAD2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w:t>
            </w:r>
          </w:p>
        </w:tc>
        <w:tc>
          <w:tcPr>
            <w:tcW w:w="1276" w:type="dxa"/>
            <w:tcBorders>
              <w:top w:val="nil"/>
              <w:left w:val="nil"/>
              <w:bottom w:val="single" w:sz="4" w:space="0" w:color="auto"/>
              <w:right w:val="single" w:sz="4" w:space="0" w:color="auto"/>
            </w:tcBorders>
            <w:shd w:val="clear" w:color="auto" w:fill="auto"/>
            <w:noWrap/>
            <w:vAlign w:val="bottom"/>
            <w:hideMark/>
          </w:tcPr>
          <w:p w14:paraId="6802340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79379A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BD297E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DF74C1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 xml:space="preserve">Thin, nectar-thick, honey-thick, pudding </w:t>
            </w:r>
          </w:p>
        </w:tc>
        <w:tc>
          <w:tcPr>
            <w:tcW w:w="1276" w:type="dxa"/>
            <w:tcBorders>
              <w:top w:val="nil"/>
              <w:left w:val="nil"/>
              <w:bottom w:val="single" w:sz="4" w:space="0" w:color="auto"/>
              <w:right w:val="single" w:sz="4" w:space="0" w:color="auto"/>
            </w:tcBorders>
            <w:shd w:val="clear" w:color="auto" w:fill="auto"/>
            <w:noWrap/>
            <w:vAlign w:val="bottom"/>
            <w:hideMark/>
          </w:tcPr>
          <w:p w14:paraId="232E89C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B68BAC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7E8928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1A151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pudding, complex solid</w:t>
            </w:r>
          </w:p>
        </w:tc>
        <w:tc>
          <w:tcPr>
            <w:tcW w:w="1276" w:type="dxa"/>
            <w:tcBorders>
              <w:top w:val="nil"/>
              <w:left w:val="nil"/>
              <w:bottom w:val="single" w:sz="4" w:space="0" w:color="auto"/>
              <w:right w:val="single" w:sz="4" w:space="0" w:color="auto"/>
            </w:tcBorders>
            <w:shd w:val="clear" w:color="auto" w:fill="auto"/>
            <w:noWrap/>
            <w:vAlign w:val="bottom"/>
            <w:hideMark/>
          </w:tcPr>
          <w:p w14:paraId="68A7F89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EF8552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C3DE99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0498C6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pudding.</w:t>
            </w:r>
          </w:p>
        </w:tc>
        <w:tc>
          <w:tcPr>
            <w:tcW w:w="1276" w:type="dxa"/>
            <w:tcBorders>
              <w:top w:val="nil"/>
              <w:left w:val="nil"/>
              <w:bottom w:val="single" w:sz="4" w:space="0" w:color="auto"/>
              <w:right w:val="single" w:sz="4" w:space="0" w:color="auto"/>
            </w:tcBorders>
            <w:shd w:val="clear" w:color="auto" w:fill="auto"/>
            <w:noWrap/>
            <w:vAlign w:val="bottom"/>
            <w:hideMark/>
          </w:tcPr>
          <w:p w14:paraId="009BF29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9B6FE1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754BC8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E37C86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pudding-thick</w:t>
            </w:r>
          </w:p>
        </w:tc>
        <w:tc>
          <w:tcPr>
            <w:tcW w:w="1276" w:type="dxa"/>
            <w:tcBorders>
              <w:top w:val="nil"/>
              <w:left w:val="nil"/>
              <w:bottom w:val="single" w:sz="4" w:space="0" w:color="auto"/>
              <w:right w:val="single" w:sz="4" w:space="0" w:color="auto"/>
            </w:tcBorders>
            <w:shd w:val="clear" w:color="auto" w:fill="auto"/>
            <w:noWrap/>
            <w:vAlign w:val="bottom"/>
            <w:hideMark/>
          </w:tcPr>
          <w:p w14:paraId="6D111E2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4BF3B5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6CB923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8D1F9F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puree</w:t>
            </w:r>
          </w:p>
        </w:tc>
        <w:tc>
          <w:tcPr>
            <w:tcW w:w="1276" w:type="dxa"/>
            <w:tcBorders>
              <w:top w:val="nil"/>
              <w:left w:val="nil"/>
              <w:bottom w:val="single" w:sz="4" w:space="0" w:color="auto"/>
              <w:right w:val="single" w:sz="4" w:space="0" w:color="auto"/>
            </w:tcBorders>
            <w:shd w:val="clear" w:color="auto" w:fill="auto"/>
            <w:noWrap/>
            <w:vAlign w:val="bottom"/>
            <w:hideMark/>
          </w:tcPr>
          <w:p w14:paraId="7A6F27B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55346B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C870EE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AB4743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puree, biscuit</w:t>
            </w:r>
          </w:p>
        </w:tc>
        <w:tc>
          <w:tcPr>
            <w:tcW w:w="1276" w:type="dxa"/>
            <w:tcBorders>
              <w:top w:val="nil"/>
              <w:left w:val="nil"/>
              <w:bottom w:val="single" w:sz="4" w:space="0" w:color="auto"/>
              <w:right w:val="single" w:sz="4" w:space="0" w:color="auto"/>
            </w:tcBorders>
            <w:shd w:val="clear" w:color="auto" w:fill="auto"/>
            <w:noWrap/>
            <w:vAlign w:val="bottom"/>
            <w:hideMark/>
          </w:tcPr>
          <w:p w14:paraId="37DB129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A65C01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E5BAAC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453272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honey-thick, puree, cracker</w:t>
            </w:r>
          </w:p>
        </w:tc>
        <w:tc>
          <w:tcPr>
            <w:tcW w:w="1276" w:type="dxa"/>
            <w:tcBorders>
              <w:top w:val="nil"/>
              <w:left w:val="nil"/>
              <w:bottom w:val="single" w:sz="4" w:space="0" w:color="auto"/>
              <w:right w:val="single" w:sz="4" w:space="0" w:color="auto"/>
            </w:tcBorders>
            <w:shd w:val="clear" w:color="auto" w:fill="auto"/>
            <w:noWrap/>
            <w:vAlign w:val="bottom"/>
            <w:hideMark/>
          </w:tcPr>
          <w:p w14:paraId="4512EE3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248CFE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826ED1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DB45FE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paste, biscuit</w:t>
            </w:r>
          </w:p>
        </w:tc>
        <w:tc>
          <w:tcPr>
            <w:tcW w:w="1276" w:type="dxa"/>
            <w:tcBorders>
              <w:top w:val="nil"/>
              <w:left w:val="nil"/>
              <w:bottom w:val="single" w:sz="4" w:space="0" w:color="auto"/>
              <w:right w:val="single" w:sz="4" w:space="0" w:color="auto"/>
            </w:tcBorders>
            <w:shd w:val="clear" w:color="auto" w:fill="auto"/>
            <w:noWrap/>
            <w:vAlign w:val="bottom"/>
            <w:hideMark/>
          </w:tcPr>
          <w:p w14:paraId="6BD0F5B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A6E650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AC0C1D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862C85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pudding, banana, cracker</w:t>
            </w:r>
          </w:p>
        </w:tc>
        <w:tc>
          <w:tcPr>
            <w:tcW w:w="1276" w:type="dxa"/>
            <w:tcBorders>
              <w:top w:val="nil"/>
              <w:left w:val="nil"/>
              <w:bottom w:val="single" w:sz="4" w:space="0" w:color="auto"/>
              <w:right w:val="single" w:sz="4" w:space="0" w:color="auto"/>
            </w:tcBorders>
            <w:shd w:val="clear" w:color="auto" w:fill="auto"/>
            <w:noWrap/>
            <w:vAlign w:val="bottom"/>
            <w:hideMark/>
          </w:tcPr>
          <w:p w14:paraId="60ABF5B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FFF287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C3F91C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FD90FB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pudding, biscuit</w:t>
            </w:r>
          </w:p>
        </w:tc>
        <w:tc>
          <w:tcPr>
            <w:tcW w:w="1276" w:type="dxa"/>
            <w:tcBorders>
              <w:top w:val="nil"/>
              <w:left w:val="nil"/>
              <w:bottom w:val="single" w:sz="4" w:space="0" w:color="auto"/>
              <w:right w:val="single" w:sz="4" w:space="0" w:color="auto"/>
            </w:tcBorders>
            <w:shd w:val="clear" w:color="auto" w:fill="auto"/>
            <w:noWrap/>
            <w:vAlign w:val="bottom"/>
            <w:hideMark/>
          </w:tcPr>
          <w:p w14:paraId="153C218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EDE967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F41DC4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DC82F6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pudding, cookies</w:t>
            </w:r>
          </w:p>
        </w:tc>
        <w:tc>
          <w:tcPr>
            <w:tcW w:w="1276" w:type="dxa"/>
            <w:tcBorders>
              <w:top w:val="nil"/>
              <w:left w:val="nil"/>
              <w:bottom w:val="single" w:sz="4" w:space="0" w:color="auto"/>
              <w:right w:val="single" w:sz="4" w:space="0" w:color="auto"/>
            </w:tcBorders>
            <w:shd w:val="clear" w:color="auto" w:fill="auto"/>
            <w:noWrap/>
            <w:vAlign w:val="bottom"/>
            <w:hideMark/>
          </w:tcPr>
          <w:p w14:paraId="73CF273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D1FFD3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5C3A65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CAB892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puree, bread</w:t>
            </w:r>
          </w:p>
        </w:tc>
        <w:tc>
          <w:tcPr>
            <w:tcW w:w="1276" w:type="dxa"/>
            <w:tcBorders>
              <w:top w:val="nil"/>
              <w:left w:val="nil"/>
              <w:bottom w:val="single" w:sz="4" w:space="0" w:color="auto"/>
              <w:right w:val="single" w:sz="4" w:space="0" w:color="auto"/>
            </w:tcBorders>
            <w:shd w:val="clear" w:color="auto" w:fill="auto"/>
            <w:noWrap/>
            <w:vAlign w:val="bottom"/>
            <w:hideMark/>
          </w:tcPr>
          <w:p w14:paraId="7BB9410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D01B68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09086F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DD04C6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puree, bread, apple</w:t>
            </w:r>
          </w:p>
        </w:tc>
        <w:tc>
          <w:tcPr>
            <w:tcW w:w="1276" w:type="dxa"/>
            <w:tcBorders>
              <w:top w:val="nil"/>
              <w:left w:val="nil"/>
              <w:bottom w:val="single" w:sz="4" w:space="0" w:color="auto"/>
              <w:right w:val="single" w:sz="4" w:space="0" w:color="auto"/>
            </w:tcBorders>
            <w:shd w:val="clear" w:color="auto" w:fill="auto"/>
            <w:noWrap/>
            <w:vAlign w:val="bottom"/>
            <w:hideMark/>
          </w:tcPr>
          <w:p w14:paraId="0B0F5F7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7CD0D9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F2B77D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396BBC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solid</w:t>
            </w:r>
          </w:p>
        </w:tc>
        <w:tc>
          <w:tcPr>
            <w:tcW w:w="1276" w:type="dxa"/>
            <w:tcBorders>
              <w:top w:val="nil"/>
              <w:left w:val="nil"/>
              <w:bottom w:val="single" w:sz="4" w:space="0" w:color="auto"/>
              <w:right w:val="single" w:sz="4" w:space="0" w:color="auto"/>
            </w:tcBorders>
            <w:shd w:val="clear" w:color="auto" w:fill="auto"/>
            <w:noWrap/>
            <w:vAlign w:val="bottom"/>
            <w:hideMark/>
          </w:tcPr>
          <w:p w14:paraId="48AD7E8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2DCE43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DBB03F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1A0F12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thin-honey-thick, honey-thick</w:t>
            </w:r>
          </w:p>
        </w:tc>
        <w:tc>
          <w:tcPr>
            <w:tcW w:w="1276" w:type="dxa"/>
            <w:tcBorders>
              <w:top w:val="nil"/>
              <w:left w:val="nil"/>
              <w:bottom w:val="single" w:sz="4" w:space="0" w:color="auto"/>
              <w:right w:val="single" w:sz="4" w:space="0" w:color="auto"/>
            </w:tcBorders>
            <w:shd w:val="clear" w:color="auto" w:fill="auto"/>
            <w:noWrap/>
            <w:vAlign w:val="bottom"/>
            <w:hideMark/>
          </w:tcPr>
          <w:p w14:paraId="0650700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6E5ECD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FE7B47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A92EB4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thin-honey-thick, pudding, cookie</w:t>
            </w:r>
          </w:p>
        </w:tc>
        <w:tc>
          <w:tcPr>
            <w:tcW w:w="1276" w:type="dxa"/>
            <w:tcBorders>
              <w:top w:val="nil"/>
              <w:left w:val="nil"/>
              <w:bottom w:val="single" w:sz="4" w:space="0" w:color="auto"/>
              <w:right w:val="single" w:sz="4" w:space="0" w:color="auto"/>
            </w:tcBorders>
            <w:shd w:val="clear" w:color="auto" w:fill="auto"/>
            <w:noWrap/>
            <w:vAlign w:val="bottom"/>
            <w:hideMark/>
          </w:tcPr>
          <w:p w14:paraId="1157C0A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E86AEA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F05BAF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702BA5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nectar-thick, yogurt, biscuit</w:t>
            </w:r>
          </w:p>
        </w:tc>
        <w:tc>
          <w:tcPr>
            <w:tcW w:w="1276" w:type="dxa"/>
            <w:tcBorders>
              <w:top w:val="nil"/>
              <w:left w:val="nil"/>
              <w:bottom w:val="single" w:sz="4" w:space="0" w:color="auto"/>
              <w:right w:val="single" w:sz="4" w:space="0" w:color="auto"/>
            </w:tcBorders>
            <w:shd w:val="clear" w:color="auto" w:fill="auto"/>
            <w:noWrap/>
            <w:vAlign w:val="bottom"/>
            <w:hideMark/>
          </w:tcPr>
          <w:p w14:paraId="7EB4045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B17117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9345E4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9E1E96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necttar-thick, honey-thick, spood-thick, minced, bread, cookie</w:t>
            </w:r>
          </w:p>
        </w:tc>
        <w:tc>
          <w:tcPr>
            <w:tcW w:w="1276" w:type="dxa"/>
            <w:tcBorders>
              <w:top w:val="nil"/>
              <w:left w:val="nil"/>
              <w:bottom w:val="single" w:sz="4" w:space="0" w:color="auto"/>
              <w:right w:val="single" w:sz="4" w:space="0" w:color="auto"/>
            </w:tcBorders>
            <w:shd w:val="clear" w:color="auto" w:fill="auto"/>
            <w:noWrap/>
            <w:vAlign w:val="bottom"/>
            <w:hideMark/>
          </w:tcPr>
          <w:p w14:paraId="2AC2CD5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E4C1E5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246991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912650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 biscuit</w:t>
            </w:r>
          </w:p>
        </w:tc>
        <w:tc>
          <w:tcPr>
            <w:tcW w:w="1276" w:type="dxa"/>
            <w:tcBorders>
              <w:top w:val="nil"/>
              <w:left w:val="nil"/>
              <w:bottom w:val="single" w:sz="4" w:space="0" w:color="auto"/>
              <w:right w:val="single" w:sz="4" w:space="0" w:color="auto"/>
            </w:tcBorders>
            <w:shd w:val="clear" w:color="auto" w:fill="auto"/>
            <w:noWrap/>
            <w:vAlign w:val="bottom"/>
            <w:hideMark/>
          </w:tcPr>
          <w:p w14:paraId="21BA61B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64438E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55E7A9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96C6F5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 bread</w:t>
            </w:r>
          </w:p>
        </w:tc>
        <w:tc>
          <w:tcPr>
            <w:tcW w:w="1276" w:type="dxa"/>
            <w:tcBorders>
              <w:top w:val="nil"/>
              <w:left w:val="nil"/>
              <w:bottom w:val="single" w:sz="4" w:space="0" w:color="auto"/>
              <w:right w:val="single" w:sz="4" w:space="0" w:color="auto"/>
            </w:tcBorders>
            <w:shd w:val="clear" w:color="auto" w:fill="auto"/>
            <w:noWrap/>
            <w:vAlign w:val="bottom"/>
            <w:hideMark/>
          </w:tcPr>
          <w:p w14:paraId="7FF7F78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6DF08B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5B38B4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4920DC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 cake</w:t>
            </w:r>
          </w:p>
        </w:tc>
        <w:tc>
          <w:tcPr>
            <w:tcW w:w="1276" w:type="dxa"/>
            <w:tcBorders>
              <w:top w:val="nil"/>
              <w:left w:val="nil"/>
              <w:bottom w:val="single" w:sz="4" w:space="0" w:color="auto"/>
              <w:right w:val="single" w:sz="4" w:space="0" w:color="auto"/>
            </w:tcBorders>
            <w:shd w:val="clear" w:color="auto" w:fill="auto"/>
            <w:noWrap/>
            <w:vAlign w:val="bottom"/>
            <w:hideMark/>
          </w:tcPr>
          <w:p w14:paraId="522889F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841219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0D99E47"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3F31DC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 cracker</w:t>
            </w:r>
          </w:p>
        </w:tc>
        <w:tc>
          <w:tcPr>
            <w:tcW w:w="1276" w:type="dxa"/>
            <w:tcBorders>
              <w:top w:val="nil"/>
              <w:left w:val="nil"/>
              <w:bottom w:val="single" w:sz="4" w:space="0" w:color="auto"/>
              <w:right w:val="single" w:sz="4" w:space="0" w:color="auto"/>
            </w:tcBorders>
            <w:shd w:val="clear" w:color="auto" w:fill="auto"/>
            <w:noWrap/>
            <w:vAlign w:val="bottom"/>
            <w:hideMark/>
          </w:tcPr>
          <w:p w14:paraId="20C92B7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094359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FFA34D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799E64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paste, marmelade, cracker</w:t>
            </w:r>
          </w:p>
        </w:tc>
        <w:tc>
          <w:tcPr>
            <w:tcW w:w="1276" w:type="dxa"/>
            <w:tcBorders>
              <w:top w:val="nil"/>
              <w:left w:val="nil"/>
              <w:bottom w:val="single" w:sz="4" w:space="0" w:color="auto"/>
              <w:right w:val="single" w:sz="4" w:space="0" w:color="auto"/>
            </w:tcBorders>
            <w:shd w:val="clear" w:color="auto" w:fill="auto"/>
            <w:noWrap/>
            <w:vAlign w:val="bottom"/>
            <w:hideMark/>
          </w:tcPr>
          <w:p w14:paraId="56232AF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E355B3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9804FC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CCAC5D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 biscuit</w:t>
            </w:r>
          </w:p>
        </w:tc>
        <w:tc>
          <w:tcPr>
            <w:tcW w:w="1276" w:type="dxa"/>
            <w:tcBorders>
              <w:top w:val="nil"/>
              <w:left w:val="nil"/>
              <w:bottom w:val="single" w:sz="4" w:space="0" w:color="auto"/>
              <w:right w:val="single" w:sz="4" w:space="0" w:color="auto"/>
            </w:tcBorders>
            <w:shd w:val="clear" w:color="auto" w:fill="auto"/>
            <w:noWrap/>
            <w:vAlign w:val="bottom"/>
            <w:hideMark/>
          </w:tcPr>
          <w:p w14:paraId="4A15CFD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1D3E83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17BFE5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A81A8A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 biscuit, bread</w:t>
            </w:r>
          </w:p>
        </w:tc>
        <w:tc>
          <w:tcPr>
            <w:tcW w:w="1276" w:type="dxa"/>
            <w:tcBorders>
              <w:top w:val="nil"/>
              <w:left w:val="nil"/>
              <w:bottom w:val="single" w:sz="4" w:space="0" w:color="auto"/>
              <w:right w:val="single" w:sz="4" w:space="0" w:color="auto"/>
            </w:tcBorders>
            <w:shd w:val="clear" w:color="auto" w:fill="auto"/>
            <w:noWrap/>
            <w:vAlign w:val="bottom"/>
            <w:hideMark/>
          </w:tcPr>
          <w:p w14:paraId="6B2F4E2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0D61F5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7F509B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D8B42F"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pudding, bread</w:t>
            </w:r>
          </w:p>
        </w:tc>
        <w:tc>
          <w:tcPr>
            <w:tcW w:w="1276" w:type="dxa"/>
            <w:tcBorders>
              <w:top w:val="nil"/>
              <w:left w:val="nil"/>
              <w:bottom w:val="single" w:sz="4" w:space="0" w:color="auto"/>
              <w:right w:val="single" w:sz="4" w:space="0" w:color="auto"/>
            </w:tcBorders>
            <w:shd w:val="clear" w:color="auto" w:fill="auto"/>
            <w:noWrap/>
            <w:vAlign w:val="bottom"/>
            <w:hideMark/>
          </w:tcPr>
          <w:p w14:paraId="7085367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187F5F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4582AE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E815472"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diced fruit</w:t>
            </w:r>
          </w:p>
        </w:tc>
        <w:tc>
          <w:tcPr>
            <w:tcW w:w="1276" w:type="dxa"/>
            <w:tcBorders>
              <w:top w:val="nil"/>
              <w:left w:val="nil"/>
              <w:bottom w:val="single" w:sz="4" w:space="0" w:color="auto"/>
              <w:right w:val="single" w:sz="4" w:space="0" w:color="auto"/>
            </w:tcBorders>
            <w:shd w:val="clear" w:color="auto" w:fill="auto"/>
            <w:noWrap/>
            <w:vAlign w:val="bottom"/>
            <w:hideMark/>
          </w:tcPr>
          <w:p w14:paraId="3291530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C2B4DE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6260AE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5738CA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lumpy mash, chewable solid</w:t>
            </w:r>
          </w:p>
        </w:tc>
        <w:tc>
          <w:tcPr>
            <w:tcW w:w="1276" w:type="dxa"/>
            <w:tcBorders>
              <w:top w:val="nil"/>
              <w:left w:val="nil"/>
              <w:bottom w:val="single" w:sz="4" w:space="0" w:color="auto"/>
              <w:right w:val="single" w:sz="4" w:space="0" w:color="auto"/>
            </w:tcBorders>
            <w:shd w:val="clear" w:color="auto" w:fill="auto"/>
            <w:noWrap/>
            <w:vAlign w:val="bottom"/>
            <w:hideMark/>
          </w:tcPr>
          <w:p w14:paraId="6CE8CD3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A16C23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D3B5D7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C7D25F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oatmeal, crackers, rice</w:t>
            </w:r>
          </w:p>
        </w:tc>
        <w:tc>
          <w:tcPr>
            <w:tcW w:w="1276" w:type="dxa"/>
            <w:tcBorders>
              <w:top w:val="nil"/>
              <w:left w:val="nil"/>
              <w:bottom w:val="single" w:sz="4" w:space="0" w:color="auto"/>
              <w:right w:val="single" w:sz="4" w:space="0" w:color="auto"/>
            </w:tcBorders>
            <w:shd w:val="clear" w:color="auto" w:fill="auto"/>
            <w:noWrap/>
            <w:vAlign w:val="bottom"/>
            <w:hideMark/>
          </w:tcPr>
          <w:p w14:paraId="7826841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8A56C5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AB3FCE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97C854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soft solid</w:t>
            </w:r>
          </w:p>
        </w:tc>
        <w:tc>
          <w:tcPr>
            <w:tcW w:w="1276" w:type="dxa"/>
            <w:tcBorders>
              <w:top w:val="nil"/>
              <w:left w:val="nil"/>
              <w:bottom w:val="single" w:sz="4" w:space="0" w:color="auto"/>
              <w:right w:val="single" w:sz="4" w:space="0" w:color="auto"/>
            </w:tcBorders>
            <w:shd w:val="clear" w:color="auto" w:fill="auto"/>
            <w:noWrap/>
            <w:vAlign w:val="bottom"/>
            <w:hideMark/>
          </w:tcPr>
          <w:p w14:paraId="6912BF4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F41CF2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0F8C62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5F9200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solid</w:t>
            </w:r>
          </w:p>
        </w:tc>
        <w:tc>
          <w:tcPr>
            <w:tcW w:w="1276" w:type="dxa"/>
            <w:tcBorders>
              <w:top w:val="nil"/>
              <w:left w:val="nil"/>
              <w:bottom w:val="single" w:sz="4" w:space="0" w:color="auto"/>
              <w:right w:val="single" w:sz="4" w:space="0" w:color="auto"/>
            </w:tcBorders>
            <w:shd w:val="clear" w:color="auto" w:fill="auto"/>
            <w:noWrap/>
            <w:vAlign w:val="bottom"/>
            <w:hideMark/>
          </w:tcPr>
          <w:p w14:paraId="114F642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DC2B07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285A80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2D7C3B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 yogurt</w:t>
            </w:r>
          </w:p>
        </w:tc>
        <w:tc>
          <w:tcPr>
            <w:tcW w:w="1276" w:type="dxa"/>
            <w:tcBorders>
              <w:top w:val="nil"/>
              <w:left w:val="nil"/>
              <w:bottom w:val="single" w:sz="4" w:space="0" w:color="auto"/>
              <w:right w:val="single" w:sz="4" w:space="0" w:color="auto"/>
            </w:tcBorders>
            <w:shd w:val="clear" w:color="auto" w:fill="auto"/>
            <w:noWrap/>
            <w:vAlign w:val="bottom"/>
            <w:hideMark/>
          </w:tcPr>
          <w:p w14:paraId="2A7BA6E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4BFF0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C2ED77F"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C8B562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purees, semi-solid, crackers, dried fruit</w:t>
            </w:r>
          </w:p>
        </w:tc>
        <w:tc>
          <w:tcPr>
            <w:tcW w:w="1276" w:type="dxa"/>
            <w:tcBorders>
              <w:top w:val="nil"/>
              <w:left w:val="nil"/>
              <w:bottom w:val="single" w:sz="4" w:space="0" w:color="auto"/>
              <w:right w:val="single" w:sz="4" w:space="0" w:color="auto"/>
            </w:tcBorders>
            <w:shd w:val="clear" w:color="auto" w:fill="auto"/>
            <w:noWrap/>
            <w:vAlign w:val="bottom"/>
            <w:hideMark/>
          </w:tcPr>
          <w:p w14:paraId="1873FE1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4E68FF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694257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C0DDCE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rice gruel, mousse, 3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3AE08BD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361B61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1BE7EA3"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C6D2EA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rice, mixed consistency</w:t>
            </w:r>
          </w:p>
        </w:tc>
        <w:tc>
          <w:tcPr>
            <w:tcW w:w="1276" w:type="dxa"/>
            <w:tcBorders>
              <w:top w:val="nil"/>
              <w:left w:val="nil"/>
              <w:bottom w:val="single" w:sz="4" w:space="0" w:color="auto"/>
              <w:right w:val="single" w:sz="4" w:space="0" w:color="auto"/>
            </w:tcBorders>
            <w:shd w:val="clear" w:color="auto" w:fill="auto"/>
            <w:noWrap/>
            <w:vAlign w:val="bottom"/>
            <w:hideMark/>
          </w:tcPr>
          <w:p w14:paraId="63A384E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32E494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CDA608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0D1C7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semi-liquid, yogurt, biscuits</w:t>
            </w:r>
          </w:p>
        </w:tc>
        <w:tc>
          <w:tcPr>
            <w:tcW w:w="1276" w:type="dxa"/>
            <w:tcBorders>
              <w:top w:val="nil"/>
              <w:left w:val="nil"/>
              <w:bottom w:val="single" w:sz="4" w:space="0" w:color="auto"/>
              <w:right w:val="single" w:sz="4" w:space="0" w:color="auto"/>
            </w:tcBorders>
            <w:shd w:val="clear" w:color="auto" w:fill="auto"/>
            <w:noWrap/>
            <w:vAlign w:val="bottom"/>
            <w:hideMark/>
          </w:tcPr>
          <w:p w14:paraId="760AC9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6D5383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CBB77D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0B6375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semi-solid, cookie</w:t>
            </w:r>
          </w:p>
        </w:tc>
        <w:tc>
          <w:tcPr>
            <w:tcW w:w="1276" w:type="dxa"/>
            <w:tcBorders>
              <w:top w:val="nil"/>
              <w:left w:val="nil"/>
              <w:bottom w:val="single" w:sz="4" w:space="0" w:color="auto"/>
              <w:right w:val="single" w:sz="4" w:space="0" w:color="auto"/>
            </w:tcBorders>
            <w:shd w:val="clear" w:color="auto" w:fill="auto"/>
            <w:noWrap/>
            <w:vAlign w:val="bottom"/>
            <w:hideMark/>
          </w:tcPr>
          <w:p w14:paraId="5976010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F13915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5BF28B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EF2618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semi-viscous, viscous, biscuit</w:t>
            </w:r>
          </w:p>
        </w:tc>
        <w:tc>
          <w:tcPr>
            <w:tcW w:w="1276" w:type="dxa"/>
            <w:tcBorders>
              <w:top w:val="nil"/>
              <w:left w:val="nil"/>
              <w:bottom w:val="single" w:sz="4" w:space="0" w:color="auto"/>
              <w:right w:val="single" w:sz="4" w:space="0" w:color="auto"/>
            </w:tcBorders>
            <w:shd w:val="clear" w:color="auto" w:fill="auto"/>
            <w:noWrap/>
            <w:vAlign w:val="bottom"/>
            <w:hideMark/>
          </w:tcPr>
          <w:p w14:paraId="4393743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ADF5B5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07C69E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18AAD3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slightly thick, jelly, puree</w:t>
            </w:r>
          </w:p>
        </w:tc>
        <w:tc>
          <w:tcPr>
            <w:tcW w:w="1276" w:type="dxa"/>
            <w:tcBorders>
              <w:top w:val="nil"/>
              <w:left w:val="nil"/>
              <w:bottom w:val="single" w:sz="4" w:space="0" w:color="auto"/>
              <w:right w:val="single" w:sz="4" w:space="0" w:color="auto"/>
            </w:tcBorders>
            <w:shd w:val="clear" w:color="auto" w:fill="auto"/>
            <w:noWrap/>
            <w:vAlign w:val="bottom"/>
            <w:hideMark/>
          </w:tcPr>
          <w:p w14:paraId="402490B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5D0A5F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D3A6D9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FF75C9D"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 xml:space="preserve">Thin, slightly thick, semi-solid, solid </w:t>
            </w:r>
          </w:p>
        </w:tc>
        <w:tc>
          <w:tcPr>
            <w:tcW w:w="1276" w:type="dxa"/>
            <w:tcBorders>
              <w:top w:val="nil"/>
              <w:left w:val="nil"/>
              <w:bottom w:val="single" w:sz="4" w:space="0" w:color="auto"/>
              <w:right w:val="single" w:sz="4" w:space="0" w:color="auto"/>
            </w:tcBorders>
            <w:shd w:val="clear" w:color="auto" w:fill="auto"/>
            <w:noWrap/>
            <w:vAlign w:val="bottom"/>
            <w:hideMark/>
          </w:tcPr>
          <w:p w14:paraId="4FA8FED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145C8F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A02370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58A070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syrup, honey-thick, pudding</w:t>
            </w:r>
          </w:p>
        </w:tc>
        <w:tc>
          <w:tcPr>
            <w:tcW w:w="1276" w:type="dxa"/>
            <w:tcBorders>
              <w:top w:val="nil"/>
              <w:left w:val="nil"/>
              <w:bottom w:val="single" w:sz="4" w:space="0" w:color="auto"/>
              <w:right w:val="single" w:sz="4" w:space="0" w:color="auto"/>
            </w:tcBorders>
            <w:shd w:val="clear" w:color="auto" w:fill="auto"/>
            <w:noWrap/>
            <w:vAlign w:val="bottom"/>
            <w:hideMark/>
          </w:tcPr>
          <w:p w14:paraId="6B3B751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30821B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9794A2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20607A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custard, 8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4C611C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4833AF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8CFE7E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D1DA34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extremely thick, cookie</w:t>
            </w:r>
          </w:p>
        </w:tc>
        <w:tc>
          <w:tcPr>
            <w:tcW w:w="1276" w:type="dxa"/>
            <w:tcBorders>
              <w:top w:val="nil"/>
              <w:left w:val="nil"/>
              <w:bottom w:val="single" w:sz="4" w:space="0" w:color="auto"/>
              <w:right w:val="single" w:sz="4" w:space="0" w:color="auto"/>
            </w:tcBorders>
            <w:shd w:val="clear" w:color="auto" w:fill="auto"/>
            <w:noWrap/>
            <w:vAlign w:val="bottom"/>
            <w:hideMark/>
          </w:tcPr>
          <w:p w14:paraId="350D221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3E0F97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28B1DF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B018627"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mixed consistency</w:t>
            </w:r>
          </w:p>
        </w:tc>
        <w:tc>
          <w:tcPr>
            <w:tcW w:w="1276" w:type="dxa"/>
            <w:tcBorders>
              <w:top w:val="nil"/>
              <w:left w:val="nil"/>
              <w:bottom w:val="single" w:sz="4" w:space="0" w:color="auto"/>
              <w:right w:val="single" w:sz="4" w:space="0" w:color="auto"/>
            </w:tcBorders>
            <w:shd w:val="clear" w:color="auto" w:fill="auto"/>
            <w:noWrap/>
            <w:vAlign w:val="bottom"/>
            <w:hideMark/>
          </w:tcPr>
          <w:p w14:paraId="6484673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677F1F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F068F9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E08BF1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moderately thick</w:t>
            </w:r>
          </w:p>
        </w:tc>
        <w:tc>
          <w:tcPr>
            <w:tcW w:w="1276" w:type="dxa"/>
            <w:tcBorders>
              <w:top w:val="nil"/>
              <w:left w:val="nil"/>
              <w:bottom w:val="single" w:sz="4" w:space="0" w:color="auto"/>
              <w:right w:val="single" w:sz="4" w:space="0" w:color="auto"/>
            </w:tcBorders>
            <w:shd w:val="clear" w:color="auto" w:fill="auto"/>
            <w:noWrap/>
            <w:vAlign w:val="bottom"/>
            <w:hideMark/>
          </w:tcPr>
          <w:p w14:paraId="209841C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C1F7CE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3242E8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9BE80A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puree, cookie</w:t>
            </w:r>
          </w:p>
        </w:tc>
        <w:tc>
          <w:tcPr>
            <w:tcW w:w="1276" w:type="dxa"/>
            <w:tcBorders>
              <w:top w:val="nil"/>
              <w:left w:val="nil"/>
              <w:bottom w:val="single" w:sz="4" w:space="0" w:color="auto"/>
              <w:right w:val="single" w:sz="4" w:space="0" w:color="auto"/>
            </w:tcBorders>
            <w:shd w:val="clear" w:color="auto" w:fill="auto"/>
            <w:noWrap/>
            <w:vAlign w:val="bottom"/>
            <w:hideMark/>
          </w:tcPr>
          <w:p w14:paraId="0C59308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4A7599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EC0E24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E19A78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rice porridge, yogurt</w:t>
            </w:r>
          </w:p>
        </w:tc>
        <w:tc>
          <w:tcPr>
            <w:tcW w:w="1276" w:type="dxa"/>
            <w:tcBorders>
              <w:top w:val="nil"/>
              <w:left w:val="nil"/>
              <w:bottom w:val="single" w:sz="4" w:space="0" w:color="auto"/>
              <w:right w:val="single" w:sz="4" w:space="0" w:color="auto"/>
            </w:tcBorders>
            <w:shd w:val="clear" w:color="auto" w:fill="auto"/>
            <w:noWrap/>
            <w:vAlign w:val="bottom"/>
            <w:hideMark/>
          </w:tcPr>
          <w:p w14:paraId="093C4ED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9A875E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409262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8B6C90A"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rice-porridge, jelly</w:t>
            </w:r>
          </w:p>
        </w:tc>
        <w:tc>
          <w:tcPr>
            <w:tcW w:w="1276" w:type="dxa"/>
            <w:tcBorders>
              <w:top w:val="nil"/>
              <w:left w:val="nil"/>
              <w:bottom w:val="single" w:sz="4" w:space="0" w:color="auto"/>
              <w:right w:val="single" w:sz="4" w:space="0" w:color="auto"/>
            </w:tcBorders>
            <w:shd w:val="clear" w:color="auto" w:fill="auto"/>
            <w:noWrap/>
            <w:vAlign w:val="bottom"/>
            <w:hideMark/>
          </w:tcPr>
          <w:p w14:paraId="274B647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25A0F4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64A9E9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E08AC3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semi-solid</w:t>
            </w:r>
          </w:p>
        </w:tc>
        <w:tc>
          <w:tcPr>
            <w:tcW w:w="1276" w:type="dxa"/>
            <w:tcBorders>
              <w:top w:val="nil"/>
              <w:left w:val="nil"/>
              <w:bottom w:val="single" w:sz="4" w:space="0" w:color="auto"/>
              <w:right w:val="single" w:sz="4" w:space="0" w:color="auto"/>
            </w:tcBorders>
            <w:shd w:val="clear" w:color="auto" w:fill="auto"/>
            <w:noWrap/>
            <w:vAlign w:val="bottom"/>
            <w:hideMark/>
          </w:tcPr>
          <w:p w14:paraId="7DC26C0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6B62F8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95F64B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7B20DE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smooth puree, thick paste, chopped food</w:t>
            </w:r>
          </w:p>
        </w:tc>
        <w:tc>
          <w:tcPr>
            <w:tcW w:w="1276" w:type="dxa"/>
            <w:tcBorders>
              <w:top w:val="nil"/>
              <w:left w:val="nil"/>
              <w:bottom w:val="single" w:sz="4" w:space="0" w:color="auto"/>
              <w:right w:val="single" w:sz="4" w:space="0" w:color="auto"/>
            </w:tcBorders>
            <w:shd w:val="clear" w:color="auto" w:fill="auto"/>
            <w:noWrap/>
            <w:vAlign w:val="bottom"/>
            <w:hideMark/>
          </w:tcPr>
          <w:p w14:paraId="34CCEA2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43ED43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EB4695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BA6D50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soft</w:t>
            </w:r>
          </w:p>
        </w:tc>
        <w:tc>
          <w:tcPr>
            <w:tcW w:w="1276" w:type="dxa"/>
            <w:tcBorders>
              <w:top w:val="nil"/>
              <w:left w:val="nil"/>
              <w:bottom w:val="single" w:sz="4" w:space="0" w:color="auto"/>
              <w:right w:val="single" w:sz="4" w:space="0" w:color="auto"/>
            </w:tcBorders>
            <w:shd w:val="clear" w:color="auto" w:fill="auto"/>
            <w:noWrap/>
            <w:vAlign w:val="bottom"/>
            <w:hideMark/>
          </w:tcPr>
          <w:p w14:paraId="1A4781F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452272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E15999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A392F1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soft food</w:t>
            </w:r>
          </w:p>
        </w:tc>
        <w:tc>
          <w:tcPr>
            <w:tcW w:w="1276" w:type="dxa"/>
            <w:tcBorders>
              <w:top w:val="nil"/>
              <w:left w:val="nil"/>
              <w:bottom w:val="single" w:sz="4" w:space="0" w:color="auto"/>
              <w:right w:val="single" w:sz="4" w:space="0" w:color="auto"/>
            </w:tcBorders>
            <w:shd w:val="clear" w:color="auto" w:fill="auto"/>
            <w:noWrap/>
            <w:vAlign w:val="bottom"/>
            <w:hideMark/>
          </w:tcPr>
          <w:p w14:paraId="4ECFE64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8C1639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BAB7AD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DB2805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soft food, cookie</w:t>
            </w:r>
          </w:p>
        </w:tc>
        <w:tc>
          <w:tcPr>
            <w:tcW w:w="1276" w:type="dxa"/>
            <w:tcBorders>
              <w:top w:val="nil"/>
              <w:left w:val="nil"/>
              <w:bottom w:val="single" w:sz="4" w:space="0" w:color="auto"/>
              <w:right w:val="single" w:sz="4" w:space="0" w:color="auto"/>
            </w:tcBorders>
            <w:shd w:val="clear" w:color="auto" w:fill="auto"/>
            <w:noWrap/>
            <w:vAlign w:val="bottom"/>
            <w:hideMark/>
          </w:tcPr>
          <w:p w14:paraId="33F14EF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B6EFB4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4FB5815"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C94309E"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thin puree, thick puree, solid</w:t>
            </w:r>
          </w:p>
        </w:tc>
        <w:tc>
          <w:tcPr>
            <w:tcW w:w="1276" w:type="dxa"/>
            <w:tcBorders>
              <w:top w:val="nil"/>
              <w:left w:val="nil"/>
              <w:bottom w:val="single" w:sz="4" w:space="0" w:color="auto"/>
              <w:right w:val="single" w:sz="4" w:space="0" w:color="auto"/>
            </w:tcBorders>
            <w:shd w:val="clear" w:color="auto" w:fill="auto"/>
            <w:noWrap/>
            <w:vAlign w:val="bottom"/>
            <w:hideMark/>
          </w:tcPr>
          <w:p w14:paraId="5C1A055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D4B1897"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271277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96F07F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very thick</w:t>
            </w:r>
          </w:p>
        </w:tc>
        <w:tc>
          <w:tcPr>
            <w:tcW w:w="1276" w:type="dxa"/>
            <w:tcBorders>
              <w:top w:val="nil"/>
              <w:left w:val="nil"/>
              <w:bottom w:val="single" w:sz="4" w:space="0" w:color="auto"/>
              <w:right w:val="single" w:sz="4" w:space="0" w:color="auto"/>
            </w:tcBorders>
            <w:shd w:val="clear" w:color="auto" w:fill="auto"/>
            <w:noWrap/>
            <w:vAlign w:val="bottom"/>
            <w:hideMark/>
          </w:tcPr>
          <w:p w14:paraId="6390EBE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9B651E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EF8BD5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A03050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thick, yogurt, tice</w:t>
            </w:r>
          </w:p>
        </w:tc>
        <w:tc>
          <w:tcPr>
            <w:tcW w:w="1276" w:type="dxa"/>
            <w:tcBorders>
              <w:top w:val="nil"/>
              <w:left w:val="nil"/>
              <w:bottom w:val="single" w:sz="4" w:space="0" w:color="auto"/>
              <w:right w:val="single" w:sz="4" w:space="0" w:color="auto"/>
            </w:tcBorders>
            <w:shd w:val="clear" w:color="auto" w:fill="auto"/>
            <w:noWrap/>
            <w:vAlign w:val="bottom"/>
            <w:hideMark/>
          </w:tcPr>
          <w:p w14:paraId="60E585E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04E17E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8DD7D7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785393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thin paste, thick paste</w:t>
            </w:r>
          </w:p>
        </w:tc>
        <w:tc>
          <w:tcPr>
            <w:tcW w:w="1276" w:type="dxa"/>
            <w:tcBorders>
              <w:top w:val="nil"/>
              <w:left w:val="nil"/>
              <w:bottom w:val="single" w:sz="4" w:space="0" w:color="auto"/>
              <w:right w:val="single" w:sz="4" w:space="0" w:color="auto"/>
            </w:tcBorders>
            <w:shd w:val="clear" w:color="auto" w:fill="auto"/>
            <w:noWrap/>
            <w:vAlign w:val="bottom"/>
            <w:hideMark/>
          </w:tcPr>
          <w:p w14:paraId="6CF158D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1EAD44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26C5D50"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423B68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threee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791EE1B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0C50C0F"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343A009"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24492F0"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two different foods</w:t>
            </w:r>
          </w:p>
        </w:tc>
        <w:tc>
          <w:tcPr>
            <w:tcW w:w="1276" w:type="dxa"/>
            <w:tcBorders>
              <w:top w:val="nil"/>
              <w:left w:val="nil"/>
              <w:bottom w:val="single" w:sz="4" w:space="0" w:color="auto"/>
              <w:right w:val="single" w:sz="4" w:space="0" w:color="auto"/>
            </w:tcBorders>
            <w:shd w:val="clear" w:color="auto" w:fill="auto"/>
            <w:noWrap/>
            <w:vAlign w:val="bottom"/>
            <w:hideMark/>
          </w:tcPr>
          <w:p w14:paraId="7BC5E8F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287152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31E08D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45F408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viscous</w:t>
            </w:r>
          </w:p>
        </w:tc>
        <w:tc>
          <w:tcPr>
            <w:tcW w:w="1276" w:type="dxa"/>
            <w:tcBorders>
              <w:top w:val="nil"/>
              <w:left w:val="nil"/>
              <w:bottom w:val="single" w:sz="4" w:space="0" w:color="auto"/>
              <w:right w:val="single" w:sz="4" w:space="0" w:color="auto"/>
            </w:tcBorders>
            <w:shd w:val="clear" w:color="auto" w:fill="auto"/>
            <w:noWrap/>
            <w:vAlign w:val="bottom"/>
            <w:hideMark/>
          </w:tcPr>
          <w:p w14:paraId="253B4AE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EB5E4F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3381DC6"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246C90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viscous, semisolid</w:t>
            </w:r>
          </w:p>
        </w:tc>
        <w:tc>
          <w:tcPr>
            <w:tcW w:w="1276" w:type="dxa"/>
            <w:tcBorders>
              <w:top w:val="nil"/>
              <w:left w:val="nil"/>
              <w:bottom w:val="single" w:sz="4" w:space="0" w:color="auto"/>
              <w:right w:val="single" w:sz="4" w:space="0" w:color="auto"/>
            </w:tcBorders>
            <w:shd w:val="clear" w:color="auto" w:fill="auto"/>
            <w:noWrap/>
            <w:vAlign w:val="bottom"/>
            <w:hideMark/>
          </w:tcPr>
          <w:p w14:paraId="309BA52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E1ABFA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A0E63B8"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ADB0B2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 xml:space="preserve">Thin, yogurt </w:t>
            </w:r>
          </w:p>
        </w:tc>
        <w:tc>
          <w:tcPr>
            <w:tcW w:w="1276" w:type="dxa"/>
            <w:tcBorders>
              <w:top w:val="nil"/>
              <w:left w:val="nil"/>
              <w:bottom w:val="single" w:sz="4" w:space="0" w:color="auto"/>
              <w:right w:val="single" w:sz="4" w:space="0" w:color="auto"/>
            </w:tcBorders>
            <w:shd w:val="clear" w:color="auto" w:fill="auto"/>
            <w:noWrap/>
            <w:vAlign w:val="bottom"/>
            <w:hideMark/>
          </w:tcPr>
          <w:p w14:paraId="2048737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681BBCD"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4406C24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5143ED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drink, yogurt, cookie</w:t>
            </w:r>
          </w:p>
        </w:tc>
        <w:tc>
          <w:tcPr>
            <w:tcW w:w="1276" w:type="dxa"/>
            <w:tcBorders>
              <w:top w:val="nil"/>
              <w:left w:val="nil"/>
              <w:bottom w:val="single" w:sz="4" w:space="0" w:color="auto"/>
              <w:right w:val="single" w:sz="4" w:space="0" w:color="auto"/>
            </w:tcBorders>
            <w:shd w:val="clear" w:color="auto" w:fill="auto"/>
            <w:noWrap/>
            <w:vAlign w:val="bottom"/>
            <w:hideMark/>
          </w:tcPr>
          <w:p w14:paraId="54BAC1E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1BAC8213"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BBF05A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2573006"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biscuit</w:t>
            </w:r>
          </w:p>
        </w:tc>
        <w:tc>
          <w:tcPr>
            <w:tcW w:w="1276" w:type="dxa"/>
            <w:tcBorders>
              <w:top w:val="nil"/>
              <w:left w:val="nil"/>
              <w:bottom w:val="single" w:sz="4" w:space="0" w:color="auto"/>
              <w:right w:val="single" w:sz="4" w:space="0" w:color="auto"/>
            </w:tcBorders>
            <w:shd w:val="clear" w:color="auto" w:fill="auto"/>
            <w:noWrap/>
            <w:vAlign w:val="bottom"/>
            <w:hideMark/>
          </w:tcPr>
          <w:p w14:paraId="75DA2C0B"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4DD8A85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6F13D7E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A4958D3"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cream cheese</w:t>
            </w:r>
          </w:p>
        </w:tc>
        <w:tc>
          <w:tcPr>
            <w:tcW w:w="1276" w:type="dxa"/>
            <w:tcBorders>
              <w:top w:val="nil"/>
              <w:left w:val="nil"/>
              <w:bottom w:val="single" w:sz="4" w:space="0" w:color="auto"/>
              <w:right w:val="single" w:sz="4" w:space="0" w:color="auto"/>
            </w:tcBorders>
            <w:shd w:val="clear" w:color="auto" w:fill="auto"/>
            <w:noWrap/>
            <w:vAlign w:val="bottom"/>
            <w:hideMark/>
          </w:tcPr>
          <w:p w14:paraId="2AE1591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2248B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F69345C"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74F1ECC"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puree</w:t>
            </w:r>
          </w:p>
        </w:tc>
        <w:tc>
          <w:tcPr>
            <w:tcW w:w="1276" w:type="dxa"/>
            <w:tcBorders>
              <w:top w:val="nil"/>
              <w:left w:val="nil"/>
              <w:bottom w:val="single" w:sz="4" w:space="0" w:color="auto"/>
              <w:right w:val="single" w:sz="4" w:space="0" w:color="auto"/>
            </w:tcBorders>
            <w:shd w:val="clear" w:color="auto" w:fill="auto"/>
            <w:noWrap/>
            <w:vAlign w:val="bottom"/>
            <w:hideMark/>
          </w:tcPr>
          <w:p w14:paraId="615D5C7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5B016D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71D8E9B"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20A89B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Thin, yogurt, semi-blended food, rice</w:t>
            </w:r>
          </w:p>
        </w:tc>
        <w:tc>
          <w:tcPr>
            <w:tcW w:w="1276" w:type="dxa"/>
            <w:tcBorders>
              <w:top w:val="nil"/>
              <w:left w:val="nil"/>
              <w:bottom w:val="single" w:sz="4" w:space="0" w:color="auto"/>
              <w:right w:val="single" w:sz="4" w:space="0" w:color="auto"/>
            </w:tcBorders>
            <w:shd w:val="clear" w:color="auto" w:fill="auto"/>
            <w:noWrap/>
            <w:vAlign w:val="bottom"/>
            <w:hideMark/>
          </w:tcPr>
          <w:p w14:paraId="4952C2B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0705DDE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E103D5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3F4749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Three different gels</w:t>
            </w:r>
          </w:p>
        </w:tc>
        <w:tc>
          <w:tcPr>
            <w:tcW w:w="1276" w:type="dxa"/>
            <w:tcBorders>
              <w:top w:val="nil"/>
              <w:left w:val="nil"/>
              <w:bottom w:val="single" w:sz="4" w:space="0" w:color="auto"/>
              <w:right w:val="single" w:sz="4" w:space="0" w:color="auto"/>
            </w:tcBorders>
            <w:shd w:val="clear" w:color="auto" w:fill="auto"/>
            <w:noWrap/>
            <w:vAlign w:val="bottom"/>
            <w:hideMark/>
          </w:tcPr>
          <w:p w14:paraId="242901F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43C72E2"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1BBE48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00EFCE4"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Three types of meat</w:t>
            </w:r>
          </w:p>
        </w:tc>
        <w:tc>
          <w:tcPr>
            <w:tcW w:w="1276" w:type="dxa"/>
            <w:tcBorders>
              <w:top w:val="nil"/>
              <w:left w:val="nil"/>
              <w:bottom w:val="single" w:sz="4" w:space="0" w:color="auto"/>
              <w:right w:val="single" w:sz="4" w:space="0" w:color="auto"/>
            </w:tcBorders>
            <w:shd w:val="clear" w:color="auto" w:fill="auto"/>
            <w:noWrap/>
            <w:vAlign w:val="bottom"/>
            <w:hideMark/>
          </w:tcPr>
          <w:p w14:paraId="1A08841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3BFD78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6DF775E"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203A04E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Two different gels</w:t>
            </w:r>
          </w:p>
        </w:tc>
        <w:tc>
          <w:tcPr>
            <w:tcW w:w="1276" w:type="dxa"/>
            <w:tcBorders>
              <w:top w:val="nil"/>
              <w:left w:val="nil"/>
              <w:bottom w:val="single" w:sz="4" w:space="0" w:color="auto"/>
              <w:right w:val="single" w:sz="4" w:space="0" w:color="auto"/>
            </w:tcBorders>
            <w:shd w:val="clear" w:color="auto" w:fill="auto"/>
            <w:noWrap/>
            <w:vAlign w:val="bottom"/>
            <w:hideMark/>
          </w:tcPr>
          <w:p w14:paraId="6CD9E15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DA5A608"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70DDECDD"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5F331B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Two food gels</w:t>
            </w:r>
          </w:p>
        </w:tc>
        <w:tc>
          <w:tcPr>
            <w:tcW w:w="1276" w:type="dxa"/>
            <w:tcBorders>
              <w:top w:val="nil"/>
              <w:left w:val="nil"/>
              <w:bottom w:val="single" w:sz="4" w:space="0" w:color="auto"/>
              <w:right w:val="single" w:sz="4" w:space="0" w:color="auto"/>
            </w:tcBorders>
            <w:shd w:val="clear" w:color="auto" w:fill="auto"/>
            <w:noWrap/>
            <w:vAlign w:val="bottom"/>
            <w:hideMark/>
          </w:tcPr>
          <w:p w14:paraId="6DC7B1F1"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210250A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3B573D6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CD4C955"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Water, puree</w:t>
            </w:r>
          </w:p>
        </w:tc>
        <w:tc>
          <w:tcPr>
            <w:tcW w:w="1276" w:type="dxa"/>
            <w:tcBorders>
              <w:top w:val="nil"/>
              <w:left w:val="nil"/>
              <w:bottom w:val="single" w:sz="4" w:space="0" w:color="auto"/>
              <w:right w:val="single" w:sz="4" w:space="0" w:color="auto"/>
            </w:tcBorders>
            <w:shd w:val="clear" w:color="auto" w:fill="auto"/>
            <w:noWrap/>
            <w:vAlign w:val="bottom"/>
            <w:hideMark/>
          </w:tcPr>
          <w:p w14:paraId="5A3C7CD9"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5D8E68CC"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2B767D94"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CDAF2A8"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Water, yogurt</w:t>
            </w:r>
          </w:p>
        </w:tc>
        <w:tc>
          <w:tcPr>
            <w:tcW w:w="1276" w:type="dxa"/>
            <w:tcBorders>
              <w:top w:val="nil"/>
              <w:left w:val="nil"/>
              <w:bottom w:val="single" w:sz="4" w:space="0" w:color="auto"/>
              <w:right w:val="single" w:sz="4" w:space="0" w:color="auto"/>
            </w:tcBorders>
            <w:shd w:val="clear" w:color="auto" w:fill="auto"/>
            <w:noWrap/>
            <w:vAlign w:val="bottom"/>
            <w:hideMark/>
          </w:tcPr>
          <w:p w14:paraId="169BDBE5"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744F90E4"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5137E2FA"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BBC6F41"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Water, yogurt, porridge, rice</w:t>
            </w:r>
          </w:p>
        </w:tc>
        <w:tc>
          <w:tcPr>
            <w:tcW w:w="1276" w:type="dxa"/>
            <w:tcBorders>
              <w:top w:val="nil"/>
              <w:left w:val="nil"/>
              <w:bottom w:val="single" w:sz="4" w:space="0" w:color="auto"/>
              <w:right w:val="single" w:sz="4" w:space="0" w:color="auto"/>
            </w:tcBorders>
            <w:shd w:val="clear" w:color="auto" w:fill="auto"/>
            <w:noWrap/>
            <w:vAlign w:val="bottom"/>
            <w:hideMark/>
          </w:tcPr>
          <w:p w14:paraId="0704FE5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59CF38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008B1682"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80B7599"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Yogurt, nuts, mixed consistencies</w:t>
            </w:r>
          </w:p>
        </w:tc>
        <w:tc>
          <w:tcPr>
            <w:tcW w:w="1276" w:type="dxa"/>
            <w:tcBorders>
              <w:top w:val="nil"/>
              <w:left w:val="nil"/>
              <w:bottom w:val="single" w:sz="4" w:space="0" w:color="auto"/>
              <w:right w:val="single" w:sz="4" w:space="0" w:color="auto"/>
            </w:tcBorders>
            <w:shd w:val="clear" w:color="auto" w:fill="auto"/>
            <w:noWrap/>
            <w:vAlign w:val="bottom"/>
            <w:hideMark/>
          </w:tcPr>
          <w:p w14:paraId="1AAB5430"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39C9749A"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r w:rsidR="005E2791" w:rsidRPr="005E2791" w14:paraId="1EF55F21" w14:textId="77777777" w:rsidTr="005E2791">
        <w:trPr>
          <w:trHeight w:val="315"/>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2EB358B" w14:textId="77777777" w:rsidR="005E2791" w:rsidRPr="005E2791" w:rsidRDefault="005E2791" w:rsidP="005E2791">
            <w:pPr>
              <w:spacing w:after="0" w:line="240" w:lineRule="auto"/>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Yogurt, rice, cake</w:t>
            </w:r>
          </w:p>
        </w:tc>
        <w:tc>
          <w:tcPr>
            <w:tcW w:w="1276" w:type="dxa"/>
            <w:tcBorders>
              <w:top w:val="nil"/>
              <w:left w:val="nil"/>
              <w:bottom w:val="single" w:sz="4" w:space="0" w:color="auto"/>
              <w:right w:val="single" w:sz="4" w:space="0" w:color="auto"/>
            </w:tcBorders>
            <w:shd w:val="clear" w:color="auto" w:fill="auto"/>
            <w:noWrap/>
            <w:vAlign w:val="bottom"/>
            <w:hideMark/>
          </w:tcPr>
          <w:p w14:paraId="4471F7CE"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1</w:t>
            </w:r>
          </w:p>
        </w:tc>
        <w:tc>
          <w:tcPr>
            <w:tcW w:w="2410" w:type="dxa"/>
            <w:tcBorders>
              <w:top w:val="nil"/>
              <w:left w:val="nil"/>
              <w:bottom w:val="single" w:sz="4" w:space="0" w:color="auto"/>
              <w:right w:val="single" w:sz="4" w:space="0" w:color="auto"/>
            </w:tcBorders>
            <w:shd w:val="clear" w:color="auto" w:fill="auto"/>
            <w:noWrap/>
            <w:vAlign w:val="bottom"/>
            <w:hideMark/>
          </w:tcPr>
          <w:p w14:paraId="633C64D6" w14:textId="77777777" w:rsidR="005E2791" w:rsidRPr="005E2791" w:rsidRDefault="005E2791" w:rsidP="005E2791">
            <w:pPr>
              <w:spacing w:after="0" w:line="240" w:lineRule="auto"/>
              <w:jc w:val="center"/>
              <w:rPr>
                <w:rFonts w:ascii="Times New Roman" w:eastAsia="Times New Roman" w:hAnsi="Times New Roman" w:cs="Times New Roman"/>
                <w:color w:val="000000"/>
                <w:sz w:val="24"/>
                <w:szCs w:val="24"/>
                <w:lang w:val="en-CA" w:eastAsia="en-CA"/>
              </w:rPr>
            </w:pPr>
            <w:r w:rsidRPr="005E2791">
              <w:rPr>
                <w:rFonts w:ascii="Times New Roman" w:eastAsia="Times New Roman" w:hAnsi="Times New Roman" w:cs="Times New Roman"/>
                <w:color w:val="000000"/>
                <w:sz w:val="24"/>
                <w:szCs w:val="24"/>
                <w:lang w:val="en-CA" w:eastAsia="en-CA"/>
              </w:rPr>
              <w:t>0.2%</w:t>
            </w:r>
          </w:p>
        </w:tc>
      </w:tr>
    </w:tbl>
    <w:p w14:paraId="037675C2" w14:textId="77777777" w:rsidR="005E2791" w:rsidRPr="005E2791" w:rsidRDefault="005E2791" w:rsidP="005E2791">
      <w:pPr>
        <w:spacing w:after="0" w:line="480" w:lineRule="auto"/>
        <w:rPr>
          <w:rFonts w:ascii="Times New Roman" w:hAnsi="Times New Roman" w:cs="Times New Roman"/>
          <w:sz w:val="24"/>
          <w:szCs w:val="24"/>
        </w:rPr>
      </w:pPr>
    </w:p>
    <w:p w14:paraId="740F9C9F" w14:textId="77777777" w:rsidR="005E2791" w:rsidRDefault="005E2791">
      <w:pPr>
        <w:rPr>
          <w:rFonts w:ascii="Times New Roman" w:hAnsi="Times New Roman" w:cs="Times New Roman"/>
          <w:sz w:val="24"/>
          <w:szCs w:val="24"/>
        </w:rPr>
      </w:pPr>
      <w:r>
        <w:rPr>
          <w:rFonts w:ascii="Times New Roman" w:hAnsi="Times New Roman" w:cs="Times New Roman"/>
          <w:sz w:val="24"/>
          <w:szCs w:val="24"/>
        </w:rPr>
        <w:br w:type="page"/>
      </w:r>
    </w:p>
    <w:p w14:paraId="1AD0CEFB" w14:textId="77777777" w:rsidR="00247C4D" w:rsidRPr="00163DFD" w:rsidRDefault="00D0120F" w:rsidP="00163DFD">
      <w:pPr>
        <w:pStyle w:val="Heading1"/>
        <w:numPr>
          <w:ilvl w:val="0"/>
          <w:numId w:val="5"/>
        </w:numPr>
        <w:spacing w:after="240"/>
        <w:ind w:left="567" w:hanging="567"/>
        <w:rPr>
          <w:rFonts w:ascii="Times New Roman" w:hAnsi="Times New Roman" w:cs="Times New Roman"/>
          <w:b/>
          <w:color w:val="auto"/>
          <w:sz w:val="24"/>
          <w:szCs w:val="24"/>
        </w:rPr>
      </w:pPr>
      <w:bookmarkStart w:id="6" w:name="_Toc231831489"/>
      <w:r w:rsidRPr="00163DFD">
        <w:rPr>
          <w:rFonts w:ascii="Times New Roman" w:hAnsi="Times New Roman" w:cs="Times New Roman"/>
          <w:b/>
          <w:color w:val="auto"/>
          <w:sz w:val="24"/>
          <w:szCs w:val="24"/>
        </w:rPr>
        <w:t>Full list of clinical diagnoses represented in the full-text review set</w:t>
      </w:r>
      <w:bookmarkEnd w:id="6"/>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9"/>
        <w:gridCol w:w="5047"/>
        <w:gridCol w:w="1417"/>
        <w:gridCol w:w="1560"/>
      </w:tblGrid>
      <w:tr w:rsidR="00D0120F" w:rsidRPr="00D0120F" w14:paraId="3B0FC43E" w14:textId="77777777" w:rsidTr="005E2791">
        <w:trPr>
          <w:trHeight w:val="504"/>
        </w:trPr>
        <w:tc>
          <w:tcPr>
            <w:tcW w:w="1469" w:type="dxa"/>
            <w:shd w:val="clear" w:color="auto" w:fill="auto"/>
            <w:vAlign w:val="center"/>
            <w:hideMark/>
          </w:tcPr>
          <w:p w14:paraId="3CAC9350" w14:textId="77777777" w:rsidR="00D0120F" w:rsidRPr="00D0120F" w:rsidRDefault="00D0120F" w:rsidP="00D0120F">
            <w:pPr>
              <w:spacing w:after="0" w:line="240" w:lineRule="auto"/>
              <w:jc w:val="center"/>
              <w:rPr>
                <w:rFonts w:ascii="Times New Roman" w:eastAsia="Times New Roman" w:hAnsi="Times New Roman" w:cs="Times New Roman"/>
                <w:b/>
                <w:bCs/>
                <w:color w:val="000000"/>
                <w:sz w:val="24"/>
                <w:szCs w:val="24"/>
                <w:u w:val="single"/>
                <w:lang w:val="en-CA" w:eastAsia="en-CA"/>
              </w:rPr>
            </w:pPr>
            <w:r w:rsidRPr="00D0120F">
              <w:rPr>
                <w:rFonts w:ascii="Times New Roman" w:eastAsia="Times New Roman" w:hAnsi="Times New Roman" w:cs="Times New Roman"/>
                <w:b/>
                <w:bCs/>
                <w:color w:val="000000"/>
                <w:sz w:val="24"/>
                <w:szCs w:val="24"/>
                <w:u w:val="single"/>
                <w:lang w:val="en-CA" w:eastAsia="en-CA"/>
              </w:rPr>
              <w:t>Diagnostic Group</w:t>
            </w:r>
          </w:p>
        </w:tc>
        <w:tc>
          <w:tcPr>
            <w:tcW w:w="5047" w:type="dxa"/>
            <w:shd w:val="clear" w:color="auto" w:fill="auto"/>
            <w:noWrap/>
            <w:vAlign w:val="center"/>
            <w:hideMark/>
          </w:tcPr>
          <w:p w14:paraId="1EBF5466" w14:textId="77777777" w:rsidR="00D0120F" w:rsidRPr="00D0120F" w:rsidRDefault="00D0120F" w:rsidP="00D0120F">
            <w:pPr>
              <w:spacing w:after="0" w:line="240" w:lineRule="auto"/>
              <w:jc w:val="center"/>
              <w:rPr>
                <w:rFonts w:ascii="Times New Roman" w:eastAsia="Times New Roman" w:hAnsi="Times New Roman" w:cs="Times New Roman"/>
                <w:b/>
                <w:bCs/>
                <w:color w:val="000000"/>
                <w:sz w:val="24"/>
                <w:szCs w:val="24"/>
                <w:u w:val="single"/>
                <w:lang w:val="en-CA" w:eastAsia="en-CA"/>
              </w:rPr>
            </w:pPr>
            <w:r w:rsidRPr="00D0120F">
              <w:rPr>
                <w:rFonts w:ascii="Times New Roman" w:eastAsia="Times New Roman" w:hAnsi="Times New Roman" w:cs="Times New Roman"/>
                <w:b/>
                <w:bCs/>
                <w:color w:val="000000"/>
                <w:sz w:val="24"/>
                <w:szCs w:val="24"/>
                <w:u w:val="single"/>
                <w:lang w:val="en-CA" w:eastAsia="en-CA"/>
              </w:rPr>
              <w:t>Diagnostic Subgroup</w:t>
            </w:r>
          </w:p>
        </w:tc>
        <w:tc>
          <w:tcPr>
            <w:tcW w:w="1417" w:type="dxa"/>
            <w:shd w:val="clear" w:color="auto" w:fill="auto"/>
            <w:noWrap/>
            <w:vAlign w:val="center"/>
            <w:hideMark/>
          </w:tcPr>
          <w:p w14:paraId="27D7D05D" w14:textId="77777777" w:rsidR="00D0120F" w:rsidRPr="00D0120F" w:rsidRDefault="00D0120F" w:rsidP="00D0120F">
            <w:pPr>
              <w:spacing w:after="0" w:line="240" w:lineRule="auto"/>
              <w:jc w:val="center"/>
              <w:rPr>
                <w:rFonts w:ascii="Times New Roman" w:eastAsia="Times New Roman" w:hAnsi="Times New Roman" w:cs="Times New Roman"/>
                <w:b/>
                <w:bCs/>
                <w:color w:val="000000"/>
                <w:sz w:val="24"/>
                <w:szCs w:val="24"/>
                <w:u w:val="single"/>
                <w:lang w:val="en-CA" w:eastAsia="en-CA"/>
              </w:rPr>
            </w:pPr>
            <w:r w:rsidRPr="00D0120F">
              <w:rPr>
                <w:rFonts w:ascii="Times New Roman" w:eastAsia="Times New Roman" w:hAnsi="Times New Roman" w:cs="Times New Roman"/>
                <w:b/>
                <w:bCs/>
                <w:color w:val="000000"/>
                <w:sz w:val="24"/>
                <w:szCs w:val="24"/>
                <w:u w:val="single"/>
                <w:lang w:val="en-CA" w:eastAsia="en-CA"/>
              </w:rPr>
              <w:t>Number of Articles</w:t>
            </w:r>
          </w:p>
        </w:tc>
        <w:tc>
          <w:tcPr>
            <w:tcW w:w="1560" w:type="dxa"/>
            <w:shd w:val="clear" w:color="auto" w:fill="auto"/>
            <w:vAlign w:val="center"/>
            <w:hideMark/>
          </w:tcPr>
          <w:p w14:paraId="6D16F347" w14:textId="77777777" w:rsidR="00D0120F" w:rsidRPr="00D0120F" w:rsidRDefault="00D0120F" w:rsidP="00465758">
            <w:pPr>
              <w:spacing w:after="0" w:line="240" w:lineRule="auto"/>
              <w:ind w:left="-112"/>
              <w:jc w:val="center"/>
              <w:rPr>
                <w:rFonts w:ascii="Times New Roman" w:eastAsia="Times New Roman" w:hAnsi="Times New Roman" w:cs="Times New Roman"/>
                <w:b/>
                <w:bCs/>
                <w:color w:val="000000"/>
                <w:sz w:val="24"/>
                <w:szCs w:val="24"/>
                <w:u w:val="single"/>
                <w:lang w:val="en-CA" w:eastAsia="en-CA"/>
              </w:rPr>
            </w:pPr>
            <w:r w:rsidRPr="00D0120F">
              <w:rPr>
                <w:rFonts w:ascii="Times New Roman" w:eastAsia="Times New Roman" w:hAnsi="Times New Roman" w:cs="Times New Roman"/>
                <w:b/>
                <w:bCs/>
                <w:color w:val="000000"/>
                <w:sz w:val="24"/>
                <w:szCs w:val="24"/>
                <w:u w:val="single"/>
                <w:lang w:val="en-CA" w:eastAsia="en-CA"/>
              </w:rPr>
              <w:t>% (N = 465)</w:t>
            </w:r>
          </w:p>
        </w:tc>
      </w:tr>
      <w:tr w:rsidR="00D0120F" w:rsidRPr="00D0120F" w14:paraId="693E778E" w14:textId="77777777" w:rsidTr="005E2791">
        <w:trPr>
          <w:trHeight w:val="504"/>
        </w:trPr>
        <w:tc>
          <w:tcPr>
            <w:tcW w:w="1469" w:type="dxa"/>
            <w:vMerge w:val="restart"/>
            <w:shd w:val="clear" w:color="auto" w:fill="auto"/>
            <w:vAlign w:val="center"/>
            <w:hideMark/>
          </w:tcPr>
          <w:p w14:paraId="26ED35F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 xml:space="preserve">Cancer </w:t>
            </w:r>
            <w:r w:rsidR="00465758">
              <w:rPr>
                <w:rFonts w:ascii="Times New Roman" w:eastAsia="Times New Roman" w:hAnsi="Times New Roman" w:cs="Times New Roman"/>
                <w:color w:val="000000"/>
                <w:sz w:val="24"/>
                <w:szCs w:val="24"/>
                <w:lang w:val="en-CA" w:eastAsia="en-CA"/>
              </w:rPr>
              <w:t xml:space="preserve">      </w:t>
            </w:r>
            <w:r w:rsidRPr="00D0120F">
              <w:rPr>
                <w:rFonts w:ascii="Times New Roman" w:eastAsia="Times New Roman" w:hAnsi="Times New Roman" w:cs="Times New Roman"/>
                <w:color w:val="000000"/>
                <w:sz w:val="24"/>
                <w:szCs w:val="24"/>
                <w:lang w:val="en-CA" w:eastAsia="en-CA"/>
              </w:rPr>
              <w:t>(n = 65, 14%)</w:t>
            </w:r>
          </w:p>
        </w:tc>
        <w:tc>
          <w:tcPr>
            <w:tcW w:w="5047" w:type="dxa"/>
            <w:shd w:val="clear" w:color="auto" w:fill="auto"/>
            <w:noWrap/>
            <w:vAlign w:val="center"/>
            <w:hideMark/>
          </w:tcPr>
          <w:p w14:paraId="6C8E284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Head and Neck Cancer</w:t>
            </w:r>
          </w:p>
        </w:tc>
        <w:tc>
          <w:tcPr>
            <w:tcW w:w="1417" w:type="dxa"/>
            <w:shd w:val="clear" w:color="auto" w:fill="auto"/>
            <w:noWrap/>
            <w:vAlign w:val="center"/>
            <w:hideMark/>
          </w:tcPr>
          <w:p w14:paraId="04C1D53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62</w:t>
            </w:r>
          </w:p>
        </w:tc>
        <w:tc>
          <w:tcPr>
            <w:tcW w:w="1560" w:type="dxa"/>
            <w:shd w:val="clear" w:color="auto" w:fill="auto"/>
            <w:noWrap/>
            <w:vAlign w:val="center"/>
            <w:hideMark/>
          </w:tcPr>
          <w:p w14:paraId="2FFC5AE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13%</w:t>
            </w:r>
          </w:p>
        </w:tc>
      </w:tr>
      <w:tr w:rsidR="00D0120F" w:rsidRPr="00D0120F" w14:paraId="5F2B7CA8" w14:textId="77777777" w:rsidTr="005E2791">
        <w:trPr>
          <w:trHeight w:val="504"/>
        </w:trPr>
        <w:tc>
          <w:tcPr>
            <w:tcW w:w="1469" w:type="dxa"/>
            <w:vMerge/>
            <w:vAlign w:val="center"/>
            <w:hideMark/>
          </w:tcPr>
          <w:p w14:paraId="144A5D2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0D073F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Esophageal Cancer</w:t>
            </w:r>
          </w:p>
        </w:tc>
        <w:tc>
          <w:tcPr>
            <w:tcW w:w="1417" w:type="dxa"/>
            <w:shd w:val="clear" w:color="auto" w:fill="auto"/>
            <w:noWrap/>
            <w:vAlign w:val="center"/>
            <w:hideMark/>
          </w:tcPr>
          <w:p w14:paraId="5FCD5EC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c>
          <w:tcPr>
            <w:tcW w:w="1560" w:type="dxa"/>
            <w:shd w:val="clear" w:color="auto" w:fill="auto"/>
            <w:noWrap/>
            <w:vAlign w:val="center"/>
            <w:hideMark/>
          </w:tcPr>
          <w:p w14:paraId="7F1EDEF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5F7C88F9" w14:textId="77777777" w:rsidTr="005E2791">
        <w:trPr>
          <w:trHeight w:val="504"/>
        </w:trPr>
        <w:tc>
          <w:tcPr>
            <w:tcW w:w="1469" w:type="dxa"/>
            <w:vMerge w:val="restart"/>
            <w:shd w:val="clear" w:color="auto" w:fill="auto"/>
            <w:vAlign w:val="center"/>
            <w:hideMark/>
          </w:tcPr>
          <w:p w14:paraId="35EE62F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Neurological Diagnoses (n = 130, 28%)</w:t>
            </w:r>
          </w:p>
        </w:tc>
        <w:tc>
          <w:tcPr>
            <w:tcW w:w="5047" w:type="dxa"/>
            <w:shd w:val="clear" w:color="auto" w:fill="auto"/>
            <w:noWrap/>
            <w:vAlign w:val="center"/>
            <w:hideMark/>
          </w:tcPr>
          <w:p w14:paraId="3FBC0D82" w14:textId="2CB104CF"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3A52FE43">
              <w:rPr>
                <w:rFonts w:ascii="Times New Roman" w:eastAsia="Times New Roman" w:hAnsi="Times New Roman" w:cs="Times New Roman"/>
                <w:color w:val="000000" w:themeColor="text1"/>
                <w:sz w:val="24"/>
                <w:szCs w:val="24"/>
                <w:lang w:val="en-CA" w:eastAsia="en-CA"/>
              </w:rPr>
              <w:t>Amyotrop</w:t>
            </w:r>
            <w:r w:rsidR="507BC83D" w:rsidRPr="3A52FE43">
              <w:rPr>
                <w:rFonts w:ascii="Times New Roman" w:eastAsia="Times New Roman" w:hAnsi="Times New Roman" w:cs="Times New Roman"/>
                <w:color w:val="000000" w:themeColor="text1"/>
                <w:sz w:val="24"/>
                <w:szCs w:val="24"/>
                <w:lang w:val="en-CA" w:eastAsia="en-CA"/>
              </w:rPr>
              <w:t>h</w:t>
            </w:r>
            <w:r w:rsidRPr="3A52FE43">
              <w:rPr>
                <w:rFonts w:ascii="Times New Roman" w:eastAsia="Times New Roman" w:hAnsi="Times New Roman" w:cs="Times New Roman"/>
                <w:color w:val="000000" w:themeColor="text1"/>
                <w:sz w:val="24"/>
                <w:szCs w:val="24"/>
                <w:lang w:val="en-CA" w:eastAsia="en-CA"/>
              </w:rPr>
              <w:t>ic Lateral Sclerosis</w:t>
            </w:r>
          </w:p>
        </w:tc>
        <w:tc>
          <w:tcPr>
            <w:tcW w:w="1417" w:type="dxa"/>
            <w:shd w:val="clear" w:color="auto" w:fill="auto"/>
            <w:noWrap/>
            <w:vAlign w:val="center"/>
            <w:hideMark/>
          </w:tcPr>
          <w:p w14:paraId="4E1E336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14</w:t>
            </w:r>
          </w:p>
        </w:tc>
        <w:tc>
          <w:tcPr>
            <w:tcW w:w="1560" w:type="dxa"/>
            <w:shd w:val="clear" w:color="auto" w:fill="auto"/>
            <w:noWrap/>
            <w:vAlign w:val="center"/>
            <w:hideMark/>
          </w:tcPr>
          <w:p w14:paraId="5D231CA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r>
      <w:tr w:rsidR="00D0120F" w:rsidRPr="00D0120F" w14:paraId="4C53A0BB" w14:textId="77777777" w:rsidTr="005E2791">
        <w:trPr>
          <w:trHeight w:val="504"/>
        </w:trPr>
        <w:tc>
          <w:tcPr>
            <w:tcW w:w="1469" w:type="dxa"/>
            <w:vMerge/>
            <w:vAlign w:val="center"/>
            <w:hideMark/>
          </w:tcPr>
          <w:p w14:paraId="738610EB"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02B780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Ataxia</w:t>
            </w:r>
          </w:p>
        </w:tc>
        <w:tc>
          <w:tcPr>
            <w:tcW w:w="1417" w:type="dxa"/>
            <w:shd w:val="clear" w:color="auto" w:fill="auto"/>
            <w:noWrap/>
            <w:vAlign w:val="center"/>
            <w:hideMark/>
          </w:tcPr>
          <w:p w14:paraId="78941E4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5</w:t>
            </w:r>
          </w:p>
        </w:tc>
        <w:tc>
          <w:tcPr>
            <w:tcW w:w="1560" w:type="dxa"/>
            <w:shd w:val="clear" w:color="auto" w:fill="auto"/>
            <w:noWrap/>
            <w:vAlign w:val="center"/>
            <w:hideMark/>
          </w:tcPr>
          <w:p w14:paraId="7869AC2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43DE974B" w14:textId="77777777" w:rsidTr="005E2791">
        <w:trPr>
          <w:trHeight w:val="504"/>
        </w:trPr>
        <w:tc>
          <w:tcPr>
            <w:tcW w:w="1469" w:type="dxa"/>
            <w:vMerge/>
            <w:vAlign w:val="center"/>
            <w:hideMark/>
          </w:tcPr>
          <w:p w14:paraId="637805D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70AC6E2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Brain Tumor</w:t>
            </w:r>
          </w:p>
        </w:tc>
        <w:tc>
          <w:tcPr>
            <w:tcW w:w="1417" w:type="dxa"/>
            <w:shd w:val="clear" w:color="auto" w:fill="auto"/>
            <w:noWrap/>
            <w:vAlign w:val="center"/>
            <w:hideMark/>
          </w:tcPr>
          <w:p w14:paraId="649841BE"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22DE6FC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668AD80D" w14:textId="77777777" w:rsidTr="005E2791">
        <w:trPr>
          <w:trHeight w:val="504"/>
        </w:trPr>
        <w:tc>
          <w:tcPr>
            <w:tcW w:w="1469" w:type="dxa"/>
            <w:vMerge/>
            <w:vAlign w:val="center"/>
            <w:hideMark/>
          </w:tcPr>
          <w:p w14:paraId="463F29E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C85132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Chronic Progressive External Ophthalmoplegia</w:t>
            </w:r>
          </w:p>
        </w:tc>
        <w:tc>
          <w:tcPr>
            <w:tcW w:w="1417" w:type="dxa"/>
            <w:shd w:val="clear" w:color="auto" w:fill="auto"/>
            <w:noWrap/>
            <w:vAlign w:val="center"/>
            <w:hideMark/>
          </w:tcPr>
          <w:p w14:paraId="56B20A0C"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1148728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0B26555E" w14:textId="77777777" w:rsidTr="005E2791">
        <w:trPr>
          <w:trHeight w:val="504"/>
        </w:trPr>
        <w:tc>
          <w:tcPr>
            <w:tcW w:w="1469" w:type="dxa"/>
            <w:vMerge/>
            <w:vAlign w:val="center"/>
            <w:hideMark/>
          </w:tcPr>
          <w:p w14:paraId="3B7B4B8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CA40FD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Dementia</w:t>
            </w:r>
          </w:p>
        </w:tc>
        <w:tc>
          <w:tcPr>
            <w:tcW w:w="1417" w:type="dxa"/>
            <w:shd w:val="clear" w:color="auto" w:fill="auto"/>
            <w:noWrap/>
            <w:vAlign w:val="center"/>
            <w:hideMark/>
          </w:tcPr>
          <w:p w14:paraId="18F999B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2B3B91F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68510B97" w14:textId="77777777" w:rsidTr="005E2791">
        <w:trPr>
          <w:trHeight w:val="504"/>
        </w:trPr>
        <w:tc>
          <w:tcPr>
            <w:tcW w:w="1469" w:type="dxa"/>
            <w:vMerge/>
            <w:vAlign w:val="center"/>
            <w:hideMark/>
          </w:tcPr>
          <w:p w14:paraId="3A0FF5F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F48159E"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Inclusion Body Myositis</w:t>
            </w:r>
          </w:p>
        </w:tc>
        <w:tc>
          <w:tcPr>
            <w:tcW w:w="1417" w:type="dxa"/>
            <w:shd w:val="clear" w:color="auto" w:fill="auto"/>
            <w:noWrap/>
            <w:vAlign w:val="center"/>
            <w:hideMark/>
          </w:tcPr>
          <w:p w14:paraId="249FAAB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20115D2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6EEFE193" w14:textId="77777777" w:rsidTr="005E2791">
        <w:trPr>
          <w:trHeight w:val="504"/>
        </w:trPr>
        <w:tc>
          <w:tcPr>
            <w:tcW w:w="1469" w:type="dxa"/>
            <w:vMerge/>
            <w:vAlign w:val="center"/>
            <w:hideMark/>
          </w:tcPr>
          <w:p w14:paraId="5630AD6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708D05F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Inflammatory myopathies</w:t>
            </w:r>
          </w:p>
        </w:tc>
        <w:tc>
          <w:tcPr>
            <w:tcW w:w="1417" w:type="dxa"/>
            <w:shd w:val="clear" w:color="auto" w:fill="auto"/>
            <w:noWrap/>
            <w:vAlign w:val="center"/>
            <w:hideMark/>
          </w:tcPr>
          <w:p w14:paraId="19F14E3C"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7485909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3AC22E46" w14:textId="77777777" w:rsidTr="005E2791">
        <w:trPr>
          <w:trHeight w:val="504"/>
        </w:trPr>
        <w:tc>
          <w:tcPr>
            <w:tcW w:w="1469" w:type="dxa"/>
            <w:vMerge/>
            <w:vAlign w:val="center"/>
            <w:hideMark/>
          </w:tcPr>
          <w:p w14:paraId="6182907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7DCCE5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 xml:space="preserve">Multiple Sclerosis </w:t>
            </w:r>
          </w:p>
        </w:tc>
        <w:tc>
          <w:tcPr>
            <w:tcW w:w="1417" w:type="dxa"/>
            <w:shd w:val="clear" w:color="auto" w:fill="auto"/>
            <w:noWrap/>
            <w:vAlign w:val="center"/>
            <w:hideMark/>
          </w:tcPr>
          <w:p w14:paraId="065D241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4EF93AD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223430B7" w14:textId="77777777" w:rsidTr="005E2791">
        <w:trPr>
          <w:trHeight w:val="504"/>
        </w:trPr>
        <w:tc>
          <w:tcPr>
            <w:tcW w:w="1469" w:type="dxa"/>
            <w:vMerge/>
            <w:vAlign w:val="center"/>
            <w:hideMark/>
          </w:tcPr>
          <w:p w14:paraId="2BA226A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B13941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Multiple System Atrophy</w:t>
            </w:r>
          </w:p>
        </w:tc>
        <w:tc>
          <w:tcPr>
            <w:tcW w:w="1417" w:type="dxa"/>
            <w:shd w:val="clear" w:color="auto" w:fill="auto"/>
            <w:noWrap/>
            <w:vAlign w:val="center"/>
            <w:hideMark/>
          </w:tcPr>
          <w:p w14:paraId="7144751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4F27E21F"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21279238" w14:textId="77777777" w:rsidTr="005E2791">
        <w:trPr>
          <w:trHeight w:val="504"/>
        </w:trPr>
        <w:tc>
          <w:tcPr>
            <w:tcW w:w="1469" w:type="dxa"/>
            <w:vMerge/>
            <w:vAlign w:val="center"/>
            <w:hideMark/>
          </w:tcPr>
          <w:p w14:paraId="17AD93B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F77896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Muscular Dystrophy</w:t>
            </w:r>
          </w:p>
        </w:tc>
        <w:tc>
          <w:tcPr>
            <w:tcW w:w="1417" w:type="dxa"/>
            <w:shd w:val="clear" w:color="auto" w:fill="auto"/>
            <w:noWrap/>
            <w:vAlign w:val="center"/>
            <w:hideMark/>
          </w:tcPr>
          <w:p w14:paraId="78E884C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30BFA62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20F64FEC" w14:textId="77777777" w:rsidTr="005E2791">
        <w:trPr>
          <w:trHeight w:val="504"/>
        </w:trPr>
        <w:tc>
          <w:tcPr>
            <w:tcW w:w="1469" w:type="dxa"/>
            <w:vMerge/>
            <w:vAlign w:val="center"/>
            <w:hideMark/>
          </w:tcPr>
          <w:p w14:paraId="0DE4B5B7"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9CFC1A4"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Myasthenia Gravis</w:t>
            </w:r>
          </w:p>
        </w:tc>
        <w:tc>
          <w:tcPr>
            <w:tcW w:w="1417" w:type="dxa"/>
            <w:shd w:val="clear" w:color="auto" w:fill="auto"/>
            <w:noWrap/>
            <w:vAlign w:val="center"/>
            <w:hideMark/>
          </w:tcPr>
          <w:p w14:paraId="2E32D52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24822C5E"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1AF71CD9" w14:textId="77777777" w:rsidTr="005E2791">
        <w:trPr>
          <w:trHeight w:val="504"/>
        </w:trPr>
        <w:tc>
          <w:tcPr>
            <w:tcW w:w="1469" w:type="dxa"/>
            <w:vMerge/>
            <w:vAlign w:val="center"/>
            <w:hideMark/>
          </w:tcPr>
          <w:p w14:paraId="66204FF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18C0B550"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Myositis</w:t>
            </w:r>
          </w:p>
        </w:tc>
        <w:tc>
          <w:tcPr>
            <w:tcW w:w="1417" w:type="dxa"/>
            <w:shd w:val="clear" w:color="auto" w:fill="auto"/>
            <w:noWrap/>
            <w:vAlign w:val="center"/>
            <w:hideMark/>
          </w:tcPr>
          <w:p w14:paraId="0C50080F"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4400807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497B2BD2" w14:textId="77777777" w:rsidTr="005E2791">
        <w:trPr>
          <w:trHeight w:val="504"/>
        </w:trPr>
        <w:tc>
          <w:tcPr>
            <w:tcW w:w="1469" w:type="dxa"/>
            <w:vMerge/>
            <w:vAlign w:val="center"/>
            <w:hideMark/>
          </w:tcPr>
          <w:p w14:paraId="2DBF0D7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1CF8C10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Myotonic Dystrophy Type 1</w:t>
            </w:r>
          </w:p>
        </w:tc>
        <w:tc>
          <w:tcPr>
            <w:tcW w:w="1417" w:type="dxa"/>
            <w:shd w:val="clear" w:color="auto" w:fill="auto"/>
            <w:noWrap/>
            <w:vAlign w:val="center"/>
            <w:hideMark/>
          </w:tcPr>
          <w:p w14:paraId="0B77815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c>
          <w:tcPr>
            <w:tcW w:w="1560" w:type="dxa"/>
            <w:shd w:val="clear" w:color="auto" w:fill="auto"/>
            <w:noWrap/>
            <w:vAlign w:val="center"/>
            <w:hideMark/>
          </w:tcPr>
          <w:p w14:paraId="649EB67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13F92C56" w14:textId="77777777" w:rsidTr="005E2791">
        <w:trPr>
          <w:trHeight w:val="504"/>
        </w:trPr>
        <w:tc>
          <w:tcPr>
            <w:tcW w:w="1469" w:type="dxa"/>
            <w:vMerge/>
            <w:vAlign w:val="center"/>
            <w:hideMark/>
          </w:tcPr>
          <w:p w14:paraId="6B62F1B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4E8E9ED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Neuromuscular Diseases</w:t>
            </w:r>
          </w:p>
        </w:tc>
        <w:tc>
          <w:tcPr>
            <w:tcW w:w="1417" w:type="dxa"/>
            <w:shd w:val="clear" w:color="auto" w:fill="auto"/>
            <w:noWrap/>
            <w:vAlign w:val="center"/>
            <w:hideMark/>
          </w:tcPr>
          <w:p w14:paraId="050B3AD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0BD5F0A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1E9F7584" w14:textId="77777777" w:rsidTr="005E2791">
        <w:trPr>
          <w:trHeight w:val="504"/>
        </w:trPr>
        <w:tc>
          <w:tcPr>
            <w:tcW w:w="1469" w:type="dxa"/>
            <w:vMerge/>
            <w:vAlign w:val="center"/>
            <w:hideMark/>
          </w:tcPr>
          <w:p w14:paraId="02F2C34E"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692E57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Niemann-Pick Disease Type C</w:t>
            </w:r>
          </w:p>
        </w:tc>
        <w:tc>
          <w:tcPr>
            <w:tcW w:w="1417" w:type="dxa"/>
            <w:shd w:val="clear" w:color="auto" w:fill="auto"/>
            <w:noWrap/>
            <w:vAlign w:val="center"/>
            <w:hideMark/>
          </w:tcPr>
          <w:p w14:paraId="6B965A4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0BB02F8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7BD32A2E" w14:textId="77777777" w:rsidTr="005E2791">
        <w:trPr>
          <w:trHeight w:val="504"/>
        </w:trPr>
        <w:tc>
          <w:tcPr>
            <w:tcW w:w="1469" w:type="dxa"/>
            <w:vMerge/>
            <w:vAlign w:val="center"/>
            <w:hideMark/>
          </w:tcPr>
          <w:p w14:paraId="680A4E5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F52696A"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Oculopharyngeal Muscular Dystrophy</w:t>
            </w:r>
          </w:p>
        </w:tc>
        <w:tc>
          <w:tcPr>
            <w:tcW w:w="1417" w:type="dxa"/>
            <w:shd w:val="clear" w:color="auto" w:fill="auto"/>
            <w:noWrap/>
            <w:vAlign w:val="center"/>
            <w:hideMark/>
          </w:tcPr>
          <w:p w14:paraId="7842F59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25DA9E2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3E10F23D" w14:textId="77777777" w:rsidTr="005E2791">
        <w:trPr>
          <w:trHeight w:val="504"/>
        </w:trPr>
        <w:tc>
          <w:tcPr>
            <w:tcW w:w="1469" w:type="dxa"/>
            <w:vMerge/>
            <w:vAlign w:val="center"/>
            <w:hideMark/>
          </w:tcPr>
          <w:p w14:paraId="1921983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1057E1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Parkinson Disease</w:t>
            </w:r>
          </w:p>
        </w:tc>
        <w:tc>
          <w:tcPr>
            <w:tcW w:w="1417" w:type="dxa"/>
            <w:shd w:val="clear" w:color="auto" w:fill="auto"/>
            <w:noWrap/>
            <w:vAlign w:val="center"/>
            <w:hideMark/>
          </w:tcPr>
          <w:p w14:paraId="4B34824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29</w:t>
            </w:r>
          </w:p>
        </w:tc>
        <w:tc>
          <w:tcPr>
            <w:tcW w:w="1560" w:type="dxa"/>
            <w:shd w:val="clear" w:color="auto" w:fill="auto"/>
            <w:noWrap/>
            <w:vAlign w:val="center"/>
            <w:hideMark/>
          </w:tcPr>
          <w:p w14:paraId="31E91FA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6%</w:t>
            </w:r>
          </w:p>
        </w:tc>
      </w:tr>
      <w:tr w:rsidR="00D0120F" w:rsidRPr="00D0120F" w14:paraId="424C371A" w14:textId="77777777" w:rsidTr="005E2791">
        <w:trPr>
          <w:trHeight w:val="504"/>
        </w:trPr>
        <w:tc>
          <w:tcPr>
            <w:tcW w:w="1469" w:type="dxa"/>
            <w:vMerge/>
            <w:vAlign w:val="center"/>
            <w:hideMark/>
          </w:tcPr>
          <w:p w14:paraId="296FEF7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ECC18B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Progressive Supranuclear Palsy</w:t>
            </w:r>
          </w:p>
        </w:tc>
        <w:tc>
          <w:tcPr>
            <w:tcW w:w="1417" w:type="dxa"/>
            <w:shd w:val="clear" w:color="auto" w:fill="auto"/>
            <w:noWrap/>
            <w:vAlign w:val="center"/>
            <w:hideMark/>
          </w:tcPr>
          <w:p w14:paraId="2CC21B9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4870F8D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4E2900F5" w14:textId="77777777" w:rsidTr="005E2791">
        <w:trPr>
          <w:trHeight w:val="504"/>
        </w:trPr>
        <w:tc>
          <w:tcPr>
            <w:tcW w:w="1469" w:type="dxa"/>
            <w:vMerge/>
            <w:vAlign w:val="center"/>
            <w:hideMark/>
          </w:tcPr>
          <w:p w14:paraId="7194DBD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3AF3D7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Rett Syndrome</w:t>
            </w:r>
          </w:p>
        </w:tc>
        <w:tc>
          <w:tcPr>
            <w:tcW w:w="1417" w:type="dxa"/>
            <w:shd w:val="clear" w:color="auto" w:fill="auto"/>
            <w:noWrap/>
            <w:vAlign w:val="center"/>
            <w:hideMark/>
          </w:tcPr>
          <w:p w14:paraId="138328F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0A42F4D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5936711F" w14:textId="77777777" w:rsidTr="005E2791">
        <w:trPr>
          <w:trHeight w:val="504"/>
        </w:trPr>
        <w:tc>
          <w:tcPr>
            <w:tcW w:w="1469" w:type="dxa"/>
            <w:vMerge/>
            <w:vAlign w:val="center"/>
            <w:hideMark/>
          </w:tcPr>
          <w:p w14:paraId="769D0D3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4DAB35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Spastic Cerebral Palsy</w:t>
            </w:r>
          </w:p>
        </w:tc>
        <w:tc>
          <w:tcPr>
            <w:tcW w:w="1417" w:type="dxa"/>
            <w:shd w:val="clear" w:color="auto" w:fill="auto"/>
            <w:noWrap/>
            <w:vAlign w:val="center"/>
            <w:hideMark/>
          </w:tcPr>
          <w:p w14:paraId="54B6C89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0906D7E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321C0E9C" w14:textId="77777777" w:rsidTr="005E2791">
        <w:trPr>
          <w:trHeight w:val="504"/>
        </w:trPr>
        <w:tc>
          <w:tcPr>
            <w:tcW w:w="1469" w:type="dxa"/>
            <w:vMerge/>
            <w:vAlign w:val="center"/>
            <w:hideMark/>
          </w:tcPr>
          <w:p w14:paraId="54CD245A"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474B0F17"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Spinal and Bulbar Atrophy</w:t>
            </w:r>
          </w:p>
        </w:tc>
        <w:tc>
          <w:tcPr>
            <w:tcW w:w="1417" w:type="dxa"/>
            <w:shd w:val="clear" w:color="auto" w:fill="auto"/>
            <w:noWrap/>
            <w:vAlign w:val="center"/>
            <w:hideMark/>
          </w:tcPr>
          <w:p w14:paraId="511F3AB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78958CAF"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316EEB8B" w14:textId="77777777" w:rsidTr="005E2791">
        <w:trPr>
          <w:trHeight w:val="504"/>
        </w:trPr>
        <w:tc>
          <w:tcPr>
            <w:tcW w:w="1469" w:type="dxa"/>
            <w:vMerge/>
            <w:vAlign w:val="center"/>
            <w:hideMark/>
          </w:tcPr>
          <w:p w14:paraId="1231BE67"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77D908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Stroke</w:t>
            </w:r>
          </w:p>
        </w:tc>
        <w:tc>
          <w:tcPr>
            <w:tcW w:w="1417" w:type="dxa"/>
            <w:shd w:val="clear" w:color="auto" w:fill="auto"/>
            <w:noWrap/>
            <w:vAlign w:val="center"/>
            <w:hideMark/>
          </w:tcPr>
          <w:p w14:paraId="6089FD3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48</w:t>
            </w:r>
          </w:p>
        </w:tc>
        <w:tc>
          <w:tcPr>
            <w:tcW w:w="1560" w:type="dxa"/>
            <w:shd w:val="clear" w:color="auto" w:fill="auto"/>
            <w:noWrap/>
            <w:vAlign w:val="center"/>
            <w:hideMark/>
          </w:tcPr>
          <w:p w14:paraId="434B6B2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10%</w:t>
            </w:r>
          </w:p>
        </w:tc>
      </w:tr>
      <w:tr w:rsidR="00D0120F" w:rsidRPr="00D0120F" w14:paraId="26C80C5A" w14:textId="77777777" w:rsidTr="005E2791">
        <w:trPr>
          <w:trHeight w:val="504"/>
        </w:trPr>
        <w:tc>
          <w:tcPr>
            <w:tcW w:w="1469" w:type="dxa"/>
            <w:vMerge/>
            <w:vAlign w:val="center"/>
            <w:hideMark/>
          </w:tcPr>
          <w:p w14:paraId="36FEB5B0"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33DE1F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Traumatic Brain Injury</w:t>
            </w:r>
          </w:p>
        </w:tc>
        <w:tc>
          <w:tcPr>
            <w:tcW w:w="1417" w:type="dxa"/>
            <w:shd w:val="clear" w:color="auto" w:fill="auto"/>
            <w:noWrap/>
            <w:vAlign w:val="center"/>
            <w:hideMark/>
          </w:tcPr>
          <w:p w14:paraId="3950705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73D2BEF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7B3F27AF" w14:textId="77777777" w:rsidTr="005E2791">
        <w:trPr>
          <w:trHeight w:val="504"/>
        </w:trPr>
        <w:tc>
          <w:tcPr>
            <w:tcW w:w="1469" w:type="dxa"/>
            <w:vMerge/>
            <w:vAlign w:val="center"/>
            <w:hideMark/>
          </w:tcPr>
          <w:p w14:paraId="30D7AA6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7A400C0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Various Neurological Conditions</w:t>
            </w:r>
          </w:p>
        </w:tc>
        <w:tc>
          <w:tcPr>
            <w:tcW w:w="1417" w:type="dxa"/>
            <w:shd w:val="clear" w:color="auto" w:fill="auto"/>
            <w:noWrap/>
            <w:vAlign w:val="center"/>
            <w:hideMark/>
          </w:tcPr>
          <w:p w14:paraId="4737E36C"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11</w:t>
            </w:r>
          </w:p>
        </w:tc>
        <w:tc>
          <w:tcPr>
            <w:tcW w:w="1560" w:type="dxa"/>
            <w:shd w:val="clear" w:color="auto" w:fill="auto"/>
            <w:noWrap/>
            <w:vAlign w:val="center"/>
            <w:hideMark/>
          </w:tcPr>
          <w:p w14:paraId="02D1A0E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r>
      <w:tr w:rsidR="00D0120F" w:rsidRPr="00D0120F" w14:paraId="6E613831" w14:textId="77777777" w:rsidTr="005E2791">
        <w:trPr>
          <w:trHeight w:val="504"/>
        </w:trPr>
        <w:tc>
          <w:tcPr>
            <w:tcW w:w="1469" w:type="dxa"/>
            <w:vMerge w:val="restart"/>
            <w:shd w:val="clear" w:color="auto" w:fill="auto"/>
            <w:vAlign w:val="center"/>
            <w:hideMark/>
          </w:tcPr>
          <w:p w14:paraId="61E9CEE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Respiratory Conditions (n = 22, 5%)</w:t>
            </w:r>
          </w:p>
        </w:tc>
        <w:tc>
          <w:tcPr>
            <w:tcW w:w="5047" w:type="dxa"/>
            <w:shd w:val="clear" w:color="auto" w:fill="auto"/>
            <w:noWrap/>
            <w:vAlign w:val="center"/>
            <w:hideMark/>
          </w:tcPr>
          <w:p w14:paraId="28D3192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Acute Respiratory Failure</w:t>
            </w:r>
          </w:p>
        </w:tc>
        <w:tc>
          <w:tcPr>
            <w:tcW w:w="1417" w:type="dxa"/>
            <w:shd w:val="clear" w:color="auto" w:fill="auto"/>
            <w:noWrap/>
            <w:vAlign w:val="center"/>
            <w:hideMark/>
          </w:tcPr>
          <w:p w14:paraId="58A8CB7E"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585D380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04857BD0" w14:textId="77777777" w:rsidTr="005E2791">
        <w:trPr>
          <w:trHeight w:val="504"/>
        </w:trPr>
        <w:tc>
          <w:tcPr>
            <w:tcW w:w="1469" w:type="dxa"/>
            <w:vMerge/>
            <w:vAlign w:val="center"/>
            <w:hideMark/>
          </w:tcPr>
          <w:p w14:paraId="7196D064"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73FF44F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Asthma</w:t>
            </w:r>
          </w:p>
        </w:tc>
        <w:tc>
          <w:tcPr>
            <w:tcW w:w="1417" w:type="dxa"/>
            <w:shd w:val="clear" w:color="auto" w:fill="auto"/>
            <w:noWrap/>
            <w:vAlign w:val="center"/>
            <w:hideMark/>
          </w:tcPr>
          <w:p w14:paraId="0295336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0932359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0F8848D1" w14:textId="77777777" w:rsidTr="005E2791">
        <w:trPr>
          <w:trHeight w:val="504"/>
        </w:trPr>
        <w:tc>
          <w:tcPr>
            <w:tcW w:w="1469" w:type="dxa"/>
            <w:vMerge/>
            <w:vAlign w:val="center"/>
            <w:hideMark/>
          </w:tcPr>
          <w:p w14:paraId="34FF1C9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E9E159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COPD</w:t>
            </w:r>
          </w:p>
        </w:tc>
        <w:tc>
          <w:tcPr>
            <w:tcW w:w="1417" w:type="dxa"/>
            <w:shd w:val="clear" w:color="auto" w:fill="auto"/>
            <w:noWrap/>
            <w:vAlign w:val="center"/>
            <w:hideMark/>
          </w:tcPr>
          <w:p w14:paraId="44B0A20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8</w:t>
            </w:r>
          </w:p>
        </w:tc>
        <w:tc>
          <w:tcPr>
            <w:tcW w:w="1560" w:type="dxa"/>
            <w:shd w:val="clear" w:color="auto" w:fill="auto"/>
            <w:noWrap/>
            <w:vAlign w:val="center"/>
            <w:hideMark/>
          </w:tcPr>
          <w:p w14:paraId="68DBD0C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r>
      <w:tr w:rsidR="00D0120F" w:rsidRPr="00D0120F" w14:paraId="1BFC6820" w14:textId="77777777" w:rsidTr="005E2791">
        <w:trPr>
          <w:trHeight w:val="504"/>
        </w:trPr>
        <w:tc>
          <w:tcPr>
            <w:tcW w:w="1469" w:type="dxa"/>
            <w:vMerge/>
            <w:vAlign w:val="center"/>
            <w:hideMark/>
          </w:tcPr>
          <w:p w14:paraId="6D072C0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E5A6E6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COVID-19</w:t>
            </w:r>
          </w:p>
        </w:tc>
        <w:tc>
          <w:tcPr>
            <w:tcW w:w="1417" w:type="dxa"/>
            <w:shd w:val="clear" w:color="auto" w:fill="auto"/>
            <w:noWrap/>
            <w:vAlign w:val="center"/>
            <w:hideMark/>
          </w:tcPr>
          <w:p w14:paraId="7A036E3D"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c>
          <w:tcPr>
            <w:tcW w:w="1560" w:type="dxa"/>
            <w:shd w:val="clear" w:color="auto" w:fill="auto"/>
            <w:noWrap/>
            <w:vAlign w:val="center"/>
            <w:hideMark/>
          </w:tcPr>
          <w:p w14:paraId="15B002AF"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7F04FC89" w14:textId="77777777" w:rsidTr="005E2791">
        <w:trPr>
          <w:trHeight w:val="504"/>
        </w:trPr>
        <w:tc>
          <w:tcPr>
            <w:tcW w:w="1469" w:type="dxa"/>
            <w:vMerge/>
            <w:vAlign w:val="center"/>
            <w:hideMark/>
          </w:tcPr>
          <w:p w14:paraId="48A2191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92BA6C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Obstructive Sleep Apnea</w:t>
            </w:r>
          </w:p>
        </w:tc>
        <w:tc>
          <w:tcPr>
            <w:tcW w:w="1417" w:type="dxa"/>
            <w:shd w:val="clear" w:color="auto" w:fill="auto"/>
            <w:noWrap/>
            <w:vAlign w:val="center"/>
            <w:hideMark/>
          </w:tcPr>
          <w:p w14:paraId="0385369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8</w:t>
            </w:r>
          </w:p>
        </w:tc>
        <w:tc>
          <w:tcPr>
            <w:tcW w:w="1560" w:type="dxa"/>
            <w:shd w:val="clear" w:color="auto" w:fill="auto"/>
            <w:noWrap/>
            <w:vAlign w:val="center"/>
            <w:hideMark/>
          </w:tcPr>
          <w:p w14:paraId="1D85763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r>
      <w:tr w:rsidR="00D0120F" w:rsidRPr="00D0120F" w14:paraId="5A24F52F" w14:textId="77777777" w:rsidTr="005E2791">
        <w:trPr>
          <w:trHeight w:val="504"/>
        </w:trPr>
        <w:tc>
          <w:tcPr>
            <w:tcW w:w="1469" w:type="dxa"/>
            <w:vMerge w:val="restart"/>
            <w:shd w:val="clear" w:color="auto" w:fill="auto"/>
            <w:vAlign w:val="center"/>
            <w:hideMark/>
          </w:tcPr>
          <w:p w14:paraId="42111D6B" w14:textId="77777777" w:rsidR="00D0120F" w:rsidRPr="00D0120F" w:rsidRDefault="00D0120F" w:rsidP="00465758">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Other Diagnoses (</w:t>
            </w:r>
            <w:r w:rsidR="00465758">
              <w:rPr>
                <w:rFonts w:ascii="Times New Roman" w:eastAsia="Times New Roman" w:hAnsi="Times New Roman" w:cs="Times New Roman"/>
                <w:color w:val="000000"/>
                <w:sz w:val="24"/>
                <w:szCs w:val="24"/>
                <w:lang w:val="en-CA" w:eastAsia="en-CA"/>
              </w:rPr>
              <w:t>n</w:t>
            </w:r>
            <w:r w:rsidRPr="00D0120F">
              <w:rPr>
                <w:rFonts w:ascii="Times New Roman" w:eastAsia="Times New Roman" w:hAnsi="Times New Roman" w:cs="Times New Roman"/>
                <w:color w:val="000000"/>
                <w:sz w:val="24"/>
                <w:szCs w:val="24"/>
                <w:lang w:val="en-CA" w:eastAsia="en-CA"/>
              </w:rPr>
              <w:t xml:space="preserve"> = 111, 24%)</w:t>
            </w:r>
          </w:p>
        </w:tc>
        <w:tc>
          <w:tcPr>
            <w:tcW w:w="5047" w:type="dxa"/>
            <w:shd w:val="clear" w:color="auto" w:fill="auto"/>
            <w:noWrap/>
            <w:vAlign w:val="center"/>
            <w:hideMark/>
          </w:tcPr>
          <w:p w14:paraId="1BF603A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Achalasia</w:t>
            </w:r>
          </w:p>
        </w:tc>
        <w:tc>
          <w:tcPr>
            <w:tcW w:w="1417" w:type="dxa"/>
            <w:shd w:val="clear" w:color="auto" w:fill="auto"/>
            <w:noWrap/>
            <w:vAlign w:val="center"/>
            <w:hideMark/>
          </w:tcPr>
          <w:p w14:paraId="71CBABF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02F50DED"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0B6A1ACD" w14:textId="77777777" w:rsidTr="005E2791">
        <w:trPr>
          <w:trHeight w:val="504"/>
        </w:trPr>
        <w:tc>
          <w:tcPr>
            <w:tcW w:w="1469" w:type="dxa"/>
            <w:vMerge/>
            <w:vAlign w:val="center"/>
            <w:hideMark/>
          </w:tcPr>
          <w:p w14:paraId="6BD18F9B"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490CCA6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Anorexia nervosa</w:t>
            </w:r>
          </w:p>
        </w:tc>
        <w:tc>
          <w:tcPr>
            <w:tcW w:w="1417" w:type="dxa"/>
            <w:shd w:val="clear" w:color="auto" w:fill="auto"/>
            <w:noWrap/>
            <w:vAlign w:val="center"/>
            <w:hideMark/>
          </w:tcPr>
          <w:p w14:paraId="6EA80843"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5541E46C"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6A1B8BD4" w14:textId="77777777" w:rsidTr="005E2791">
        <w:trPr>
          <w:trHeight w:val="504"/>
        </w:trPr>
        <w:tc>
          <w:tcPr>
            <w:tcW w:w="1469" w:type="dxa"/>
            <w:vMerge/>
            <w:vAlign w:val="center"/>
            <w:hideMark/>
          </w:tcPr>
          <w:p w14:paraId="238601FE"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A62760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Chagasic Megaesophagus</w:t>
            </w:r>
          </w:p>
        </w:tc>
        <w:tc>
          <w:tcPr>
            <w:tcW w:w="1417" w:type="dxa"/>
            <w:shd w:val="clear" w:color="auto" w:fill="auto"/>
            <w:noWrap/>
            <w:vAlign w:val="center"/>
            <w:hideMark/>
          </w:tcPr>
          <w:p w14:paraId="33A66D2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62DB9F5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042E1035" w14:textId="77777777" w:rsidTr="005E2791">
        <w:trPr>
          <w:trHeight w:val="504"/>
        </w:trPr>
        <w:tc>
          <w:tcPr>
            <w:tcW w:w="1469" w:type="dxa"/>
            <w:vMerge/>
            <w:vAlign w:val="center"/>
            <w:hideMark/>
          </w:tcPr>
          <w:p w14:paraId="0F3CABC7"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12CA674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Cleft Lip and Palate</w:t>
            </w:r>
          </w:p>
        </w:tc>
        <w:tc>
          <w:tcPr>
            <w:tcW w:w="1417" w:type="dxa"/>
            <w:shd w:val="clear" w:color="auto" w:fill="auto"/>
            <w:noWrap/>
            <w:vAlign w:val="center"/>
            <w:hideMark/>
          </w:tcPr>
          <w:p w14:paraId="6474E53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64AE62C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5F151FB1" w14:textId="77777777" w:rsidTr="005E2791">
        <w:trPr>
          <w:trHeight w:val="504"/>
        </w:trPr>
        <w:tc>
          <w:tcPr>
            <w:tcW w:w="1469" w:type="dxa"/>
            <w:vMerge/>
            <w:vAlign w:val="center"/>
            <w:hideMark/>
          </w:tcPr>
          <w:p w14:paraId="5B08B5D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A137750"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Congenital heart disease</w:t>
            </w:r>
          </w:p>
        </w:tc>
        <w:tc>
          <w:tcPr>
            <w:tcW w:w="1417" w:type="dxa"/>
            <w:shd w:val="clear" w:color="auto" w:fill="auto"/>
            <w:noWrap/>
            <w:vAlign w:val="center"/>
            <w:hideMark/>
          </w:tcPr>
          <w:p w14:paraId="64E14F5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671746C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4C831F64" w14:textId="77777777" w:rsidTr="005E2791">
        <w:trPr>
          <w:trHeight w:val="504"/>
        </w:trPr>
        <w:tc>
          <w:tcPr>
            <w:tcW w:w="1469" w:type="dxa"/>
            <w:vMerge/>
            <w:vAlign w:val="center"/>
            <w:hideMark/>
          </w:tcPr>
          <w:p w14:paraId="16DEB4AB"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82D4A7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Congenital tracheal stenosis</w:t>
            </w:r>
          </w:p>
        </w:tc>
        <w:tc>
          <w:tcPr>
            <w:tcW w:w="1417" w:type="dxa"/>
            <w:shd w:val="clear" w:color="auto" w:fill="auto"/>
            <w:noWrap/>
            <w:vAlign w:val="center"/>
            <w:hideMark/>
          </w:tcPr>
          <w:p w14:paraId="30470A0D"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5F95C213"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2E23CD36" w14:textId="77777777" w:rsidTr="005E2791">
        <w:trPr>
          <w:trHeight w:val="504"/>
        </w:trPr>
        <w:tc>
          <w:tcPr>
            <w:tcW w:w="1469" w:type="dxa"/>
            <w:vMerge/>
            <w:vAlign w:val="center"/>
            <w:hideMark/>
          </w:tcPr>
          <w:p w14:paraId="0AD9C6F4"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C13931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 xml:space="preserve">Craniofacial microsomia </w:t>
            </w:r>
          </w:p>
        </w:tc>
        <w:tc>
          <w:tcPr>
            <w:tcW w:w="1417" w:type="dxa"/>
            <w:shd w:val="clear" w:color="auto" w:fill="auto"/>
            <w:noWrap/>
            <w:vAlign w:val="center"/>
            <w:hideMark/>
          </w:tcPr>
          <w:p w14:paraId="6B8E35E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4CF9618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16943CCC" w14:textId="77777777" w:rsidTr="005E2791">
        <w:trPr>
          <w:trHeight w:val="504"/>
        </w:trPr>
        <w:tc>
          <w:tcPr>
            <w:tcW w:w="1469" w:type="dxa"/>
            <w:vMerge/>
            <w:vAlign w:val="center"/>
            <w:hideMark/>
          </w:tcPr>
          <w:p w14:paraId="4B1F511A"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45FB01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DiGeorge syndrome</w:t>
            </w:r>
          </w:p>
        </w:tc>
        <w:tc>
          <w:tcPr>
            <w:tcW w:w="1417" w:type="dxa"/>
            <w:shd w:val="clear" w:color="auto" w:fill="auto"/>
            <w:noWrap/>
            <w:vAlign w:val="center"/>
            <w:hideMark/>
          </w:tcPr>
          <w:p w14:paraId="4CF4B1B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64A3116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4F8F83B8" w14:textId="77777777" w:rsidTr="005E2791">
        <w:trPr>
          <w:trHeight w:val="504"/>
        </w:trPr>
        <w:tc>
          <w:tcPr>
            <w:tcW w:w="1469" w:type="dxa"/>
            <w:vMerge/>
            <w:vAlign w:val="center"/>
            <w:hideMark/>
          </w:tcPr>
          <w:p w14:paraId="65F9C3D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DEB0BA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Down Syndrome</w:t>
            </w:r>
          </w:p>
        </w:tc>
        <w:tc>
          <w:tcPr>
            <w:tcW w:w="1417" w:type="dxa"/>
            <w:shd w:val="clear" w:color="auto" w:fill="auto"/>
            <w:noWrap/>
            <w:vAlign w:val="center"/>
            <w:hideMark/>
          </w:tcPr>
          <w:p w14:paraId="2E643A3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09FB462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5B1AFF28" w14:textId="77777777" w:rsidTr="005E2791">
        <w:trPr>
          <w:trHeight w:val="504"/>
        </w:trPr>
        <w:tc>
          <w:tcPr>
            <w:tcW w:w="1469" w:type="dxa"/>
            <w:vMerge/>
            <w:vAlign w:val="center"/>
            <w:hideMark/>
          </w:tcPr>
          <w:p w14:paraId="5023141B"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50BCE8B"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Esophageal Atresia</w:t>
            </w:r>
          </w:p>
        </w:tc>
        <w:tc>
          <w:tcPr>
            <w:tcW w:w="1417" w:type="dxa"/>
            <w:shd w:val="clear" w:color="auto" w:fill="auto"/>
            <w:noWrap/>
            <w:vAlign w:val="center"/>
            <w:hideMark/>
          </w:tcPr>
          <w:p w14:paraId="68D9363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c>
          <w:tcPr>
            <w:tcW w:w="1560" w:type="dxa"/>
            <w:shd w:val="clear" w:color="auto" w:fill="auto"/>
            <w:noWrap/>
            <w:vAlign w:val="center"/>
            <w:hideMark/>
          </w:tcPr>
          <w:p w14:paraId="04C749B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2BBE07F3" w14:textId="77777777" w:rsidTr="005E2791">
        <w:trPr>
          <w:trHeight w:val="504"/>
        </w:trPr>
        <w:tc>
          <w:tcPr>
            <w:tcW w:w="1469" w:type="dxa"/>
            <w:vMerge/>
            <w:vAlign w:val="center"/>
            <w:hideMark/>
          </w:tcPr>
          <w:p w14:paraId="1F3B1409"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71AD7BB"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Gastroesophageal Reflux Disease</w:t>
            </w:r>
          </w:p>
        </w:tc>
        <w:tc>
          <w:tcPr>
            <w:tcW w:w="1417" w:type="dxa"/>
            <w:shd w:val="clear" w:color="auto" w:fill="auto"/>
            <w:noWrap/>
            <w:vAlign w:val="center"/>
            <w:hideMark/>
          </w:tcPr>
          <w:p w14:paraId="463A60A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65ABCBA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6E9D7BAD" w14:textId="77777777" w:rsidTr="005E2791">
        <w:trPr>
          <w:trHeight w:val="504"/>
        </w:trPr>
        <w:tc>
          <w:tcPr>
            <w:tcW w:w="1469" w:type="dxa"/>
            <w:vMerge/>
            <w:vAlign w:val="center"/>
            <w:hideMark/>
          </w:tcPr>
          <w:p w14:paraId="562C75D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77E685CE"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Heartburn</w:t>
            </w:r>
          </w:p>
        </w:tc>
        <w:tc>
          <w:tcPr>
            <w:tcW w:w="1417" w:type="dxa"/>
            <w:shd w:val="clear" w:color="auto" w:fill="auto"/>
            <w:noWrap/>
            <w:vAlign w:val="center"/>
            <w:hideMark/>
          </w:tcPr>
          <w:p w14:paraId="5290AB1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04ABD87E"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42C2996B" w14:textId="77777777" w:rsidTr="005E2791">
        <w:trPr>
          <w:trHeight w:val="504"/>
        </w:trPr>
        <w:tc>
          <w:tcPr>
            <w:tcW w:w="1469" w:type="dxa"/>
            <w:vMerge/>
            <w:vAlign w:val="center"/>
            <w:hideMark/>
          </w:tcPr>
          <w:p w14:paraId="664355A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F35FB6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Laryngeal cicatricial stenosis</w:t>
            </w:r>
          </w:p>
        </w:tc>
        <w:tc>
          <w:tcPr>
            <w:tcW w:w="1417" w:type="dxa"/>
            <w:shd w:val="clear" w:color="auto" w:fill="auto"/>
            <w:noWrap/>
            <w:vAlign w:val="center"/>
            <w:hideMark/>
          </w:tcPr>
          <w:p w14:paraId="3B653F2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5FCAF31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2D63B41A" w14:textId="77777777" w:rsidTr="005E2791">
        <w:trPr>
          <w:trHeight w:val="504"/>
        </w:trPr>
        <w:tc>
          <w:tcPr>
            <w:tcW w:w="1469" w:type="dxa"/>
            <w:vMerge/>
            <w:vAlign w:val="center"/>
            <w:hideMark/>
          </w:tcPr>
          <w:p w14:paraId="1A96511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01F2219A"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Laryngeal Cleft</w:t>
            </w:r>
          </w:p>
        </w:tc>
        <w:tc>
          <w:tcPr>
            <w:tcW w:w="1417" w:type="dxa"/>
            <w:shd w:val="clear" w:color="auto" w:fill="auto"/>
            <w:noWrap/>
            <w:vAlign w:val="center"/>
            <w:hideMark/>
          </w:tcPr>
          <w:p w14:paraId="29B4EA1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6</w:t>
            </w:r>
          </w:p>
        </w:tc>
        <w:tc>
          <w:tcPr>
            <w:tcW w:w="1560" w:type="dxa"/>
            <w:shd w:val="clear" w:color="auto" w:fill="auto"/>
            <w:noWrap/>
            <w:vAlign w:val="center"/>
            <w:hideMark/>
          </w:tcPr>
          <w:p w14:paraId="0D8CA1B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2B6F4852" w14:textId="77777777" w:rsidTr="005E2791">
        <w:trPr>
          <w:trHeight w:val="504"/>
        </w:trPr>
        <w:tc>
          <w:tcPr>
            <w:tcW w:w="1469" w:type="dxa"/>
            <w:vMerge/>
            <w:vAlign w:val="center"/>
            <w:hideMark/>
          </w:tcPr>
          <w:p w14:paraId="7DF4E37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9B9CAD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Laryngitis</w:t>
            </w:r>
          </w:p>
        </w:tc>
        <w:tc>
          <w:tcPr>
            <w:tcW w:w="1417" w:type="dxa"/>
            <w:shd w:val="clear" w:color="auto" w:fill="auto"/>
            <w:noWrap/>
            <w:vAlign w:val="center"/>
            <w:hideMark/>
          </w:tcPr>
          <w:p w14:paraId="4C471D7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245D449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22E8B9F5" w14:textId="77777777" w:rsidTr="005E2791">
        <w:trPr>
          <w:trHeight w:val="504"/>
        </w:trPr>
        <w:tc>
          <w:tcPr>
            <w:tcW w:w="1469" w:type="dxa"/>
            <w:vMerge/>
            <w:vAlign w:val="center"/>
            <w:hideMark/>
          </w:tcPr>
          <w:p w14:paraId="44FB30F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D063F50"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Maxillary transverse deficiency</w:t>
            </w:r>
          </w:p>
        </w:tc>
        <w:tc>
          <w:tcPr>
            <w:tcW w:w="1417" w:type="dxa"/>
            <w:shd w:val="clear" w:color="auto" w:fill="auto"/>
            <w:noWrap/>
            <w:vAlign w:val="center"/>
            <w:hideMark/>
          </w:tcPr>
          <w:p w14:paraId="6755F7DB"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46D2F65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52410C07" w14:textId="77777777" w:rsidTr="005E2791">
        <w:trPr>
          <w:trHeight w:val="504"/>
        </w:trPr>
        <w:tc>
          <w:tcPr>
            <w:tcW w:w="1469" w:type="dxa"/>
            <w:vMerge/>
            <w:vAlign w:val="center"/>
            <w:hideMark/>
          </w:tcPr>
          <w:p w14:paraId="1DA6542E"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16BCD44"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Muscle Tension Dysphagia</w:t>
            </w:r>
          </w:p>
        </w:tc>
        <w:tc>
          <w:tcPr>
            <w:tcW w:w="1417" w:type="dxa"/>
            <w:shd w:val="clear" w:color="auto" w:fill="auto"/>
            <w:noWrap/>
            <w:vAlign w:val="center"/>
            <w:hideMark/>
          </w:tcPr>
          <w:p w14:paraId="3B00C05E"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1B8EF953"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4E436F6B" w14:textId="77777777" w:rsidTr="005E2791">
        <w:trPr>
          <w:trHeight w:val="504"/>
        </w:trPr>
        <w:tc>
          <w:tcPr>
            <w:tcW w:w="1469" w:type="dxa"/>
            <w:vMerge/>
            <w:vAlign w:val="center"/>
            <w:hideMark/>
          </w:tcPr>
          <w:p w14:paraId="3041E394"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31FD1E08"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Obesity</w:t>
            </w:r>
          </w:p>
        </w:tc>
        <w:tc>
          <w:tcPr>
            <w:tcW w:w="1417" w:type="dxa"/>
            <w:shd w:val="clear" w:color="auto" w:fill="auto"/>
            <w:noWrap/>
            <w:vAlign w:val="center"/>
            <w:hideMark/>
          </w:tcPr>
          <w:p w14:paraId="48A99A3C"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2C568E23"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4C1E7E17" w14:textId="77777777" w:rsidTr="005E2791">
        <w:trPr>
          <w:trHeight w:val="504"/>
        </w:trPr>
        <w:tc>
          <w:tcPr>
            <w:tcW w:w="1469" w:type="dxa"/>
            <w:vMerge/>
            <w:vAlign w:val="center"/>
            <w:hideMark/>
          </w:tcPr>
          <w:p w14:paraId="722B00AE"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3089B91"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Prader-Willi Syndrome</w:t>
            </w:r>
          </w:p>
        </w:tc>
        <w:tc>
          <w:tcPr>
            <w:tcW w:w="1417" w:type="dxa"/>
            <w:shd w:val="clear" w:color="auto" w:fill="auto"/>
            <w:noWrap/>
            <w:vAlign w:val="center"/>
            <w:hideMark/>
          </w:tcPr>
          <w:p w14:paraId="5A9DB5E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2</w:t>
            </w:r>
          </w:p>
        </w:tc>
        <w:tc>
          <w:tcPr>
            <w:tcW w:w="1560" w:type="dxa"/>
            <w:shd w:val="clear" w:color="auto" w:fill="auto"/>
            <w:noWrap/>
            <w:vAlign w:val="center"/>
            <w:hideMark/>
          </w:tcPr>
          <w:p w14:paraId="553DD85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0.4%</w:t>
            </w:r>
          </w:p>
        </w:tc>
      </w:tr>
      <w:tr w:rsidR="00D0120F" w:rsidRPr="00D0120F" w14:paraId="51675BC0" w14:textId="77777777" w:rsidTr="005E2791">
        <w:trPr>
          <w:trHeight w:val="504"/>
        </w:trPr>
        <w:tc>
          <w:tcPr>
            <w:tcW w:w="1469" w:type="dxa"/>
            <w:vMerge/>
            <w:vAlign w:val="center"/>
            <w:hideMark/>
          </w:tcPr>
          <w:p w14:paraId="42C6D796"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4052B9F"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Premature</w:t>
            </w:r>
          </w:p>
        </w:tc>
        <w:tc>
          <w:tcPr>
            <w:tcW w:w="1417" w:type="dxa"/>
            <w:shd w:val="clear" w:color="auto" w:fill="auto"/>
            <w:noWrap/>
            <w:vAlign w:val="center"/>
            <w:hideMark/>
          </w:tcPr>
          <w:p w14:paraId="57AB7477"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c>
          <w:tcPr>
            <w:tcW w:w="1560" w:type="dxa"/>
            <w:shd w:val="clear" w:color="auto" w:fill="auto"/>
            <w:noWrap/>
            <w:vAlign w:val="center"/>
            <w:hideMark/>
          </w:tcPr>
          <w:p w14:paraId="375988D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794DB2D2" w14:textId="77777777" w:rsidTr="005E2791">
        <w:trPr>
          <w:trHeight w:val="504"/>
        </w:trPr>
        <w:tc>
          <w:tcPr>
            <w:tcW w:w="1469" w:type="dxa"/>
            <w:vMerge/>
            <w:vAlign w:val="center"/>
            <w:hideMark/>
          </w:tcPr>
          <w:p w14:paraId="6E1831B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2D89A450"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Sjogren’s Syndrome</w:t>
            </w:r>
          </w:p>
        </w:tc>
        <w:tc>
          <w:tcPr>
            <w:tcW w:w="1417" w:type="dxa"/>
            <w:shd w:val="clear" w:color="auto" w:fill="auto"/>
            <w:noWrap/>
            <w:vAlign w:val="center"/>
            <w:hideMark/>
          </w:tcPr>
          <w:p w14:paraId="2695D368"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1125DC0C"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68B3C0A9" w14:textId="77777777" w:rsidTr="005E2791">
        <w:trPr>
          <w:trHeight w:val="504"/>
        </w:trPr>
        <w:tc>
          <w:tcPr>
            <w:tcW w:w="1469" w:type="dxa"/>
            <w:vMerge/>
            <w:vAlign w:val="center"/>
            <w:hideMark/>
          </w:tcPr>
          <w:p w14:paraId="54E11D2A"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A11BD8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Systemic Sclerosis</w:t>
            </w:r>
          </w:p>
        </w:tc>
        <w:tc>
          <w:tcPr>
            <w:tcW w:w="1417" w:type="dxa"/>
            <w:shd w:val="clear" w:color="auto" w:fill="auto"/>
            <w:noWrap/>
            <w:vAlign w:val="center"/>
            <w:hideMark/>
          </w:tcPr>
          <w:p w14:paraId="1DF24874"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69A7AAE5"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757797E0" w14:textId="77777777" w:rsidTr="005E2791">
        <w:trPr>
          <w:trHeight w:val="504"/>
        </w:trPr>
        <w:tc>
          <w:tcPr>
            <w:tcW w:w="1469" w:type="dxa"/>
            <w:vMerge/>
            <w:vAlign w:val="center"/>
            <w:hideMark/>
          </w:tcPr>
          <w:p w14:paraId="31126E5D"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3D7621A"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Thermal Burn Injury</w:t>
            </w:r>
          </w:p>
        </w:tc>
        <w:tc>
          <w:tcPr>
            <w:tcW w:w="1417" w:type="dxa"/>
            <w:shd w:val="clear" w:color="auto" w:fill="auto"/>
            <w:noWrap/>
            <w:vAlign w:val="center"/>
            <w:hideMark/>
          </w:tcPr>
          <w:p w14:paraId="428C53BF"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55F841D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6DE710C9" w14:textId="77777777" w:rsidTr="005E2791">
        <w:trPr>
          <w:trHeight w:val="504"/>
        </w:trPr>
        <w:tc>
          <w:tcPr>
            <w:tcW w:w="1469" w:type="dxa"/>
            <w:vMerge/>
            <w:vAlign w:val="center"/>
            <w:hideMark/>
          </w:tcPr>
          <w:p w14:paraId="2DE403A5"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63B75107"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Thyroid Disease</w:t>
            </w:r>
          </w:p>
        </w:tc>
        <w:tc>
          <w:tcPr>
            <w:tcW w:w="1417" w:type="dxa"/>
            <w:shd w:val="clear" w:color="auto" w:fill="auto"/>
            <w:noWrap/>
            <w:vAlign w:val="center"/>
            <w:hideMark/>
          </w:tcPr>
          <w:p w14:paraId="297C039E"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w:t>
            </w:r>
          </w:p>
        </w:tc>
        <w:tc>
          <w:tcPr>
            <w:tcW w:w="1560" w:type="dxa"/>
            <w:shd w:val="clear" w:color="auto" w:fill="auto"/>
            <w:noWrap/>
            <w:vAlign w:val="center"/>
            <w:hideMark/>
          </w:tcPr>
          <w:p w14:paraId="74937229"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r>
      <w:tr w:rsidR="00D0120F" w:rsidRPr="00D0120F" w14:paraId="510844B4" w14:textId="77777777" w:rsidTr="005E2791">
        <w:trPr>
          <w:trHeight w:val="504"/>
        </w:trPr>
        <w:tc>
          <w:tcPr>
            <w:tcW w:w="1469" w:type="dxa"/>
            <w:vMerge/>
            <w:vAlign w:val="center"/>
            <w:hideMark/>
          </w:tcPr>
          <w:p w14:paraId="62431CDC"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5F150E8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Trauma</w:t>
            </w:r>
          </w:p>
        </w:tc>
        <w:tc>
          <w:tcPr>
            <w:tcW w:w="1417" w:type="dxa"/>
            <w:shd w:val="clear" w:color="auto" w:fill="auto"/>
            <w:noWrap/>
            <w:vAlign w:val="center"/>
            <w:hideMark/>
          </w:tcPr>
          <w:p w14:paraId="2C8BB22A"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w:t>
            </w:r>
          </w:p>
        </w:tc>
        <w:tc>
          <w:tcPr>
            <w:tcW w:w="1560" w:type="dxa"/>
            <w:shd w:val="clear" w:color="auto" w:fill="auto"/>
            <w:noWrap/>
            <w:vAlign w:val="center"/>
            <w:hideMark/>
          </w:tcPr>
          <w:p w14:paraId="1AB38542"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0.2%</w:t>
            </w:r>
          </w:p>
        </w:tc>
      </w:tr>
      <w:tr w:rsidR="00D0120F" w:rsidRPr="00D0120F" w14:paraId="5E83D1B1" w14:textId="77777777" w:rsidTr="005E2791">
        <w:trPr>
          <w:trHeight w:val="504"/>
        </w:trPr>
        <w:tc>
          <w:tcPr>
            <w:tcW w:w="1469" w:type="dxa"/>
            <w:vMerge/>
            <w:vAlign w:val="center"/>
            <w:hideMark/>
          </w:tcPr>
          <w:p w14:paraId="49E398E2"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p>
        </w:tc>
        <w:tc>
          <w:tcPr>
            <w:tcW w:w="5047" w:type="dxa"/>
            <w:shd w:val="clear" w:color="auto" w:fill="auto"/>
            <w:noWrap/>
            <w:vAlign w:val="center"/>
            <w:hideMark/>
          </w:tcPr>
          <w:p w14:paraId="7AC43853" w14:textId="77777777" w:rsidR="00D0120F" w:rsidRPr="00D0120F" w:rsidRDefault="00D0120F" w:rsidP="00D0120F">
            <w:pPr>
              <w:spacing w:after="0" w:line="240" w:lineRule="auto"/>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Various</w:t>
            </w:r>
          </w:p>
        </w:tc>
        <w:tc>
          <w:tcPr>
            <w:tcW w:w="1417" w:type="dxa"/>
            <w:shd w:val="clear" w:color="auto" w:fill="auto"/>
            <w:noWrap/>
            <w:vAlign w:val="center"/>
            <w:hideMark/>
          </w:tcPr>
          <w:p w14:paraId="23D9E551"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72</w:t>
            </w:r>
          </w:p>
        </w:tc>
        <w:tc>
          <w:tcPr>
            <w:tcW w:w="1560" w:type="dxa"/>
            <w:shd w:val="clear" w:color="auto" w:fill="auto"/>
            <w:noWrap/>
            <w:vAlign w:val="center"/>
            <w:hideMark/>
          </w:tcPr>
          <w:p w14:paraId="33E2776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15%</w:t>
            </w:r>
          </w:p>
        </w:tc>
      </w:tr>
      <w:tr w:rsidR="00D0120F" w:rsidRPr="00D0120F" w14:paraId="446B78F5" w14:textId="77777777" w:rsidTr="005E2791">
        <w:trPr>
          <w:trHeight w:val="504"/>
        </w:trPr>
        <w:tc>
          <w:tcPr>
            <w:tcW w:w="6516" w:type="dxa"/>
            <w:gridSpan w:val="2"/>
            <w:shd w:val="clear" w:color="auto" w:fill="D9D9D9" w:themeFill="background1" w:themeFillShade="D9"/>
            <w:noWrap/>
            <w:vAlign w:val="center"/>
            <w:hideMark/>
          </w:tcPr>
          <w:p w14:paraId="46FE0C09" w14:textId="77777777" w:rsidR="00D0120F" w:rsidRPr="00D0120F" w:rsidRDefault="00D0120F" w:rsidP="00D0120F">
            <w:pPr>
              <w:spacing w:after="0" w:line="240" w:lineRule="auto"/>
              <w:jc w:val="right"/>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Total</w:t>
            </w:r>
          </w:p>
        </w:tc>
        <w:tc>
          <w:tcPr>
            <w:tcW w:w="1417" w:type="dxa"/>
            <w:shd w:val="clear" w:color="auto" w:fill="D9D9D9" w:themeFill="background1" w:themeFillShade="D9"/>
            <w:noWrap/>
            <w:vAlign w:val="center"/>
            <w:hideMark/>
          </w:tcPr>
          <w:p w14:paraId="2B72C966"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328</w:t>
            </w:r>
          </w:p>
        </w:tc>
        <w:tc>
          <w:tcPr>
            <w:tcW w:w="1560" w:type="dxa"/>
            <w:shd w:val="clear" w:color="auto" w:fill="D9D9D9" w:themeFill="background1" w:themeFillShade="D9"/>
            <w:noWrap/>
            <w:vAlign w:val="center"/>
            <w:hideMark/>
          </w:tcPr>
          <w:p w14:paraId="286A4130" w14:textId="77777777" w:rsidR="00D0120F" w:rsidRPr="00D0120F" w:rsidRDefault="00D0120F" w:rsidP="00D0120F">
            <w:pPr>
              <w:spacing w:after="0" w:line="240" w:lineRule="auto"/>
              <w:jc w:val="center"/>
              <w:rPr>
                <w:rFonts w:ascii="Times New Roman" w:eastAsia="Times New Roman" w:hAnsi="Times New Roman" w:cs="Times New Roman"/>
                <w:color w:val="000000"/>
                <w:sz w:val="24"/>
                <w:szCs w:val="24"/>
                <w:lang w:val="en-CA" w:eastAsia="en-CA"/>
              </w:rPr>
            </w:pPr>
            <w:r w:rsidRPr="00D0120F">
              <w:rPr>
                <w:rFonts w:ascii="Times New Roman" w:eastAsia="Times New Roman" w:hAnsi="Times New Roman" w:cs="Times New Roman"/>
                <w:color w:val="000000"/>
                <w:sz w:val="24"/>
                <w:szCs w:val="24"/>
                <w:lang w:val="en-CA" w:eastAsia="en-CA"/>
              </w:rPr>
              <w:t>71%</w:t>
            </w:r>
          </w:p>
        </w:tc>
      </w:tr>
    </w:tbl>
    <w:p w14:paraId="16287F21" w14:textId="77777777" w:rsidR="00D0120F" w:rsidRDefault="00D0120F" w:rsidP="00D0120F">
      <w:pPr>
        <w:pStyle w:val="ListParagraph"/>
        <w:spacing w:line="480" w:lineRule="auto"/>
        <w:ind w:left="0"/>
        <w:rPr>
          <w:rFonts w:ascii="Times New Roman" w:hAnsi="Times New Roman" w:cs="Times New Roman"/>
          <w:sz w:val="24"/>
          <w:szCs w:val="24"/>
        </w:rPr>
      </w:pPr>
    </w:p>
    <w:sectPr w:rsidR="00D0120F" w:rsidSect="00690907">
      <w:headerReference w:type="default" r:id="rId7"/>
      <w:footerReference w:type="default" r:id="rId8"/>
      <w:pgSz w:w="12240" w:h="15840"/>
      <w:pgMar w:top="1440" w:right="1440" w:bottom="1440" w:left="156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221219E" w16cex:dateUtc="2026-01-20T16:18:27.231Z"/>
</w16cex:commentsExtensible>
</file>

<file path=word/commentsIds.xml><?xml version="1.0" encoding="utf-8"?>
<w16cid:commentsIds xmlns:mc="http://schemas.openxmlformats.org/markup-compatibility/2006" xmlns:w16cid="http://schemas.microsoft.com/office/word/2016/wordml/cid" mc:Ignorable="w16cid">
  <w16cid:commentId w16cid:paraId="4A68A9F5" w16cid:durableId="122121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9FCF4" w14:textId="77777777" w:rsidR="00A25788" w:rsidRDefault="00A25788" w:rsidP="008B2EEE">
      <w:pPr>
        <w:spacing w:after="0" w:line="240" w:lineRule="auto"/>
      </w:pPr>
      <w:r>
        <w:separator/>
      </w:r>
    </w:p>
  </w:endnote>
  <w:endnote w:type="continuationSeparator" w:id="0">
    <w:p w14:paraId="0A9D3D34" w14:textId="77777777" w:rsidR="00A25788" w:rsidRDefault="00A25788" w:rsidP="008B2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439003"/>
      <w:docPartObj>
        <w:docPartGallery w:val="Page Numbers (Bottom of Page)"/>
        <w:docPartUnique/>
      </w:docPartObj>
    </w:sdtPr>
    <w:sdtEndPr>
      <w:rPr>
        <w:noProof/>
      </w:rPr>
    </w:sdtEndPr>
    <w:sdtContent>
      <w:p w14:paraId="263324B2" w14:textId="4FEA2DF4" w:rsidR="00A25788" w:rsidRDefault="00A25788">
        <w:pPr>
          <w:pStyle w:val="Footer"/>
          <w:jc w:val="right"/>
        </w:pPr>
        <w:r w:rsidRPr="008B2EEE">
          <w:rPr>
            <w:rFonts w:ascii="Times New Roman" w:hAnsi="Times New Roman" w:cs="Times New Roman"/>
          </w:rPr>
          <w:fldChar w:fldCharType="begin"/>
        </w:r>
        <w:r w:rsidRPr="008B2EEE">
          <w:rPr>
            <w:rFonts w:ascii="Times New Roman" w:hAnsi="Times New Roman" w:cs="Times New Roman"/>
          </w:rPr>
          <w:instrText xml:space="preserve"> PAGE   \* MERGEFORMAT </w:instrText>
        </w:r>
        <w:r w:rsidRPr="008B2EEE">
          <w:rPr>
            <w:rFonts w:ascii="Times New Roman" w:hAnsi="Times New Roman" w:cs="Times New Roman"/>
          </w:rPr>
          <w:fldChar w:fldCharType="separate"/>
        </w:r>
        <w:r w:rsidR="00F62791">
          <w:rPr>
            <w:rFonts w:ascii="Times New Roman" w:hAnsi="Times New Roman" w:cs="Times New Roman"/>
            <w:noProof/>
          </w:rPr>
          <w:t>8</w:t>
        </w:r>
        <w:r w:rsidRPr="008B2EEE">
          <w:rPr>
            <w:rFonts w:ascii="Times New Roman" w:hAnsi="Times New Roman" w:cs="Times New Roman"/>
            <w:noProof/>
          </w:rPr>
          <w:fldChar w:fldCharType="end"/>
        </w:r>
      </w:p>
    </w:sdtContent>
  </w:sdt>
  <w:p w14:paraId="6BB87E66" w14:textId="77777777" w:rsidR="00A25788" w:rsidRDefault="00A25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AC40D" w14:textId="77777777" w:rsidR="00A25788" w:rsidRDefault="00A25788" w:rsidP="008B2EEE">
      <w:pPr>
        <w:spacing w:after="0" w:line="240" w:lineRule="auto"/>
      </w:pPr>
      <w:r>
        <w:separator/>
      </w:r>
    </w:p>
  </w:footnote>
  <w:footnote w:type="continuationSeparator" w:id="0">
    <w:p w14:paraId="7F568416" w14:textId="77777777" w:rsidR="00A25788" w:rsidRDefault="00A25788" w:rsidP="008B2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C33E3" w14:textId="71274ACE" w:rsidR="00A25788" w:rsidRPr="008B2EEE" w:rsidRDefault="00A25788" w:rsidP="008B2EEE">
    <w:pPr>
      <w:pStyle w:val="Header"/>
      <w:tabs>
        <w:tab w:val="clear" w:pos="4680"/>
        <w:tab w:val="clear" w:pos="9360"/>
      </w:tabs>
      <w:jc w:val="right"/>
      <w:rPr>
        <w:rFonts w:ascii="Times New Roman" w:hAnsi="Times New Roman" w:cs="Times New Roman"/>
        <w:i/>
        <w:sz w:val="24"/>
        <w:szCs w:val="24"/>
      </w:rPr>
    </w:pPr>
    <w:r w:rsidRPr="008B2EEE">
      <w:rPr>
        <w:rFonts w:ascii="Times New Roman" w:hAnsi="Times New Roman" w:cs="Times New Roman"/>
        <w:i/>
        <w:sz w:val="24"/>
        <w:szCs w:val="24"/>
      </w:rPr>
      <w:t>Supplemental Materials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500A7"/>
    <w:multiLevelType w:val="hybridMultilevel"/>
    <w:tmpl w:val="80442C0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384EE7"/>
    <w:multiLevelType w:val="multilevel"/>
    <w:tmpl w:val="5C663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6110B"/>
    <w:multiLevelType w:val="hybridMultilevel"/>
    <w:tmpl w:val="F70E5EAC"/>
    <w:lvl w:ilvl="0" w:tplc="A65811B4">
      <w:start w:val="1"/>
      <w:numFmt w:val="decimal"/>
      <w:lvlText w:val="%1."/>
      <w:lvlJc w:val="left"/>
      <w:pPr>
        <w:ind w:left="720" w:hanging="360"/>
      </w:pPr>
      <w:rPr>
        <w:rFonts w:ascii="Times New Roman" w:hAnsi="Times New Roman" w:hint="default"/>
        <w:b w:val="0"/>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60545C7"/>
    <w:multiLevelType w:val="multilevel"/>
    <w:tmpl w:val="56AEA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BD5E30"/>
    <w:multiLevelType w:val="hybridMultilevel"/>
    <w:tmpl w:val="9238DAD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C4D"/>
    <w:rsid w:val="0010297C"/>
    <w:rsid w:val="00163DFD"/>
    <w:rsid w:val="00247C4D"/>
    <w:rsid w:val="00277CF0"/>
    <w:rsid w:val="002E65D0"/>
    <w:rsid w:val="00465758"/>
    <w:rsid w:val="005A71EE"/>
    <w:rsid w:val="005E2791"/>
    <w:rsid w:val="006075EF"/>
    <w:rsid w:val="00690907"/>
    <w:rsid w:val="0071326A"/>
    <w:rsid w:val="00760C0C"/>
    <w:rsid w:val="008B2EEE"/>
    <w:rsid w:val="00A25788"/>
    <w:rsid w:val="00D0120F"/>
    <w:rsid w:val="00F62791"/>
    <w:rsid w:val="0768F874"/>
    <w:rsid w:val="1844A2BD"/>
    <w:rsid w:val="2CED514A"/>
    <w:rsid w:val="3A52FE43"/>
    <w:rsid w:val="4353EF3A"/>
    <w:rsid w:val="507BC83D"/>
    <w:rsid w:val="761854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A37E8"/>
  <w15:chartTrackingRefBased/>
  <w15:docId w15:val="{571D8404-2526-4B8B-B672-71FB6FDC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C4D"/>
    <w:rPr>
      <w:lang w:val="en-US"/>
    </w:rPr>
  </w:style>
  <w:style w:type="paragraph" w:styleId="Heading1">
    <w:name w:val="heading 1"/>
    <w:basedOn w:val="Normal"/>
    <w:next w:val="Normal"/>
    <w:link w:val="Heading1Char"/>
    <w:uiPriority w:val="9"/>
    <w:qFormat/>
    <w:rsid w:val="00163D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C4D"/>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E6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5D0"/>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2E65D0"/>
    <w:rPr>
      <w:b/>
      <w:bCs/>
    </w:rPr>
  </w:style>
  <w:style w:type="character" w:customStyle="1" w:styleId="CommentSubjectChar">
    <w:name w:val="Comment Subject Char"/>
    <w:basedOn w:val="CommentTextChar"/>
    <w:link w:val="CommentSubject"/>
    <w:uiPriority w:val="99"/>
    <w:semiHidden/>
    <w:rsid w:val="002E65D0"/>
    <w:rPr>
      <w:b/>
      <w:bCs/>
      <w:sz w:val="20"/>
      <w:szCs w:val="20"/>
      <w:lang w:val="en-US"/>
    </w:rPr>
  </w:style>
  <w:style w:type="character" w:styleId="Hyperlink">
    <w:name w:val="Hyperlink"/>
    <w:basedOn w:val="DefaultParagraphFont"/>
    <w:uiPriority w:val="99"/>
    <w:unhideWhenUsed/>
    <w:rsid w:val="005E2791"/>
    <w:rPr>
      <w:color w:val="0563C1"/>
      <w:u w:val="single"/>
    </w:rPr>
  </w:style>
  <w:style w:type="character" w:styleId="FollowedHyperlink">
    <w:name w:val="FollowedHyperlink"/>
    <w:basedOn w:val="DefaultParagraphFont"/>
    <w:uiPriority w:val="99"/>
    <w:semiHidden/>
    <w:unhideWhenUsed/>
    <w:rsid w:val="005E2791"/>
    <w:rPr>
      <w:color w:val="954F72"/>
      <w:u w:val="single"/>
    </w:rPr>
  </w:style>
  <w:style w:type="paragraph" w:customStyle="1" w:styleId="msonormal0">
    <w:name w:val="msonormal"/>
    <w:basedOn w:val="Normal"/>
    <w:rsid w:val="005E279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xl63">
    <w:name w:val="xl63"/>
    <w:basedOn w:val="Normal"/>
    <w:rsid w:val="005E2791"/>
    <w:pPr>
      <w:spacing w:before="100" w:beforeAutospacing="1" w:after="100" w:afterAutospacing="1" w:line="240" w:lineRule="auto"/>
      <w:jc w:val="center"/>
    </w:pPr>
    <w:rPr>
      <w:rFonts w:ascii="Times New Roman" w:eastAsia="Times New Roman" w:hAnsi="Times New Roman" w:cs="Times New Roman"/>
      <w:sz w:val="24"/>
      <w:szCs w:val="24"/>
      <w:lang w:val="en-CA" w:eastAsia="en-CA"/>
    </w:rPr>
  </w:style>
  <w:style w:type="paragraph" w:customStyle="1" w:styleId="xl64">
    <w:name w:val="xl64"/>
    <w:basedOn w:val="Normal"/>
    <w:rsid w:val="005E27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u w:val="single"/>
      <w:lang w:val="en-CA" w:eastAsia="en-CA"/>
    </w:rPr>
  </w:style>
  <w:style w:type="paragraph" w:customStyle="1" w:styleId="xl65">
    <w:name w:val="xl65"/>
    <w:basedOn w:val="Normal"/>
    <w:rsid w:val="005E27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customStyle="1" w:styleId="xl66">
    <w:name w:val="xl66"/>
    <w:basedOn w:val="Normal"/>
    <w:rsid w:val="005E27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CA" w:eastAsia="en-CA"/>
    </w:rPr>
  </w:style>
  <w:style w:type="paragraph" w:customStyle="1" w:styleId="xl67">
    <w:name w:val="xl67"/>
    <w:basedOn w:val="Normal"/>
    <w:rsid w:val="005E27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CA" w:eastAsia="en-CA"/>
    </w:rPr>
  </w:style>
  <w:style w:type="table" w:customStyle="1" w:styleId="TableGridLight1">
    <w:name w:val="Table Grid Light1"/>
    <w:basedOn w:val="TableNormal"/>
    <w:uiPriority w:val="40"/>
    <w:rsid w:val="008B2EEE"/>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B2E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EEE"/>
    <w:rPr>
      <w:lang w:val="en-US"/>
    </w:rPr>
  </w:style>
  <w:style w:type="paragraph" w:styleId="Footer">
    <w:name w:val="footer"/>
    <w:basedOn w:val="Normal"/>
    <w:link w:val="FooterChar"/>
    <w:uiPriority w:val="99"/>
    <w:unhideWhenUsed/>
    <w:rsid w:val="008B2E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EEE"/>
    <w:rPr>
      <w:lang w:val="en-US"/>
    </w:rPr>
  </w:style>
  <w:style w:type="character" w:customStyle="1" w:styleId="Heading1Char">
    <w:name w:val="Heading 1 Char"/>
    <w:basedOn w:val="DefaultParagraphFont"/>
    <w:link w:val="Heading1"/>
    <w:uiPriority w:val="9"/>
    <w:rsid w:val="00163DFD"/>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10297C"/>
    <w:pPr>
      <w:outlineLvl w:val="9"/>
    </w:pPr>
  </w:style>
  <w:style w:type="paragraph" w:styleId="TOC1">
    <w:name w:val="toc 1"/>
    <w:basedOn w:val="Normal"/>
    <w:next w:val="Normal"/>
    <w:autoRedefine/>
    <w:uiPriority w:val="39"/>
    <w:unhideWhenUsed/>
    <w:rsid w:val="0010297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1661">
      <w:bodyDiv w:val="1"/>
      <w:marLeft w:val="0"/>
      <w:marRight w:val="0"/>
      <w:marTop w:val="0"/>
      <w:marBottom w:val="0"/>
      <w:divBdr>
        <w:top w:val="none" w:sz="0" w:space="0" w:color="auto"/>
        <w:left w:val="none" w:sz="0" w:space="0" w:color="auto"/>
        <w:bottom w:val="none" w:sz="0" w:space="0" w:color="auto"/>
        <w:right w:val="none" w:sz="0" w:space="0" w:color="auto"/>
      </w:divBdr>
    </w:div>
    <w:div w:id="287130770">
      <w:bodyDiv w:val="1"/>
      <w:marLeft w:val="0"/>
      <w:marRight w:val="0"/>
      <w:marTop w:val="0"/>
      <w:marBottom w:val="0"/>
      <w:divBdr>
        <w:top w:val="none" w:sz="0" w:space="0" w:color="auto"/>
        <w:left w:val="none" w:sz="0" w:space="0" w:color="auto"/>
        <w:bottom w:val="none" w:sz="0" w:space="0" w:color="auto"/>
        <w:right w:val="none" w:sz="0" w:space="0" w:color="auto"/>
      </w:divBdr>
    </w:div>
    <w:div w:id="1067072581">
      <w:bodyDiv w:val="1"/>
      <w:marLeft w:val="0"/>
      <w:marRight w:val="0"/>
      <w:marTop w:val="0"/>
      <w:marBottom w:val="0"/>
      <w:divBdr>
        <w:top w:val="none" w:sz="0" w:space="0" w:color="auto"/>
        <w:left w:val="none" w:sz="0" w:space="0" w:color="auto"/>
        <w:bottom w:val="none" w:sz="0" w:space="0" w:color="auto"/>
        <w:right w:val="none" w:sz="0" w:space="0" w:color="auto"/>
      </w:divBdr>
    </w:div>
    <w:div w:id="1512646915">
      <w:bodyDiv w:val="1"/>
      <w:marLeft w:val="0"/>
      <w:marRight w:val="0"/>
      <w:marTop w:val="0"/>
      <w:marBottom w:val="0"/>
      <w:divBdr>
        <w:top w:val="none" w:sz="0" w:space="0" w:color="auto"/>
        <w:left w:val="none" w:sz="0" w:space="0" w:color="auto"/>
        <w:bottom w:val="none" w:sz="0" w:space="0" w:color="auto"/>
        <w:right w:val="none" w:sz="0" w:space="0" w:color="auto"/>
      </w:divBdr>
    </w:div>
    <w:div w:id="199232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8eca47faa3304b85" Type="http://schemas.microsoft.com/office/2016/09/relationships/commentsIds" Target="commentsIds.xml"/><Relationship Id="Rb56bce05ceb34c79"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CB257F3EEEC476EBCF1B88D4FA31981"/>
        <w:category>
          <w:name w:val="General"/>
          <w:gallery w:val="placeholder"/>
        </w:category>
        <w:types>
          <w:type w:val="bbPlcHdr"/>
        </w:types>
        <w:behaviors>
          <w:behavior w:val="content"/>
        </w:behaviors>
        <w:guid w:val="{025A815A-AE0B-4F77-B2B2-4363A9B040F0}"/>
      </w:docPartPr>
      <w:docPartBody>
        <w:p w:rsidR="00573042" w:rsidRDefault="00573042" w:rsidP="00573042">
          <w:pPr>
            <w:pStyle w:val="7CB257F3EEEC476EBCF1B88D4FA31981"/>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042"/>
    <w:rsid w:val="005730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3042"/>
    <w:rPr>
      <w:color w:val="808080"/>
    </w:rPr>
  </w:style>
  <w:style w:type="paragraph" w:customStyle="1" w:styleId="7CB257F3EEEC476EBCF1B88D4FA31981">
    <w:name w:val="7CB257F3EEEC476EBCF1B88D4FA31981"/>
    <w:rsid w:val="00573042"/>
  </w:style>
  <w:style w:type="paragraph" w:customStyle="1" w:styleId="6820407DC699462A963AF361196E6780">
    <w:name w:val="6820407DC699462A963AF361196E6780"/>
    <w:rsid w:val="00573042"/>
  </w:style>
  <w:style w:type="paragraph" w:customStyle="1" w:styleId="A9CB7760354F4250815C68C9FB51ECA1">
    <w:name w:val="A9CB7760354F4250815C68C9FB51ECA1"/>
    <w:rsid w:val="00573042"/>
  </w:style>
  <w:style w:type="paragraph" w:customStyle="1" w:styleId="9F0EEB09C4D849F38D10D94C4ED72253">
    <w:name w:val="9F0EEB09C4D849F38D10D94C4ED72253"/>
    <w:rsid w:val="00573042"/>
  </w:style>
  <w:style w:type="paragraph" w:customStyle="1" w:styleId="B24773BAA13D4E61A054F055AEC4D5B1">
    <w:name w:val="B24773BAA13D4E61A054F055AEC4D5B1"/>
    <w:rsid w:val="00573042"/>
  </w:style>
  <w:style w:type="paragraph" w:customStyle="1" w:styleId="A1B3FA0B78644977A5F0B8D249AB2CF8">
    <w:name w:val="A1B3FA0B78644977A5F0B8D249AB2CF8"/>
    <w:rsid w:val="00573042"/>
  </w:style>
  <w:style w:type="paragraph" w:customStyle="1" w:styleId="87D9E37F17FC4F9F93475D00D59C1000">
    <w:name w:val="87D9E37F17FC4F9F93475D00D59C1000"/>
    <w:rsid w:val="00573042"/>
  </w:style>
  <w:style w:type="paragraph" w:customStyle="1" w:styleId="F9DE6FB0A00848CD89287BBB4D4DA6BC">
    <w:name w:val="F9DE6FB0A00848CD89287BBB4D4DA6BC"/>
    <w:rsid w:val="00573042"/>
  </w:style>
  <w:style w:type="paragraph" w:customStyle="1" w:styleId="AC195CC523E041E592B79644F8DB9C79">
    <w:name w:val="AC195CC523E041E592B79644F8DB9C79"/>
    <w:rsid w:val="00573042"/>
  </w:style>
  <w:style w:type="paragraph" w:customStyle="1" w:styleId="B2E2C37F3CFE4394AACC65A07A365460">
    <w:name w:val="B2E2C37F3CFE4394AACC65A07A365460"/>
    <w:rsid w:val="00573042"/>
  </w:style>
  <w:style w:type="paragraph" w:customStyle="1" w:styleId="3538CD0252604DC0BD1B28A3A9E83C20">
    <w:name w:val="3538CD0252604DC0BD1B28A3A9E83C20"/>
    <w:rsid w:val="00573042"/>
  </w:style>
  <w:style w:type="paragraph" w:customStyle="1" w:styleId="633A88F247D841058F2BE3AF5F06C809">
    <w:name w:val="633A88F247D841058F2BE3AF5F06C809"/>
    <w:rsid w:val="00573042"/>
  </w:style>
  <w:style w:type="paragraph" w:customStyle="1" w:styleId="39020B8215E745369B5BEB05C6C567E9">
    <w:name w:val="39020B8215E745369B5BEB05C6C567E9"/>
    <w:rsid w:val="00573042"/>
  </w:style>
  <w:style w:type="paragraph" w:customStyle="1" w:styleId="321BBC21B42945DE8D43EF5210FC7355">
    <w:name w:val="321BBC21B42945DE8D43EF5210FC7355"/>
    <w:rsid w:val="00573042"/>
  </w:style>
  <w:style w:type="paragraph" w:customStyle="1" w:styleId="18FE53536181406DA124A7DCD2298269">
    <w:name w:val="18FE53536181406DA124A7DCD2298269"/>
    <w:rsid w:val="00573042"/>
  </w:style>
  <w:style w:type="paragraph" w:customStyle="1" w:styleId="FC3A8A21B385401E8CDF165C40D191CC">
    <w:name w:val="FC3A8A21B385401E8CDF165C40D191CC"/>
    <w:rsid w:val="00573042"/>
  </w:style>
  <w:style w:type="paragraph" w:customStyle="1" w:styleId="C7753AB55B6F4D068955DAE4B502F0E6">
    <w:name w:val="C7753AB55B6F4D068955DAE4B502F0E6"/>
    <w:rsid w:val="00573042"/>
  </w:style>
  <w:style w:type="paragraph" w:customStyle="1" w:styleId="C964146CF69848C88F0A97966D66A458">
    <w:name w:val="C964146CF69848C88F0A97966D66A458"/>
    <w:rsid w:val="00573042"/>
  </w:style>
  <w:style w:type="paragraph" w:customStyle="1" w:styleId="3BBD2F1F3B0F4860928C22FD60EE0A06">
    <w:name w:val="3BBD2F1F3B0F4860928C22FD60EE0A06"/>
    <w:rsid w:val="005730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56</Pages>
  <Words>18533</Words>
  <Characters>105643</Characters>
  <Application>Microsoft Office Word</Application>
  <DocSecurity>0</DocSecurity>
  <Lines>880</Lines>
  <Paragraphs>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Steele, Catriona</dc:creator>
  <cp:keywords/>
  <dc:description/>
  <cp:lastModifiedBy>Steele, Catriona</cp:lastModifiedBy>
  <cp:revision>14</cp:revision>
  <dcterms:created xsi:type="dcterms:W3CDTF">2026-01-16T20:53:00Z</dcterms:created>
  <dcterms:modified xsi:type="dcterms:W3CDTF">2026-06-13T14:21:00Z</dcterms:modified>
</cp:coreProperties>
</file>