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735"/>
        <w:gridCol w:w="1320"/>
        <w:gridCol w:w="1320"/>
        <w:gridCol w:w="1320"/>
        <w:gridCol w:w="1320"/>
        <w:gridCol w:w="1125"/>
        <w:gridCol w:w="2860"/>
      </w:tblGrid>
      <w:tr w:rsidR="00000000">
        <w:trPr>
          <w:cantSplit/>
          <w:tblHeader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0000" w:rsidRDefault="00617893">
            <w:pPr>
              <w:rPr>
                <w:rFonts w:ascii="Arial Narrow" w:eastAsia="Times New Roman" w:hAnsi="Arial Narrow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Summary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of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findings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: </w:t>
            </w:r>
          </w:p>
        </w:tc>
      </w:tr>
      <w:tr w:rsidR="00000000" w:rsidRPr="00CB0BDD">
        <w:trPr>
          <w:cantSplit/>
          <w:tblHeader/>
        </w:trPr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pStyle w:val="sof-title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CB0BDD">
              <w:rPr>
                <w:rFonts w:ascii="Arial Narrow" w:hAnsi="Arial Narrow"/>
                <w:b/>
                <w:bCs/>
                <w:sz w:val="22"/>
                <w:szCs w:val="22"/>
                <w:lang w:val="en-US"/>
              </w:rPr>
              <w:t>Endoscopy compared to Surgery for Infected Necrotizing Pancreatitis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divId w:val="871920267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Patient or population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: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Infected Necrotizing Pancreatiti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s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  <w:p w:rsidR="00000000" w:rsidRPr="00CB0BDD" w:rsidRDefault="00617893">
            <w:pPr>
              <w:divId w:val="199884875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Setting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: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Hospitals in the Netherlands and United States of Americ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a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  <w:p w:rsidR="00000000" w:rsidRDefault="00617893">
            <w:pPr>
              <w:divId w:val="137862794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Intervention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Endoscop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y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  <w:p w:rsidR="00000000" w:rsidRDefault="00617893">
            <w:pPr>
              <w:divId w:val="803545601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Comparison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Surger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y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:rsidR="00000000" w:rsidRDefault="00617893">
            <w:pPr>
              <w:pStyle w:val="Standard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Outcomes</w:t>
            </w:r>
          </w:p>
        </w:tc>
        <w:tc>
          <w:tcPr>
            <w:tcW w:w="0" w:type="auto"/>
            <w:gridSpan w:val="2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hideMark/>
          </w:tcPr>
          <w:p w:rsidR="00000000" w:rsidRDefault="00617893">
            <w:pPr>
              <w:pStyle w:val="StandardWeb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Anticipated</w:t>
            </w:r>
            <w:proofErr w:type="spellEnd"/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absolute </w:t>
            </w: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effects</w:t>
            </w:r>
            <w:proofErr w:type="spellEnd"/>
            <w:r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</w:rPr>
              <w:t>*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>(95% CI)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:rsidR="00000000" w:rsidRDefault="00617893">
            <w:pPr>
              <w:pStyle w:val="Standard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 xml:space="preserve">Relative </w:t>
            </w:r>
            <w:proofErr w:type="spellStart"/>
            <w:r>
              <w:rPr>
                <w:rFonts w:ascii="Arial Narrow" w:hAnsi="Arial Narrow"/>
                <w:color w:val="FFFFFF"/>
                <w:sz w:val="16"/>
                <w:szCs w:val="16"/>
              </w:rPr>
              <w:t>effect</w:t>
            </w:r>
            <w:proofErr w:type="spellEnd"/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 xml:space="preserve">(95% CI) </w:t>
            </w:r>
          </w:p>
        </w:tc>
        <w:tc>
          <w:tcPr>
            <w:tcW w:w="0" w:type="auto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:rsidR="00000000" w:rsidRDefault="00617893">
            <w:pPr>
              <w:pStyle w:val="Standard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№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FFFFFF"/>
                <w:sz w:val="16"/>
                <w:szCs w:val="16"/>
              </w:rPr>
              <w:t>of</w:t>
            </w:r>
            <w:proofErr w:type="spellEnd"/>
            <w:r>
              <w:rPr>
                <w:rFonts w:ascii="Arial Narrow" w:hAnsi="Arial Narrow"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FFFFFF"/>
                <w:sz w:val="16"/>
                <w:szCs w:val="16"/>
              </w:rPr>
              <w:t>participants</w:t>
            </w:r>
            <w:proofErr w:type="spellEnd"/>
            <w:r>
              <w:rPr>
                <w:rFonts w:ascii="Arial Narrow" w:hAnsi="Arial Narrow"/>
                <w:color w:val="FFFFFF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</w:t>
            </w:r>
            <w:proofErr w:type="spellStart"/>
            <w:r>
              <w:rPr>
                <w:rFonts w:ascii="Arial Narrow" w:hAnsi="Arial Narrow"/>
                <w:color w:val="FFFFFF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hAnsi="Arial Narrow"/>
                <w:color w:val="FFFFFF"/>
                <w:sz w:val="16"/>
                <w:szCs w:val="16"/>
              </w:rPr>
              <w:t xml:space="preserve">) </w:t>
            </w:r>
          </w:p>
        </w:tc>
        <w:tc>
          <w:tcPr>
            <w:tcW w:w="0" w:type="auto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:rsidR="00000000" w:rsidRPr="00CB0BDD" w:rsidRDefault="00617893">
            <w:pPr>
              <w:pStyle w:val="Standard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  <w:lang w:val="en-US"/>
              </w:rPr>
            </w:pPr>
            <w:r w:rsidRPr="00CB0BDD">
              <w:rPr>
                <w:rFonts w:ascii="Arial Narrow" w:hAnsi="Arial Narrow"/>
                <w:color w:val="FFFFFF"/>
                <w:sz w:val="16"/>
                <w:szCs w:val="16"/>
                <w:lang w:val="en-US"/>
              </w:rPr>
              <w:t>Certainty of the evidence</w:t>
            </w:r>
            <w:r w:rsidRPr="00CB0BDD">
              <w:rPr>
                <w:rFonts w:ascii="Arial Narrow" w:hAnsi="Arial Narrow"/>
                <w:color w:val="FFFFFF"/>
                <w:sz w:val="16"/>
                <w:szCs w:val="16"/>
                <w:lang w:val="en-US"/>
              </w:rPr>
              <w:br/>
              <w:t xml:space="preserve">(GRADE) </w:t>
            </w:r>
          </w:p>
        </w:tc>
        <w:tc>
          <w:tcPr>
            <w:tcW w:w="13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:rsidR="00000000" w:rsidRDefault="00617893">
            <w:pPr>
              <w:pStyle w:val="Standard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Comments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:rsidR="00000000" w:rsidRDefault="00617893">
            <w:pPr>
              <w:rPr>
                <w:rFonts w:ascii="Arial Narrow" w:hAnsi="Arial Narrow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hideMark/>
          </w:tcPr>
          <w:p w:rsidR="00000000" w:rsidRDefault="00617893">
            <w:pPr>
              <w:pStyle w:val="first-letter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with</w:t>
            </w:r>
            <w:proofErr w:type="spellEnd"/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Surgery</w:t>
            </w:r>
            <w:proofErr w:type="spellEnd"/>
          </w:p>
        </w:tc>
        <w:tc>
          <w:tcPr>
            <w:tcW w:w="0" w:type="auto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hideMark/>
          </w:tcPr>
          <w:p w:rsidR="00000000" w:rsidRDefault="00617893">
            <w:pPr>
              <w:pStyle w:val="first-letter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with</w:t>
            </w:r>
            <w:proofErr w:type="spellEnd"/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z w:val="16"/>
                <w:szCs w:val="16"/>
              </w:rPr>
              <w:t>Endoscopy</w:t>
            </w:r>
            <w:proofErr w:type="spellEnd"/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:rsidR="00000000" w:rsidRDefault="00617893">
            <w:pPr>
              <w:rPr>
                <w:rFonts w:ascii="Arial Narrow" w:hAnsi="Arial Narrow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:rsidR="00000000" w:rsidRDefault="00617893">
            <w:pPr>
              <w:rPr>
                <w:rFonts w:ascii="Arial Narrow" w:hAnsi="Arial Narrow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:rsidR="00000000" w:rsidRDefault="00617893">
            <w:pPr>
              <w:rPr>
                <w:rFonts w:ascii="Arial Narrow" w:hAnsi="Arial Narrow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:rsidR="00000000" w:rsidRDefault="00617893">
            <w:pPr>
              <w:rPr>
                <w:rFonts w:ascii="Arial Narrow" w:hAnsi="Arial Narrow"/>
                <w:color w:val="FFFFFF"/>
                <w:sz w:val="16"/>
                <w:szCs w:val="16"/>
              </w:rPr>
            </w:pP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228805106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Mortality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ITT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65761102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129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4761043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142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(61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297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54470841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1.12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(0.44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2.85)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54167736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33183401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gramEnd"/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1946499883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There are no significant difference in mortality between patients receiving endoscopic treatment and patients receiving surgical treatment. </w:t>
            </w: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210120407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New onset multiple organ failure ITT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5027911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151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51323123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52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(17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148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83861568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0.31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(0.10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0.98)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85095027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(3 RCTs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211663170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gramEnd"/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1370766915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There are significant differences between endoscopy and surgery in benefit of the endoscopic group. </w:t>
            </w: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1022977415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Perforation of visceral organ or enterocutaneous fistula ITT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17531075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151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125111251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52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(17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141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23759469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0.31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(0.10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0.93)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82624076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10665836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e</w:t>
            </w:r>
            <w:proofErr w:type="gramEnd"/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f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37843567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There were significantly less perforations of visceral organs or enterocutaneous fistulae in the endoscopic group. </w:t>
            </w: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529072383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Pancreatic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fistula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ITT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132901474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318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123628169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40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(14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116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23825003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0.09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(0.03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0.28)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84924761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175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0546283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e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729041639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There were significantly less pancreatic fistulae in the endoscopic group. </w:t>
            </w: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326330611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Hospital Stay mITT</w:t>
            </w:r>
            <w:r w:rsidRPr="00CB0BDD">
              <w:rPr>
                <w:rFonts w:ascii="Arial Narrow" w:eastAsia="Times New Roman" w:hAnsi="Arial Narrow"/>
                <w:sz w:val="18"/>
                <w:szCs w:val="18"/>
                <w:lang w:val="en-US"/>
              </w:rPr>
              <w:br/>
            </w:r>
            <w:r w:rsidRPr="00CB0BDD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assessed with: days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:rsidR="00000000" w:rsidRPr="00CB0BDD" w:rsidRDefault="00617893">
            <w:pPr>
              <w:jc w:val="center"/>
              <w:divId w:val="127404837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 mean hospital Stay mITT was </w:t>
            </w:r>
            <w:r w:rsidRPr="00CB0BDD"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 xml:space="preserve">30.67 </w:t>
            </w: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day</w:t>
            </w: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s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Pr="00CB0BDD" w:rsidRDefault="00617893">
            <w:pPr>
              <w:jc w:val="center"/>
              <w:divId w:val="190567351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MD </w:t>
            </w:r>
            <w:r w:rsidRPr="00CB0BDD"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7.86 days lower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(14.49 lower to 1.22 lower</w:t>
            </w: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)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37095249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89470182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179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82828350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g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35554247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Patients that receive endoscopic treatment have a significantly shorter hospital stay than patients that receive surgical treatment. </w:t>
            </w: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945039972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Composite Endpoints of Trials ITT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135307234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452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115533946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229 per 1.00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(76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511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55956025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0.36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(0.10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1.27)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82289348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517621371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 w:rsidRPr="00CB0BDD"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  <w:lang w:val="en-US"/>
              </w:rPr>
              <w:t>◯◯◯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Style w:val="quality-text"/>
                <w:rFonts w:ascii="Arial Narrow" w:eastAsia="Times New Roman" w:hAnsi="Arial Narrow"/>
                <w:sz w:val="16"/>
                <w:szCs w:val="16"/>
                <w:lang w:val="en-US"/>
              </w:rPr>
              <w:t>VERY LOW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CB0BDD">
              <w:rPr>
                <w:rFonts w:ascii="Arial Narrow" w:eastAsia="Times New Roman" w:hAnsi="Arial Narrow"/>
                <w:sz w:val="16"/>
                <w:szCs w:val="16"/>
                <w:vertAlign w:val="superscript"/>
                <w:lang w:val="en-US"/>
              </w:rPr>
              <w:t>b</w:t>
            </w:r>
            <w:r w:rsidRPr="00CB0BDD"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  <w:lang w:val="en-US"/>
              </w:rPr>
              <w:t>,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vertAlign w:val="superscript"/>
                <w:lang w:val="en-US"/>
              </w:rPr>
              <w:t>c</w:t>
            </w:r>
            <w:proofErr w:type="gramEnd"/>
            <w:r w:rsidRPr="00CB0BDD"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  <w:lang w:val="en-US"/>
              </w:rPr>
              <w:t>,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vertAlign w:val="superscript"/>
                <w:lang w:val="en-US"/>
              </w:rPr>
              <w:t>h</w:t>
            </w:r>
            <w:r w:rsidRPr="00CB0BDD"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  <w:lang w:val="en-US"/>
              </w:rPr>
              <w:t>,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vertAlign w:val="superscript"/>
                <w:lang w:val="en-US"/>
              </w:rPr>
              <w:t>i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3288879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Bleeding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Requiring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Intervention ITT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55208078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140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21758921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89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(16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368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83005674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0.60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(0.10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3.59)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53507869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04078571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66270190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 rates of bleeding that requires intervention do not significantly differ between the two groups. </w:t>
            </w:r>
          </w:p>
        </w:tc>
      </w:tr>
      <w:tr w:rsidR="00000000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845975353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Incisional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Hernia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ITT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205685548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37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58249174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9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(1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77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29818979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0.24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(0.03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2.18)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42888922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166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(2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51303111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</w:tr>
      <w:tr w:rsidR="00000000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197813514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Exocrine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Insufficiency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ITT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69160814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543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140459782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553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(269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807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96785387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1.04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(0.31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3.51)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37646567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163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47240503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</w:tr>
      <w:tr w:rsidR="00000000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781339410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Endocrine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Insufficiency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mITT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divId w:val="209855434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292 per 1.000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Default="00617893">
            <w:pPr>
              <w:jc w:val="center"/>
              <w:divId w:val="141446827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248 per 1.000</w:t>
            </w:r>
            <w:r>
              <w:rPr>
                <w:rFonts w:ascii="Arial Narrow" w:eastAsia="Times New Roman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(135 </w:t>
            </w:r>
            <w:proofErr w:type="spellStart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to</w:t>
            </w:r>
            <w:proofErr w:type="spellEnd"/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 xml:space="preserve"> 409</w:t>
            </w:r>
            <w:r>
              <w:rPr>
                <w:rStyle w:val="cell-value"/>
                <w:rFonts w:ascii="Arial Narrow" w:eastAsia="Times New Roman" w:hAnsi="Arial Narrow"/>
                <w:sz w:val="18"/>
                <w:szCs w:val="18"/>
              </w:rPr>
              <w:t>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32717257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OR 0.80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(0.38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1.68)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43964617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145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(3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92118725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</w:tr>
      <w:tr w:rsidR="00000000" w:rsidRPr="00CB0BDD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99591417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ICU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Stay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mITT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:rsidR="00000000" w:rsidRPr="00CB0BDD" w:rsidRDefault="00617893">
            <w:pPr>
              <w:jc w:val="center"/>
              <w:divId w:val="110430037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 mean ICU Stay mITT was </w:t>
            </w:r>
            <w:r w:rsidRPr="00CB0BDD"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0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000000" w:rsidRPr="00CB0BDD" w:rsidRDefault="00617893">
            <w:pPr>
              <w:jc w:val="center"/>
              <w:divId w:val="156397870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MD </w:t>
            </w:r>
            <w:r w:rsidRPr="00CB0BDD"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3.76 lower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(8.33 lower to 0.8 higher</w:t>
            </w:r>
            <w:r w:rsidRPr="00CB0BDD">
              <w:rPr>
                <w:rStyle w:val="cell-value"/>
                <w:rFonts w:ascii="Arial Narrow" w:eastAsia="Times New Roman" w:hAnsi="Arial Narrow"/>
                <w:sz w:val="16"/>
                <w:szCs w:val="16"/>
                <w:lang w:val="en-US"/>
              </w:rPr>
              <w:t>)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53019043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109382054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 xml:space="preserve">(2 RCTs) 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jc w:val="center"/>
              <w:divId w:val="71323697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g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jc w:val="center"/>
              <w:divId w:val="1095401355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in ICU stay in patients that receive endoscopic treatment and patients that receive surgical treatmen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t. </w:t>
            </w:r>
          </w:p>
        </w:tc>
      </w:tr>
      <w:tr w:rsidR="00000000">
        <w:trPr>
          <w:cantSplit/>
        </w:trPr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Default="00617893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*</w:t>
            </w: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The risk in the intervention group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(and its 95% confidence interval) is based on the assumed risk in the comparison group and the </w:t>
            </w: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relative effect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of the intervention (and its 95% CI). 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CI: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Confidence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interval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; 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OR: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Odds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ratio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; 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MD: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Mean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difference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</w:tc>
      </w:tr>
      <w:tr w:rsidR="00000000" w:rsidRPr="00CB0BDD">
        <w:trPr>
          <w:cantSplit/>
        </w:trPr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000000" w:rsidRPr="00CB0BDD" w:rsidRDefault="00617893">
            <w:pPr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GRADE Working Group grades of evidence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High certainty: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We are very confident that the true effect lies close to that of the estimate of the effect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Moderate certainty: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We are moderately confident in the effect estimate: The true effect is likely to be close to the estimate of the effect, but there is a possibility that it is substantially different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Low certainty: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Our confidence in the effect estimate is limited: The true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effect may be substantially different from the estimate of the effect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br/>
            </w:r>
            <w:r w:rsidRPr="00CB0BDD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Very low certainty:</w:t>
            </w:r>
            <w:r w:rsidRPr="00CB0BDD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We have very little confidence in the effect estimate: The true effect is likely to be substantially different from the estimate of effect </w:t>
            </w:r>
          </w:p>
        </w:tc>
      </w:tr>
    </w:tbl>
    <w:p w:rsidR="00000000" w:rsidRDefault="00617893">
      <w:pPr>
        <w:pStyle w:val="berschrift4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Explanations</w:t>
      </w:r>
    </w:p>
    <w:p w:rsidR="00000000" w:rsidRDefault="00617893">
      <w:pPr>
        <w:divId w:val="507138596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lastRenderedPageBreak/>
        <w:t xml:space="preserve">a. Objective Outcome, not at risk of bias </w:t>
      </w:r>
    </w:p>
    <w:p w:rsidR="00000000" w:rsidRDefault="00617893">
      <w:pPr>
        <w:divId w:val="1505780461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b. Optimal Information size not reached </w:t>
      </w:r>
    </w:p>
    <w:p w:rsidR="00000000" w:rsidRDefault="00617893">
      <w:pPr>
        <w:divId w:val="1089035109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c. Confidence intervals include significant benefit and significant harm </w:t>
      </w:r>
    </w:p>
    <w:p w:rsidR="00000000" w:rsidRDefault="00617893">
      <w:pPr>
        <w:divId w:val="1743675369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d. 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Outcome well defined and at low risk of bias </w:t>
      </w:r>
    </w:p>
    <w:p w:rsidR="00000000" w:rsidRDefault="00617893">
      <w:pPr>
        <w:divId w:val="99499330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e. High risk of bias due to possible underestimation of frequency of fistulae due to lower rate of percutaneous drainage and resulting lower measurement of fistulae in endoscopic group. </w:t>
      </w:r>
    </w:p>
    <w:p w:rsidR="00000000" w:rsidRDefault="00617893">
      <w:pPr>
        <w:divId w:val="671104649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f. No upgrading due to 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large effect due to possible confounding due to </w:t>
      </w: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overdiagnosing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in endoscopic group. </w:t>
      </w:r>
    </w:p>
    <w:p w:rsidR="00000000" w:rsidRDefault="00617893">
      <w:pPr>
        <w:divId w:val="899290075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g. Not ITT analysis. Patient data missing (Endoscopy: n = 1; Surgery: n = 5) </w:t>
      </w:r>
    </w:p>
    <w:p w:rsidR="00000000" w:rsidRDefault="00617893">
      <w:pPr>
        <w:divId w:val="867184272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h. Possibly high risk of bias due to Selection of reported results </w:t>
      </w:r>
    </w:p>
    <w:p w:rsidR="00617893" w:rsidRDefault="00617893">
      <w:pPr>
        <w:divId w:val="1582252507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proofErr w:type="spellStart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i</w:t>
      </w:r>
      <w:proofErr w:type="spellEnd"/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. High Heterogeneity wit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h P &lt; 0.05 </w:t>
      </w:r>
    </w:p>
    <w:sectPr w:rsidR="00617893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5060202020A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B3A"/>
    <w:rsid w:val="000A0B3A"/>
    <w:rsid w:val="00617893"/>
    <w:rsid w:val="00CB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8C9637D-12A3-C64F-8FA2-18CEFB26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link w:val="berschrift4Zchn"/>
    <w:uiPriority w:val="9"/>
    <w:qFormat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Times New Roman" w:hAnsi="Times New Roman" w:cs="Times New Roman"/>
      <w:b/>
      <w:bCs/>
    </w:rPr>
  </w:style>
  <w:style w:type="paragraph" w:customStyle="1" w:styleId="sof-title">
    <w:name w:val="sof-title"/>
    <w:basedOn w:val="Standard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first-letter">
    <w:name w:val="first-letter"/>
    <w:basedOn w:val="Standar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label">
    <w:name w:val="label"/>
    <w:basedOn w:val="Absatz-Standardschriftart"/>
  </w:style>
  <w:style w:type="character" w:customStyle="1" w:styleId="cell-value">
    <w:name w:val="cell-value"/>
    <w:basedOn w:val="Absatz-Standardschriftart"/>
  </w:style>
  <w:style w:type="character" w:customStyle="1" w:styleId="cell">
    <w:name w:val="cell"/>
    <w:basedOn w:val="Absatz-Standardschriftart"/>
  </w:style>
  <w:style w:type="character" w:customStyle="1" w:styleId="block">
    <w:name w:val="block"/>
    <w:basedOn w:val="Absatz-Standardschriftart"/>
  </w:style>
  <w:style w:type="character" w:customStyle="1" w:styleId="quality-sign">
    <w:name w:val="quality-sign"/>
    <w:basedOn w:val="Absatz-Standardschriftart"/>
  </w:style>
  <w:style w:type="character" w:customStyle="1" w:styleId="quality-text">
    <w:name w:val="quality-text"/>
    <w:basedOn w:val="Absatz-Standardschriftart"/>
  </w:style>
  <w:style w:type="character" w:customStyle="1" w:styleId="comma">
    <w:name w:val="comma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8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6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2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4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7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2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24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Caelan Haney</cp:lastModifiedBy>
  <cp:revision>2</cp:revision>
  <dcterms:created xsi:type="dcterms:W3CDTF">2020-02-09T09:53:00Z</dcterms:created>
  <dcterms:modified xsi:type="dcterms:W3CDTF">2020-02-09T09:53:00Z</dcterms:modified>
</cp:coreProperties>
</file>