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41B22B" w14:textId="77777777" w:rsidR="0052355F" w:rsidRDefault="0052355F" w:rsidP="005014D1">
      <w:pPr>
        <w:pStyle w:val="Default"/>
        <w:tabs>
          <w:tab w:val="left" w:pos="426"/>
        </w:tabs>
        <w:ind w:left="-142"/>
        <w:rPr>
          <w:sz w:val="22"/>
          <w:szCs w:val="22"/>
          <w:lang w:val="en-US"/>
        </w:rPr>
      </w:pPr>
      <w:r w:rsidRPr="00DF3783">
        <w:rPr>
          <w:b/>
          <w:sz w:val="22"/>
          <w:szCs w:val="22"/>
          <w:lang w:val="en-US"/>
        </w:rPr>
        <w:t xml:space="preserve">Table </w:t>
      </w:r>
      <w:r>
        <w:rPr>
          <w:b/>
          <w:sz w:val="22"/>
          <w:szCs w:val="22"/>
          <w:lang w:val="en-US"/>
        </w:rPr>
        <w:t>2</w:t>
      </w:r>
      <w:r>
        <w:rPr>
          <w:b/>
          <w:sz w:val="22"/>
          <w:szCs w:val="22"/>
          <w:lang w:val="en-US"/>
        </w:rPr>
        <w:t>.</w:t>
      </w:r>
      <w:r w:rsidRPr="00DF3783">
        <w:rPr>
          <w:b/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Proposed standardization of the timing and</w:t>
      </w:r>
      <w:r>
        <w:rPr>
          <w:sz w:val="22"/>
          <w:szCs w:val="22"/>
          <w:lang w:val="en-US"/>
        </w:rPr>
        <w:t xml:space="preserve"> </w:t>
      </w:r>
      <w:r w:rsidRPr="002C23D4">
        <w:rPr>
          <w:sz w:val="22"/>
          <w:szCs w:val="22"/>
          <w:lang w:val="en-US"/>
        </w:rPr>
        <w:t xml:space="preserve">diagnostic criteria for the </w:t>
      </w:r>
      <w:r>
        <w:rPr>
          <w:sz w:val="22"/>
          <w:szCs w:val="22"/>
          <w:lang w:val="en-US"/>
        </w:rPr>
        <w:t xml:space="preserve">definition </w:t>
      </w:r>
      <w:r w:rsidRPr="002C23D4">
        <w:rPr>
          <w:sz w:val="22"/>
          <w:szCs w:val="22"/>
          <w:lang w:val="en-US"/>
        </w:rPr>
        <w:t>of non-responde</w:t>
      </w:r>
      <w:r>
        <w:rPr>
          <w:sz w:val="22"/>
          <w:szCs w:val="22"/>
          <w:lang w:val="en-US"/>
        </w:rPr>
        <w:t>r</w:t>
      </w:r>
      <w:r w:rsidRPr="002C23D4">
        <w:rPr>
          <w:sz w:val="22"/>
          <w:szCs w:val="22"/>
          <w:lang w:val="en-US"/>
        </w:rPr>
        <w:t xml:space="preserve"> after primary bariatric</w:t>
      </w:r>
      <w:r>
        <w:rPr>
          <w:sz w:val="22"/>
          <w:szCs w:val="22"/>
          <w:lang w:val="en-US"/>
        </w:rPr>
        <w:t>/metabolic</w:t>
      </w:r>
      <w:r w:rsidRPr="002C23D4">
        <w:rPr>
          <w:sz w:val="22"/>
          <w:szCs w:val="22"/>
          <w:lang w:val="en-US"/>
        </w:rPr>
        <w:t xml:space="preserve"> surgery</w:t>
      </w:r>
      <w:r>
        <w:rPr>
          <w:sz w:val="22"/>
          <w:szCs w:val="22"/>
          <w:lang w:val="en-US"/>
        </w:rPr>
        <w:t>.</w:t>
      </w:r>
    </w:p>
    <w:p w14:paraId="335D044C" w14:textId="77777777" w:rsidR="0052355F" w:rsidRDefault="0052355F" w:rsidP="0052355F">
      <w:pPr>
        <w:pStyle w:val="Default"/>
        <w:tabs>
          <w:tab w:val="left" w:pos="426"/>
        </w:tabs>
        <w:rPr>
          <w:sz w:val="22"/>
          <w:szCs w:val="22"/>
          <w:lang w:val="en-US"/>
        </w:rPr>
      </w:pPr>
      <w:bookmarkStart w:id="0" w:name="_GoBack"/>
      <w:bookmarkEnd w:id="0"/>
    </w:p>
    <w:p w14:paraId="127AA7F0" w14:textId="77777777" w:rsidR="0052355F" w:rsidRDefault="0052355F" w:rsidP="0052355F">
      <w:pPr>
        <w:pStyle w:val="Default"/>
        <w:tabs>
          <w:tab w:val="left" w:pos="426"/>
        </w:tabs>
        <w:rPr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2518"/>
        <w:gridCol w:w="5998"/>
      </w:tblGrid>
      <w:tr w:rsidR="0052355F" w:rsidRPr="0052355F" w14:paraId="7E68A5AF" w14:textId="77777777" w:rsidTr="00E02FDB">
        <w:tc>
          <w:tcPr>
            <w:tcW w:w="2518" w:type="dxa"/>
            <w:shd w:val="clear" w:color="auto" w:fill="auto"/>
          </w:tcPr>
          <w:p w14:paraId="06894AE1" w14:textId="77777777" w:rsidR="0052355F" w:rsidRPr="0052355F" w:rsidRDefault="0052355F" w:rsidP="0052355F">
            <w:pPr>
              <w:pStyle w:val="Default"/>
              <w:rPr>
                <w:sz w:val="22"/>
                <w:szCs w:val="22"/>
                <w:lang w:val="en-US"/>
              </w:rPr>
            </w:pPr>
            <w:r w:rsidRPr="0052355F">
              <w:rPr>
                <w:i/>
                <w:sz w:val="22"/>
                <w:szCs w:val="22"/>
                <w:lang w:val="en-US"/>
              </w:rPr>
              <w:t>Primary non-responder</w:t>
            </w:r>
          </w:p>
        </w:tc>
        <w:tc>
          <w:tcPr>
            <w:tcW w:w="5998" w:type="dxa"/>
            <w:shd w:val="clear" w:color="auto" w:fill="auto"/>
          </w:tcPr>
          <w:p w14:paraId="5C0A3F0D" w14:textId="77777777" w:rsidR="0052355F" w:rsidRPr="0052355F" w:rsidRDefault="0052355F" w:rsidP="0052355F">
            <w:pPr>
              <w:pStyle w:val="Default"/>
              <w:rPr>
                <w:i/>
                <w:sz w:val="22"/>
                <w:szCs w:val="22"/>
                <w:lang w:val="en-US"/>
              </w:rPr>
            </w:pPr>
            <w:r w:rsidRPr="0052355F">
              <w:rPr>
                <w:i/>
                <w:sz w:val="22"/>
                <w:szCs w:val="22"/>
                <w:lang w:val="en-US"/>
              </w:rPr>
              <w:t>Timing:</w:t>
            </w:r>
          </w:p>
          <w:p w14:paraId="1021C119" w14:textId="77777777" w:rsidR="0052355F" w:rsidRPr="0052355F" w:rsidRDefault="0052355F" w:rsidP="0052355F">
            <w:pPr>
              <w:pStyle w:val="Default"/>
              <w:rPr>
                <w:sz w:val="22"/>
                <w:szCs w:val="22"/>
                <w:lang w:val="en-US"/>
              </w:rPr>
            </w:pPr>
            <w:r w:rsidRPr="0052355F">
              <w:rPr>
                <w:sz w:val="22"/>
                <w:szCs w:val="22"/>
                <w:lang w:val="en-US"/>
              </w:rPr>
              <w:t xml:space="preserve">Insufficient weight loss can be detected early after the </w:t>
            </w:r>
            <w:r>
              <w:rPr>
                <w:sz w:val="22"/>
                <w:szCs w:val="22"/>
                <w:lang w:val="en-US"/>
              </w:rPr>
              <w:t>index</w:t>
            </w:r>
            <w:r w:rsidRPr="0052355F">
              <w:rPr>
                <w:sz w:val="22"/>
                <w:szCs w:val="22"/>
                <w:lang w:val="en-US"/>
              </w:rPr>
              <w:t xml:space="preserve"> procedure in patients </w:t>
            </w:r>
            <w:r>
              <w:rPr>
                <w:sz w:val="22"/>
                <w:szCs w:val="22"/>
                <w:lang w:val="en-US"/>
              </w:rPr>
              <w:t>with</w:t>
            </w:r>
            <w:r w:rsidRPr="0052355F">
              <w:rPr>
                <w:sz w:val="22"/>
                <w:szCs w:val="22"/>
                <w:lang w:val="en-US"/>
              </w:rPr>
              <w:t xml:space="preserve"> weight loss clearly lower than expected. Early detection </w:t>
            </w:r>
            <w:r>
              <w:rPr>
                <w:sz w:val="22"/>
                <w:szCs w:val="22"/>
                <w:lang w:val="en-US"/>
              </w:rPr>
              <w:t>may</w:t>
            </w:r>
            <w:r w:rsidRPr="0052355F">
              <w:rPr>
                <w:sz w:val="22"/>
                <w:szCs w:val="22"/>
                <w:lang w:val="en-US"/>
              </w:rPr>
              <w:t xml:space="preserve"> offer </w:t>
            </w:r>
            <w:r>
              <w:rPr>
                <w:sz w:val="22"/>
                <w:szCs w:val="22"/>
                <w:lang w:val="en-US"/>
              </w:rPr>
              <w:t>the opportunity for</w:t>
            </w:r>
            <w:r w:rsidRPr="0052355F">
              <w:rPr>
                <w:sz w:val="22"/>
                <w:szCs w:val="22"/>
                <w:lang w:val="en-US"/>
              </w:rPr>
              <w:t xml:space="preserve"> additional interventions (intensive lifestyle modifications, behavioral programs, weight-loss </w:t>
            </w:r>
            <w:r>
              <w:rPr>
                <w:sz w:val="22"/>
                <w:szCs w:val="22"/>
                <w:lang w:val="en-US"/>
              </w:rPr>
              <w:t>medication</w:t>
            </w:r>
            <w:r w:rsidRPr="0052355F">
              <w:rPr>
                <w:sz w:val="22"/>
                <w:szCs w:val="22"/>
                <w:lang w:val="en-US"/>
              </w:rPr>
              <w:t xml:space="preserve">). However, for the purposes of revisional surgery, the patients should be evaluated at the nadir of the curve of weight loss following the </w:t>
            </w:r>
            <w:r>
              <w:rPr>
                <w:sz w:val="22"/>
                <w:szCs w:val="22"/>
                <w:lang w:val="en-US"/>
              </w:rPr>
              <w:t>index</w:t>
            </w:r>
            <w:r w:rsidRPr="0052355F">
              <w:rPr>
                <w:sz w:val="22"/>
                <w:szCs w:val="22"/>
                <w:lang w:val="en-US"/>
              </w:rPr>
              <w:t xml:space="preserve"> procedure, not </w:t>
            </w:r>
            <w:r>
              <w:rPr>
                <w:sz w:val="22"/>
                <w:szCs w:val="22"/>
                <w:lang w:val="en-US"/>
              </w:rPr>
              <w:t>earlier than</w:t>
            </w:r>
            <w:r w:rsidRPr="0052355F">
              <w:rPr>
                <w:sz w:val="22"/>
                <w:szCs w:val="22"/>
                <w:lang w:val="en-US"/>
              </w:rPr>
              <w:t xml:space="preserve"> 18-24 months.</w:t>
            </w:r>
          </w:p>
          <w:p w14:paraId="79F99AB8" w14:textId="77777777" w:rsidR="0052355F" w:rsidRPr="0052355F" w:rsidRDefault="0052355F" w:rsidP="0052355F">
            <w:pPr>
              <w:pStyle w:val="Default"/>
              <w:rPr>
                <w:i/>
                <w:sz w:val="22"/>
                <w:szCs w:val="22"/>
                <w:lang w:val="en-US"/>
              </w:rPr>
            </w:pPr>
          </w:p>
          <w:p w14:paraId="77B17F59" w14:textId="77777777" w:rsidR="0052355F" w:rsidRPr="0052355F" w:rsidRDefault="0052355F" w:rsidP="0052355F">
            <w:pPr>
              <w:pStyle w:val="Default"/>
              <w:rPr>
                <w:i/>
                <w:sz w:val="22"/>
                <w:szCs w:val="22"/>
                <w:lang w:val="en-US"/>
              </w:rPr>
            </w:pPr>
            <w:r w:rsidRPr="0052355F">
              <w:rPr>
                <w:i/>
                <w:sz w:val="22"/>
                <w:szCs w:val="22"/>
                <w:lang w:val="en-US"/>
              </w:rPr>
              <w:t xml:space="preserve">Criteria: </w:t>
            </w:r>
          </w:p>
          <w:p w14:paraId="6F6F78EF" w14:textId="77777777" w:rsidR="0052355F" w:rsidRPr="0052355F" w:rsidRDefault="0052355F" w:rsidP="0052355F">
            <w:pPr>
              <w:pStyle w:val="Default"/>
              <w:rPr>
                <w:sz w:val="22"/>
                <w:szCs w:val="22"/>
                <w:lang w:val="en-US"/>
              </w:rPr>
            </w:pPr>
            <w:r w:rsidRPr="0052355F">
              <w:rPr>
                <w:sz w:val="22"/>
                <w:szCs w:val="22"/>
                <w:lang w:val="en-US"/>
              </w:rPr>
              <w:t>Patients could be defined as primary non-responders in the presence o</w:t>
            </w:r>
            <w:r>
              <w:rPr>
                <w:sz w:val="22"/>
                <w:szCs w:val="22"/>
                <w:lang w:val="en-US"/>
              </w:rPr>
              <w:t>f at least one of the following</w:t>
            </w:r>
            <w:r w:rsidRPr="0052355F">
              <w:rPr>
                <w:sz w:val="22"/>
                <w:szCs w:val="22"/>
                <w:lang w:val="en-US"/>
              </w:rPr>
              <w:t>:</w:t>
            </w:r>
          </w:p>
          <w:p w14:paraId="227F4F8E" w14:textId="77777777" w:rsidR="0052355F" w:rsidRDefault="0052355F" w:rsidP="0052355F">
            <w:pPr>
              <w:pStyle w:val="Default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 w:rsidRPr="0052355F">
              <w:rPr>
                <w:sz w:val="22"/>
                <w:szCs w:val="22"/>
                <w:lang w:val="en-US"/>
              </w:rPr>
              <w:t xml:space="preserve">Weight loss lower than </w:t>
            </w:r>
            <w:r>
              <w:rPr>
                <w:sz w:val="22"/>
                <w:szCs w:val="22"/>
                <w:lang w:val="en-US"/>
              </w:rPr>
              <w:t>10% of the baseline body weight</w:t>
            </w:r>
          </w:p>
          <w:p w14:paraId="091BAF44" w14:textId="77777777" w:rsidR="0052355F" w:rsidRDefault="0052355F" w:rsidP="0052355F">
            <w:pPr>
              <w:pStyle w:val="Default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 w:rsidRPr="0052355F">
              <w:rPr>
                <w:sz w:val="22"/>
                <w:szCs w:val="22"/>
                <w:lang w:val="en-US"/>
              </w:rPr>
              <w:t xml:space="preserve">Weight loss not sufficient to </w:t>
            </w:r>
            <w:r>
              <w:rPr>
                <w:sz w:val="22"/>
                <w:szCs w:val="22"/>
                <w:lang w:val="en-US"/>
              </w:rPr>
              <w:t xml:space="preserve">remove </w:t>
            </w:r>
            <w:r w:rsidRPr="0052355F">
              <w:rPr>
                <w:sz w:val="22"/>
                <w:szCs w:val="22"/>
                <w:lang w:val="en-US"/>
              </w:rPr>
              <w:t xml:space="preserve">patients </w:t>
            </w:r>
            <w:r>
              <w:rPr>
                <w:sz w:val="22"/>
                <w:szCs w:val="22"/>
                <w:lang w:val="en-US"/>
              </w:rPr>
              <w:t xml:space="preserve">from the index classification as obese </w:t>
            </w:r>
            <w:r w:rsidRPr="0052355F">
              <w:rPr>
                <w:sz w:val="22"/>
                <w:szCs w:val="22"/>
                <w:lang w:val="en-US"/>
              </w:rPr>
              <w:t>as an indicatio</w:t>
            </w:r>
            <w:r>
              <w:rPr>
                <w:sz w:val="22"/>
                <w:szCs w:val="22"/>
                <w:lang w:val="en-US"/>
              </w:rPr>
              <w:t>n for primary bariatric surgery</w:t>
            </w:r>
          </w:p>
          <w:p w14:paraId="061F6B6B" w14:textId="77777777" w:rsidR="0052355F" w:rsidRPr="0052355F" w:rsidRDefault="0052355F" w:rsidP="00E02FDB">
            <w:pPr>
              <w:pStyle w:val="Default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 w:rsidRPr="0052355F">
              <w:rPr>
                <w:sz w:val="22"/>
                <w:szCs w:val="22"/>
                <w:lang w:val="en-US"/>
              </w:rPr>
              <w:t>Weight loss not sufficient to permit adequate cont</w:t>
            </w:r>
            <w:r w:rsidR="00E02FDB">
              <w:rPr>
                <w:sz w:val="22"/>
                <w:szCs w:val="22"/>
                <w:lang w:val="en-US"/>
              </w:rPr>
              <w:t xml:space="preserve">rol of </w:t>
            </w:r>
            <w:r w:rsidRPr="0052355F">
              <w:rPr>
                <w:sz w:val="22"/>
                <w:szCs w:val="22"/>
                <w:lang w:val="en-US"/>
              </w:rPr>
              <w:t>baseline comorbidities</w:t>
            </w:r>
            <w:r w:rsidR="00E02FDB">
              <w:rPr>
                <w:sz w:val="22"/>
                <w:szCs w:val="22"/>
                <w:lang w:val="en-US"/>
              </w:rPr>
              <w:t xml:space="preserve"> </w:t>
            </w:r>
            <w:r w:rsidR="00E02FDB">
              <w:rPr>
                <w:sz w:val="22"/>
                <w:szCs w:val="22"/>
                <w:lang w:val="en-US"/>
              </w:rPr>
              <w:t>with medical therapy</w:t>
            </w:r>
            <w:r w:rsidRPr="0052355F">
              <w:rPr>
                <w:sz w:val="22"/>
                <w:szCs w:val="22"/>
                <w:lang w:val="en-US"/>
              </w:rPr>
              <w:t>, including type 2 diabetes.</w:t>
            </w:r>
          </w:p>
        </w:tc>
      </w:tr>
      <w:tr w:rsidR="0052355F" w:rsidRPr="0052355F" w14:paraId="70193247" w14:textId="77777777" w:rsidTr="00E02FDB">
        <w:tc>
          <w:tcPr>
            <w:tcW w:w="2518" w:type="dxa"/>
            <w:shd w:val="clear" w:color="auto" w:fill="auto"/>
          </w:tcPr>
          <w:p w14:paraId="0FA92529" w14:textId="77777777" w:rsidR="0052355F" w:rsidRPr="0052355F" w:rsidRDefault="0052355F" w:rsidP="0052355F">
            <w:pPr>
              <w:pStyle w:val="Default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 xml:space="preserve">Secondary </w:t>
            </w:r>
            <w:r w:rsidRPr="0052355F">
              <w:rPr>
                <w:i/>
                <w:sz w:val="22"/>
                <w:szCs w:val="22"/>
                <w:lang w:val="en-US"/>
              </w:rPr>
              <w:t>non-responder</w:t>
            </w:r>
          </w:p>
        </w:tc>
        <w:tc>
          <w:tcPr>
            <w:tcW w:w="5998" w:type="dxa"/>
            <w:shd w:val="clear" w:color="auto" w:fill="auto"/>
          </w:tcPr>
          <w:p w14:paraId="67034FAA" w14:textId="77777777" w:rsidR="0052355F" w:rsidRPr="0052355F" w:rsidRDefault="0052355F" w:rsidP="0052355F">
            <w:pPr>
              <w:pStyle w:val="Default"/>
              <w:rPr>
                <w:i/>
                <w:sz w:val="22"/>
                <w:szCs w:val="22"/>
                <w:lang w:val="en-US"/>
              </w:rPr>
            </w:pPr>
            <w:r w:rsidRPr="0052355F">
              <w:rPr>
                <w:i/>
                <w:sz w:val="22"/>
                <w:szCs w:val="22"/>
                <w:lang w:val="en-US"/>
              </w:rPr>
              <w:t>Timing:</w:t>
            </w:r>
          </w:p>
          <w:p w14:paraId="05140853" w14:textId="77777777" w:rsidR="0052355F" w:rsidRPr="0052355F" w:rsidRDefault="0052355F" w:rsidP="0052355F">
            <w:pPr>
              <w:pStyle w:val="Default"/>
              <w:rPr>
                <w:sz w:val="22"/>
                <w:szCs w:val="22"/>
                <w:lang w:val="en-US"/>
              </w:rPr>
            </w:pPr>
            <w:r w:rsidRPr="0052355F">
              <w:rPr>
                <w:sz w:val="22"/>
                <w:szCs w:val="22"/>
                <w:lang w:val="en-US"/>
              </w:rPr>
              <w:t xml:space="preserve">Weight regain </w:t>
            </w:r>
            <w:r w:rsidRPr="0052355F">
              <w:rPr>
                <w:color w:val="auto"/>
                <w:sz w:val="22"/>
                <w:szCs w:val="22"/>
                <w:lang w:val="en-US"/>
              </w:rPr>
              <w:t>after a successful primary procedure should be evaluated after the expected time for weight stabilization, taking into account that a minimal level of weight regain after the nadir</w:t>
            </w:r>
            <w:r w:rsidRPr="0052355F">
              <w:rPr>
                <w:sz w:val="22"/>
                <w:szCs w:val="22"/>
                <w:lang w:val="en-US"/>
              </w:rPr>
              <w:t xml:space="preserve"> should be considered as normal, </w:t>
            </w:r>
            <w:r>
              <w:rPr>
                <w:sz w:val="22"/>
                <w:szCs w:val="22"/>
                <w:lang w:val="en-US"/>
              </w:rPr>
              <w:t>at least</w:t>
            </w:r>
            <w:r w:rsidRPr="0052355F">
              <w:rPr>
                <w:sz w:val="22"/>
                <w:szCs w:val="22"/>
                <w:lang w:val="en-US"/>
              </w:rPr>
              <w:t xml:space="preserve"> 24 months after the </w:t>
            </w:r>
            <w:r>
              <w:rPr>
                <w:sz w:val="22"/>
                <w:szCs w:val="22"/>
                <w:lang w:val="en-US"/>
              </w:rPr>
              <w:t>index</w:t>
            </w:r>
            <w:r w:rsidRPr="0052355F">
              <w:rPr>
                <w:sz w:val="22"/>
                <w:szCs w:val="22"/>
                <w:lang w:val="en-US"/>
              </w:rPr>
              <w:t xml:space="preserve"> pro</w:t>
            </w:r>
            <w:r>
              <w:rPr>
                <w:sz w:val="22"/>
                <w:szCs w:val="22"/>
                <w:lang w:val="en-US"/>
              </w:rPr>
              <w:t>cedure.</w:t>
            </w:r>
          </w:p>
          <w:p w14:paraId="6C900A47" w14:textId="77777777" w:rsidR="0052355F" w:rsidRPr="0052355F" w:rsidRDefault="0052355F" w:rsidP="0052355F">
            <w:pPr>
              <w:pStyle w:val="Default"/>
              <w:rPr>
                <w:i/>
                <w:sz w:val="22"/>
                <w:szCs w:val="22"/>
                <w:lang w:val="en-US"/>
              </w:rPr>
            </w:pPr>
          </w:p>
          <w:p w14:paraId="6CE7337C" w14:textId="77777777" w:rsidR="0052355F" w:rsidRPr="0052355F" w:rsidRDefault="0052355F" w:rsidP="0052355F">
            <w:pPr>
              <w:pStyle w:val="Default"/>
              <w:rPr>
                <w:i/>
                <w:sz w:val="22"/>
                <w:szCs w:val="22"/>
                <w:lang w:val="en-US"/>
              </w:rPr>
            </w:pPr>
            <w:r w:rsidRPr="0052355F">
              <w:rPr>
                <w:i/>
                <w:sz w:val="22"/>
                <w:szCs w:val="22"/>
                <w:lang w:val="en-US"/>
              </w:rPr>
              <w:t xml:space="preserve">Criteria: </w:t>
            </w:r>
          </w:p>
          <w:p w14:paraId="7CAF1940" w14:textId="77777777" w:rsidR="0052355F" w:rsidRPr="0052355F" w:rsidRDefault="0052355F" w:rsidP="00E02FDB">
            <w:pPr>
              <w:pStyle w:val="Default"/>
              <w:rPr>
                <w:sz w:val="22"/>
                <w:szCs w:val="22"/>
                <w:lang w:val="en-US"/>
              </w:rPr>
            </w:pPr>
            <w:r w:rsidRPr="0052355F">
              <w:rPr>
                <w:sz w:val="22"/>
                <w:szCs w:val="22"/>
                <w:lang w:val="en-US"/>
              </w:rPr>
              <w:t>Patients could be defined as secondary non-responders in the presence o</w:t>
            </w:r>
            <w:r w:rsidR="00E02FDB">
              <w:rPr>
                <w:sz w:val="22"/>
                <w:szCs w:val="22"/>
                <w:lang w:val="en-US"/>
              </w:rPr>
              <w:t>f at least one of the following</w:t>
            </w:r>
            <w:r w:rsidRPr="0052355F">
              <w:rPr>
                <w:sz w:val="22"/>
                <w:szCs w:val="22"/>
                <w:lang w:val="en-US"/>
              </w:rPr>
              <w:t>:</w:t>
            </w:r>
          </w:p>
          <w:p w14:paraId="64689A2B" w14:textId="77777777" w:rsidR="00E02FDB" w:rsidRDefault="0052355F" w:rsidP="00E02FDB">
            <w:pPr>
              <w:pStyle w:val="Default"/>
              <w:numPr>
                <w:ilvl w:val="0"/>
                <w:numId w:val="1"/>
              </w:numPr>
              <w:tabs>
                <w:tab w:val="left" w:pos="284"/>
              </w:tabs>
              <w:rPr>
                <w:sz w:val="22"/>
                <w:szCs w:val="22"/>
                <w:lang w:val="en-US"/>
              </w:rPr>
            </w:pPr>
            <w:r w:rsidRPr="0052355F">
              <w:rPr>
                <w:sz w:val="22"/>
                <w:szCs w:val="22"/>
                <w:lang w:val="en-US"/>
              </w:rPr>
              <w:t>On</w:t>
            </w:r>
            <w:r w:rsidR="00E02FDB">
              <w:rPr>
                <w:sz w:val="22"/>
                <w:szCs w:val="22"/>
                <w:lang w:val="en-US"/>
              </w:rPr>
              <w:t>going progressive weight regain</w:t>
            </w:r>
          </w:p>
          <w:p w14:paraId="1BEF4F72" w14:textId="77777777" w:rsidR="00E02FDB" w:rsidRDefault="0052355F" w:rsidP="00E02FDB">
            <w:pPr>
              <w:pStyle w:val="Default"/>
              <w:numPr>
                <w:ilvl w:val="0"/>
                <w:numId w:val="1"/>
              </w:numPr>
              <w:tabs>
                <w:tab w:val="left" w:pos="284"/>
              </w:tabs>
              <w:rPr>
                <w:sz w:val="22"/>
                <w:szCs w:val="22"/>
                <w:lang w:val="en-US"/>
              </w:rPr>
            </w:pPr>
            <w:r w:rsidRPr="00E02FDB">
              <w:rPr>
                <w:sz w:val="22"/>
                <w:szCs w:val="22"/>
                <w:lang w:val="en-US"/>
              </w:rPr>
              <w:t xml:space="preserve">Weight regain sufficient to </w:t>
            </w:r>
            <w:r w:rsidR="00E02FDB">
              <w:rPr>
                <w:sz w:val="22"/>
                <w:szCs w:val="22"/>
                <w:lang w:val="en-US"/>
              </w:rPr>
              <w:t>re-classify as obese as an indication for primary bariatric surgery</w:t>
            </w:r>
          </w:p>
          <w:p w14:paraId="46C78A80" w14:textId="77777777" w:rsidR="0052355F" w:rsidRPr="00E02FDB" w:rsidRDefault="0052355F" w:rsidP="0052355F">
            <w:pPr>
              <w:pStyle w:val="Default"/>
              <w:numPr>
                <w:ilvl w:val="0"/>
                <w:numId w:val="1"/>
              </w:numPr>
              <w:tabs>
                <w:tab w:val="left" w:pos="284"/>
              </w:tabs>
              <w:rPr>
                <w:sz w:val="22"/>
                <w:szCs w:val="22"/>
                <w:lang w:val="en-US"/>
              </w:rPr>
            </w:pPr>
            <w:r w:rsidRPr="00E02FDB">
              <w:rPr>
                <w:sz w:val="22"/>
                <w:szCs w:val="22"/>
                <w:lang w:val="en-US"/>
              </w:rPr>
              <w:t xml:space="preserve">Weight regain accompanied by inadequate control </w:t>
            </w:r>
            <w:r w:rsidR="00E02FDB">
              <w:rPr>
                <w:sz w:val="22"/>
                <w:szCs w:val="22"/>
                <w:lang w:val="en-US"/>
              </w:rPr>
              <w:t>of</w:t>
            </w:r>
            <w:r w:rsidRPr="00E02FDB">
              <w:rPr>
                <w:sz w:val="22"/>
                <w:szCs w:val="22"/>
                <w:lang w:val="en-US"/>
              </w:rPr>
              <w:t xml:space="preserve"> baseline co-morbidities</w:t>
            </w:r>
            <w:r w:rsidR="00E02FDB">
              <w:rPr>
                <w:sz w:val="22"/>
                <w:szCs w:val="22"/>
                <w:lang w:val="en-US"/>
              </w:rPr>
              <w:t xml:space="preserve"> with medical therapy</w:t>
            </w:r>
            <w:r w:rsidRPr="00E02FDB">
              <w:rPr>
                <w:sz w:val="22"/>
                <w:szCs w:val="22"/>
                <w:lang w:val="en-US"/>
              </w:rPr>
              <w:t>, including type 2 diabetes.</w:t>
            </w:r>
          </w:p>
        </w:tc>
      </w:tr>
    </w:tbl>
    <w:p w14:paraId="11AACF92" w14:textId="77777777" w:rsidR="0052355F" w:rsidRDefault="0052355F" w:rsidP="0052355F">
      <w:pPr>
        <w:pStyle w:val="Default"/>
        <w:tabs>
          <w:tab w:val="left" w:pos="426"/>
        </w:tabs>
        <w:rPr>
          <w:sz w:val="22"/>
          <w:szCs w:val="22"/>
          <w:lang w:val="en-US"/>
        </w:rPr>
      </w:pPr>
    </w:p>
    <w:p w14:paraId="60E9DE97" w14:textId="77777777" w:rsidR="0052355F" w:rsidRDefault="0052355F" w:rsidP="0052355F">
      <w:pPr>
        <w:pStyle w:val="Default"/>
        <w:tabs>
          <w:tab w:val="left" w:pos="426"/>
        </w:tabs>
        <w:rPr>
          <w:sz w:val="22"/>
          <w:szCs w:val="22"/>
          <w:lang w:val="en-US"/>
        </w:rPr>
      </w:pPr>
    </w:p>
    <w:p w14:paraId="070D3CCC" w14:textId="77777777" w:rsidR="00F215F6" w:rsidRDefault="00F215F6"/>
    <w:sectPr w:rsidR="00F215F6" w:rsidSect="000857A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5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55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55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55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A7269"/>
    <w:multiLevelType w:val="hybridMultilevel"/>
    <w:tmpl w:val="721AAF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D71C7A"/>
    <w:multiLevelType w:val="hybridMultilevel"/>
    <w:tmpl w:val="210AC8B4"/>
    <w:lvl w:ilvl="0" w:tplc="5142CA3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55F"/>
    <w:rsid w:val="000857A8"/>
    <w:rsid w:val="005014D1"/>
    <w:rsid w:val="0052355F"/>
    <w:rsid w:val="00E02FDB"/>
    <w:rsid w:val="00F2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839BFA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55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2355F"/>
    <w:pPr>
      <w:autoSpaceDE w:val="0"/>
      <w:autoSpaceDN w:val="0"/>
      <w:adjustRightInd w:val="0"/>
    </w:pPr>
    <w:rPr>
      <w:rFonts w:eastAsia="Times New Roman" w:cs="Calibri"/>
      <w:color w:val="000000"/>
      <w:lang w:val="it-IT"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55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2355F"/>
    <w:pPr>
      <w:autoSpaceDE w:val="0"/>
      <w:autoSpaceDN w:val="0"/>
      <w:adjustRightInd w:val="0"/>
    </w:pPr>
    <w:rPr>
      <w:rFonts w:eastAsia="Times New Roman" w:cs="Calibri"/>
      <w:color w:val="00000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262</Words>
  <Characters>1500</Characters>
  <Application>Microsoft Macintosh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Stavros</dc:creator>
  <cp:keywords/>
  <dc:description/>
  <cp:lastModifiedBy>Stavros</cp:lastModifiedBy>
  <cp:revision>3</cp:revision>
  <dcterms:created xsi:type="dcterms:W3CDTF">2019-10-27T21:43:00Z</dcterms:created>
  <dcterms:modified xsi:type="dcterms:W3CDTF">2019-10-27T21:51:00Z</dcterms:modified>
</cp:coreProperties>
</file>