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E0BD" w14:textId="26A9798E" w:rsidR="00926EE0" w:rsidRPr="00C35963" w:rsidRDefault="00106B6A" w:rsidP="00926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26EE0" w:rsidRPr="00C35963">
        <w:rPr>
          <w:rFonts w:ascii="Times New Roman" w:hAnsi="Times New Roman" w:cs="Times New Roman"/>
          <w:sz w:val="24"/>
          <w:szCs w:val="24"/>
        </w:rPr>
        <w:t xml:space="preserve">Table </w:t>
      </w:r>
      <w:r w:rsidR="00DF5750">
        <w:rPr>
          <w:rFonts w:ascii="Times New Roman" w:hAnsi="Times New Roman" w:cs="Times New Roman"/>
          <w:sz w:val="24"/>
          <w:szCs w:val="24"/>
        </w:rPr>
        <w:t>3</w:t>
      </w:r>
      <w:r w:rsidR="00926EE0" w:rsidRPr="00C35963">
        <w:rPr>
          <w:rFonts w:ascii="Times New Roman" w:hAnsi="Times New Roman" w:cs="Times New Roman"/>
          <w:sz w:val="24"/>
          <w:szCs w:val="24"/>
        </w:rPr>
        <w:t>: Indications for selective IOC</w:t>
      </w:r>
    </w:p>
    <w:tbl>
      <w:tblPr>
        <w:tblStyle w:val="PlainTable1"/>
        <w:tblpPr w:leftFromText="180" w:rightFromText="180" w:vertAnchor="text" w:tblpXSpec="center" w:tblpY="1"/>
        <w:tblOverlap w:val="never"/>
        <w:tblW w:w="14647" w:type="dxa"/>
        <w:jc w:val="center"/>
        <w:tblLayout w:type="fixed"/>
        <w:tblLook w:val="04A0" w:firstRow="1" w:lastRow="0" w:firstColumn="1" w:lastColumn="0" w:noHBand="0" w:noVBand="1"/>
      </w:tblPr>
      <w:tblGrid>
        <w:gridCol w:w="2834"/>
        <w:gridCol w:w="2240"/>
        <w:gridCol w:w="1494"/>
        <w:gridCol w:w="1195"/>
        <w:gridCol w:w="2545"/>
        <w:gridCol w:w="4339"/>
      </w:tblGrid>
      <w:tr w:rsidR="00926EE0" w:rsidRPr="00FA6E71" w14:paraId="49C51C65" w14:textId="77777777" w:rsidTr="00383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 w:val="restart"/>
            <w:vAlign w:val="center"/>
          </w:tcPr>
          <w:p w14:paraId="7830824E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Study</w:t>
            </w:r>
          </w:p>
        </w:tc>
        <w:tc>
          <w:tcPr>
            <w:tcW w:w="11812" w:type="dxa"/>
            <w:gridSpan w:val="5"/>
            <w:tcBorders>
              <w:right w:val="single" w:sz="4" w:space="0" w:color="auto"/>
            </w:tcBorders>
            <w:vAlign w:val="center"/>
          </w:tcPr>
          <w:p w14:paraId="7803EDC2" w14:textId="2A0FFDE9" w:rsidR="00926EE0" w:rsidRPr="00FA6E71" w:rsidRDefault="00926EE0" w:rsidP="00383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ROUTINE IOC </w:t>
            </w:r>
            <w:r w:rsidR="0066632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vs</w:t>
            </w: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 SELECTIVE IOC</w:t>
            </w:r>
          </w:p>
        </w:tc>
      </w:tr>
      <w:tr w:rsidR="00926EE0" w:rsidRPr="00FA6E71" w14:paraId="227AB8BA" w14:textId="77777777" w:rsidTr="0038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  <w:vAlign w:val="center"/>
            <w:hideMark/>
          </w:tcPr>
          <w:p w14:paraId="29DF1E58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</w:p>
        </w:tc>
        <w:tc>
          <w:tcPr>
            <w:tcW w:w="2241" w:type="dxa"/>
            <w:vAlign w:val="center"/>
            <w:hideMark/>
          </w:tcPr>
          <w:p w14:paraId="6F9BCCAA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Jaundice</w:t>
            </w:r>
          </w:p>
        </w:tc>
        <w:tc>
          <w:tcPr>
            <w:tcW w:w="1494" w:type="dxa"/>
            <w:vAlign w:val="center"/>
            <w:hideMark/>
          </w:tcPr>
          <w:p w14:paraId="47078686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31F2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b/>
                <w:bCs/>
                <w:color w:val="231F20"/>
                <w:lang w:val="en-US" w:eastAsia="hu-HU"/>
              </w:rPr>
              <w:t>Dilated CBD</w:t>
            </w:r>
          </w:p>
        </w:tc>
        <w:tc>
          <w:tcPr>
            <w:tcW w:w="1195" w:type="dxa"/>
            <w:vAlign w:val="center"/>
            <w:hideMark/>
          </w:tcPr>
          <w:p w14:paraId="06C0AAC2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Stone on imaging</w:t>
            </w:r>
          </w:p>
        </w:tc>
        <w:tc>
          <w:tcPr>
            <w:tcW w:w="2546" w:type="dxa"/>
            <w:vAlign w:val="center"/>
            <w:hideMark/>
          </w:tcPr>
          <w:p w14:paraId="2863936B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Pancreatitis</w:t>
            </w:r>
          </w:p>
        </w:tc>
        <w:tc>
          <w:tcPr>
            <w:tcW w:w="4336" w:type="dxa"/>
            <w:vAlign w:val="center"/>
            <w:hideMark/>
          </w:tcPr>
          <w:p w14:paraId="0F1B3987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Abnormal liver function</w:t>
            </w:r>
          </w:p>
        </w:tc>
      </w:tr>
      <w:tr w:rsidR="00926EE0" w:rsidRPr="00FA6E71" w14:paraId="01DC85A7" w14:textId="77777777" w:rsidTr="00383967">
        <w:trPr>
          <w:trHeight w:val="6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90D7263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Alkhaffaf et al. 2011</w:t>
            </w:r>
          </w:p>
        </w:tc>
        <w:tc>
          <w:tcPr>
            <w:tcW w:w="2241" w:type="dxa"/>
            <w:vAlign w:val="center"/>
            <w:hideMark/>
          </w:tcPr>
          <w:p w14:paraId="73EA305B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 history</w:t>
            </w:r>
          </w:p>
        </w:tc>
        <w:tc>
          <w:tcPr>
            <w:tcW w:w="1494" w:type="dxa"/>
            <w:vAlign w:val="center"/>
            <w:hideMark/>
          </w:tcPr>
          <w:p w14:paraId="7A4DFE94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1195" w:type="dxa"/>
            <w:vAlign w:val="center"/>
            <w:hideMark/>
          </w:tcPr>
          <w:p w14:paraId="1D2C66C8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MR</w:t>
            </w:r>
          </w:p>
        </w:tc>
        <w:tc>
          <w:tcPr>
            <w:tcW w:w="2546" w:type="dxa"/>
            <w:vAlign w:val="center"/>
            <w:hideMark/>
          </w:tcPr>
          <w:p w14:paraId="4B6FD99A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history of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ABP</w:t>
            </w: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 </w:t>
            </w:r>
          </w:p>
        </w:tc>
        <w:tc>
          <w:tcPr>
            <w:tcW w:w="4336" w:type="dxa"/>
            <w:vAlign w:val="center"/>
            <w:hideMark/>
          </w:tcPr>
          <w:p w14:paraId="1CFBC5B6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ALP &gt;150 U/L and ALT &gt; 35 U/L</w:t>
            </w:r>
          </w:p>
        </w:tc>
      </w:tr>
      <w:tr w:rsidR="00926EE0" w:rsidRPr="00FA6E71" w14:paraId="3C399460" w14:textId="77777777" w:rsidTr="0038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0400036E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Amott et al. 2005</w:t>
            </w:r>
          </w:p>
        </w:tc>
        <w:tc>
          <w:tcPr>
            <w:tcW w:w="2241" w:type="dxa"/>
            <w:vAlign w:val="center"/>
            <w:hideMark/>
          </w:tcPr>
          <w:p w14:paraId="0F904970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1494" w:type="dxa"/>
            <w:vAlign w:val="center"/>
            <w:hideMark/>
          </w:tcPr>
          <w:p w14:paraId="2D5E1A2E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on </w:t>
            </w: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US</w:t>
            </w:r>
          </w:p>
        </w:tc>
        <w:tc>
          <w:tcPr>
            <w:tcW w:w="1195" w:type="dxa"/>
            <w:vAlign w:val="center"/>
            <w:hideMark/>
          </w:tcPr>
          <w:p w14:paraId="0E1F32C4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2546" w:type="dxa"/>
            <w:vAlign w:val="center"/>
            <w:hideMark/>
          </w:tcPr>
          <w:p w14:paraId="5DEB2F14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4336" w:type="dxa"/>
            <w:vAlign w:val="center"/>
            <w:hideMark/>
          </w:tcPr>
          <w:p w14:paraId="2279F85C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d/iBi, AST, ALP </w:t>
            </w:r>
          </w:p>
        </w:tc>
      </w:tr>
      <w:tr w:rsidR="00926EE0" w:rsidRPr="00FA6E71" w14:paraId="4B2EA3D0" w14:textId="77777777" w:rsidTr="00383967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07FDEE23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Buddingh et al. 2011</w:t>
            </w:r>
          </w:p>
        </w:tc>
        <w:tc>
          <w:tcPr>
            <w:tcW w:w="2241" w:type="dxa"/>
            <w:vAlign w:val="center"/>
            <w:hideMark/>
          </w:tcPr>
          <w:p w14:paraId="33A55E3A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1494" w:type="dxa"/>
            <w:vAlign w:val="center"/>
            <w:hideMark/>
          </w:tcPr>
          <w:p w14:paraId="6A1CA2AC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 xml:space="preserve">on </w:t>
            </w: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1195" w:type="dxa"/>
            <w:vAlign w:val="center"/>
            <w:hideMark/>
          </w:tcPr>
          <w:p w14:paraId="679984E3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2546" w:type="dxa"/>
            <w:vAlign w:val="center"/>
            <w:hideMark/>
          </w:tcPr>
          <w:p w14:paraId="078BE198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4336" w:type="dxa"/>
            <w:vAlign w:val="center"/>
            <w:hideMark/>
          </w:tcPr>
          <w:p w14:paraId="1C5A31A1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</w:tr>
      <w:tr w:rsidR="00926EE0" w:rsidRPr="00FA6E71" w14:paraId="0589C6A5" w14:textId="77777777" w:rsidTr="0038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74F307D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Carlson et al. 1993</w:t>
            </w:r>
          </w:p>
        </w:tc>
        <w:tc>
          <w:tcPr>
            <w:tcW w:w="2241" w:type="dxa"/>
            <w:vAlign w:val="center"/>
            <w:hideMark/>
          </w:tcPr>
          <w:p w14:paraId="140401A8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history</w:t>
            </w:r>
          </w:p>
        </w:tc>
        <w:tc>
          <w:tcPr>
            <w:tcW w:w="1494" w:type="dxa"/>
            <w:vAlign w:val="center"/>
            <w:hideMark/>
          </w:tcPr>
          <w:p w14:paraId="78C04020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on </w:t>
            </w: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1195" w:type="dxa"/>
            <w:vAlign w:val="center"/>
            <w:hideMark/>
          </w:tcPr>
          <w:p w14:paraId="02691160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2546" w:type="dxa"/>
            <w:vAlign w:val="center"/>
            <w:hideMark/>
          </w:tcPr>
          <w:p w14:paraId="13CC4C32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4336" w:type="dxa"/>
            <w:vAlign w:val="center"/>
            <w:hideMark/>
          </w:tcPr>
          <w:p w14:paraId="1F93D61D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Bi or ALP </w:t>
            </w:r>
          </w:p>
        </w:tc>
      </w:tr>
      <w:tr w:rsidR="00926EE0" w:rsidRPr="00FA6E71" w14:paraId="1E5626FC" w14:textId="77777777" w:rsidTr="00383967">
        <w:trPr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11964C96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Guerra-Filho et al. 2007</w:t>
            </w:r>
          </w:p>
        </w:tc>
        <w:tc>
          <w:tcPr>
            <w:tcW w:w="2241" w:type="dxa"/>
            <w:vAlign w:val="center"/>
            <w:hideMark/>
          </w:tcPr>
          <w:p w14:paraId="4E04C326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 history or presence </w:t>
            </w:r>
          </w:p>
        </w:tc>
        <w:tc>
          <w:tcPr>
            <w:tcW w:w="1494" w:type="dxa"/>
            <w:vAlign w:val="center"/>
            <w:hideMark/>
          </w:tcPr>
          <w:p w14:paraId="27BF6C89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1195" w:type="dxa"/>
            <w:vAlign w:val="center"/>
            <w:hideMark/>
          </w:tcPr>
          <w:p w14:paraId="75B3948A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2546" w:type="dxa"/>
            <w:vAlign w:val="center"/>
            <w:hideMark/>
          </w:tcPr>
          <w:p w14:paraId="05566AFF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history</w:t>
            </w:r>
          </w:p>
        </w:tc>
        <w:tc>
          <w:tcPr>
            <w:tcW w:w="4336" w:type="dxa"/>
            <w:vAlign w:val="center"/>
            <w:hideMark/>
          </w:tcPr>
          <w:p w14:paraId="5F536BA9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Bi or Amylase or ALP </w:t>
            </w:r>
          </w:p>
        </w:tc>
      </w:tr>
      <w:tr w:rsidR="00926EE0" w:rsidRPr="00FA6E71" w14:paraId="4BA1D7E0" w14:textId="77777777" w:rsidTr="0038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6A225D4C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Nickkholgh et al. 2006</w:t>
            </w:r>
          </w:p>
        </w:tc>
        <w:tc>
          <w:tcPr>
            <w:tcW w:w="2241" w:type="dxa"/>
            <w:vAlign w:val="center"/>
            <w:hideMark/>
          </w:tcPr>
          <w:p w14:paraId="43621EF3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history</w:t>
            </w:r>
          </w:p>
        </w:tc>
        <w:tc>
          <w:tcPr>
            <w:tcW w:w="1494" w:type="dxa"/>
            <w:vAlign w:val="center"/>
            <w:hideMark/>
          </w:tcPr>
          <w:p w14:paraId="264A3129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on </w:t>
            </w: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1195" w:type="dxa"/>
            <w:vAlign w:val="center"/>
            <w:hideMark/>
          </w:tcPr>
          <w:p w14:paraId="074CC66B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2546" w:type="dxa"/>
            <w:vAlign w:val="center"/>
            <w:hideMark/>
          </w:tcPr>
          <w:p w14:paraId="2764A627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history</w:t>
            </w:r>
          </w:p>
        </w:tc>
        <w:tc>
          <w:tcPr>
            <w:tcW w:w="4336" w:type="dxa"/>
            <w:vAlign w:val="center"/>
            <w:hideMark/>
          </w:tcPr>
          <w:p w14:paraId="5B46F13F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LFT</w:t>
            </w:r>
          </w:p>
        </w:tc>
      </w:tr>
      <w:tr w:rsidR="00926EE0" w:rsidRPr="00FA6E71" w14:paraId="3CE89F83" w14:textId="77777777" w:rsidTr="00383967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1AE38BFC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Pham et al. 2016</w:t>
            </w:r>
          </w:p>
        </w:tc>
        <w:tc>
          <w:tcPr>
            <w:tcW w:w="2241" w:type="dxa"/>
            <w:vAlign w:val="center"/>
            <w:hideMark/>
          </w:tcPr>
          <w:p w14:paraId="267E13B2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1494" w:type="dxa"/>
            <w:vAlign w:val="center"/>
            <w:hideMark/>
          </w:tcPr>
          <w:p w14:paraId="4DC662A3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1195" w:type="dxa"/>
            <w:vAlign w:val="center"/>
            <w:hideMark/>
          </w:tcPr>
          <w:p w14:paraId="4EC2F249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2546" w:type="dxa"/>
            <w:vAlign w:val="center"/>
            <w:hideMark/>
          </w:tcPr>
          <w:p w14:paraId="27D5CA04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4336" w:type="dxa"/>
            <w:vAlign w:val="center"/>
            <w:hideMark/>
          </w:tcPr>
          <w:p w14:paraId="4FB3B9B8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Bi</w:t>
            </w:r>
          </w:p>
        </w:tc>
      </w:tr>
      <w:tr w:rsidR="00926EE0" w:rsidRPr="00FA6E71" w14:paraId="03F02B33" w14:textId="77777777" w:rsidTr="0038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433C2BFF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Ragulin-Coyne et al. 2013</w:t>
            </w:r>
          </w:p>
        </w:tc>
        <w:tc>
          <w:tcPr>
            <w:tcW w:w="2241" w:type="dxa"/>
            <w:vAlign w:val="center"/>
            <w:hideMark/>
          </w:tcPr>
          <w:p w14:paraId="7670B372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1494" w:type="dxa"/>
            <w:vAlign w:val="center"/>
            <w:hideMark/>
          </w:tcPr>
          <w:p w14:paraId="5CA10623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1195" w:type="dxa"/>
            <w:vAlign w:val="center"/>
            <w:hideMark/>
          </w:tcPr>
          <w:p w14:paraId="287551F2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2546" w:type="dxa"/>
            <w:vAlign w:val="center"/>
            <w:hideMark/>
          </w:tcPr>
          <w:p w14:paraId="37D5739A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4336" w:type="dxa"/>
            <w:vAlign w:val="center"/>
            <w:hideMark/>
          </w:tcPr>
          <w:p w14:paraId="12C0A7C0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</w:tr>
      <w:tr w:rsidR="00926EE0" w:rsidRPr="00FA6E71" w14:paraId="76CF2E36" w14:textId="77777777" w:rsidTr="00383967">
        <w:trPr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2FB5EAB7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Snow et al. 2001</w:t>
            </w:r>
          </w:p>
        </w:tc>
        <w:tc>
          <w:tcPr>
            <w:tcW w:w="2241" w:type="dxa"/>
            <w:vAlign w:val="center"/>
            <w:hideMark/>
          </w:tcPr>
          <w:p w14:paraId="70FA483E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 history or presence</w:t>
            </w:r>
          </w:p>
        </w:tc>
        <w:tc>
          <w:tcPr>
            <w:tcW w:w="1494" w:type="dxa"/>
            <w:vAlign w:val="center"/>
            <w:hideMark/>
          </w:tcPr>
          <w:p w14:paraId="4CB26397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1195" w:type="dxa"/>
            <w:vAlign w:val="center"/>
            <w:hideMark/>
          </w:tcPr>
          <w:p w14:paraId="72A37570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2546" w:type="dxa"/>
            <w:vAlign w:val="center"/>
            <w:hideMark/>
          </w:tcPr>
          <w:p w14:paraId="03DD44E0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4336" w:type="dxa"/>
            <w:vAlign w:val="center"/>
            <w:hideMark/>
          </w:tcPr>
          <w:p w14:paraId="5AA7EA2A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Bi or ALT or AST or LDH or ALP or Amylase</w:t>
            </w:r>
          </w:p>
        </w:tc>
      </w:tr>
      <w:tr w:rsidR="00666327" w:rsidRPr="00FA6E71" w14:paraId="1DB42A39" w14:textId="77777777" w:rsidTr="0066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6753122" w14:textId="77777777" w:rsidR="00666327" w:rsidRPr="00FA6E71" w:rsidRDefault="00666327" w:rsidP="0038396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hu-HU"/>
              </w:rPr>
            </w:pPr>
          </w:p>
        </w:tc>
        <w:tc>
          <w:tcPr>
            <w:tcW w:w="11817" w:type="dxa"/>
            <w:gridSpan w:val="5"/>
            <w:vAlign w:val="center"/>
          </w:tcPr>
          <w:p w14:paraId="23200031" w14:textId="462BF01E" w:rsidR="00666327" w:rsidRPr="00666327" w:rsidRDefault="00666327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hu-HU"/>
              </w:rPr>
            </w:pPr>
            <w:r w:rsidRPr="0066632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SELECTIVE IOC vs NO IOC</w:t>
            </w:r>
          </w:p>
        </w:tc>
      </w:tr>
      <w:tr w:rsidR="00926EE0" w:rsidRPr="00FA6E71" w14:paraId="73F9FC78" w14:textId="77777777" w:rsidTr="00383967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23C49F0E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Misra et al. 2005</w:t>
            </w:r>
          </w:p>
        </w:tc>
        <w:tc>
          <w:tcPr>
            <w:tcW w:w="2241" w:type="dxa"/>
            <w:vAlign w:val="center"/>
            <w:hideMark/>
          </w:tcPr>
          <w:p w14:paraId="4916A777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1494" w:type="dxa"/>
            <w:vAlign w:val="center"/>
            <w:hideMark/>
          </w:tcPr>
          <w:p w14:paraId="05234FBC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1195" w:type="dxa"/>
            <w:vAlign w:val="center"/>
            <w:hideMark/>
          </w:tcPr>
          <w:p w14:paraId="36B6880F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2546" w:type="dxa"/>
            <w:vAlign w:val="center"/>
            <w:hideMark/>
          </w:tcPr>
          <w:p w14:paraId="138E7A19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p</w:t>
            </w: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resence of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ABP</w:t>
            </w:r>
          </w:p>
        </w:tc>
        <w:tc>
          <w:tcPr>
            <w:tcW w:w="4336" w:type="dxa"/>
            <w:vAlign w:val="center"/>
            <w:hideMark/>
          </w:tcPr>
          <w:p w14:paraId="5BEED1F8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LFT</w:t>
            </w:r>
          </w:p>
        </w:tc>
      </w:tr>
      <w:tr w:rsidR="00926EE0" w:rsidRPr="00FA6E71" w14:paraId="64B8B82B" w14:textId="77777777" w:rsidTr="0038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8577E94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Robinson et al. 1995</w:t>
            </w:r>
          </w:p>
        </w:tc>
        <w:tc>
          <w:tcPr>
            <w:tcW w:w="2241" w:type="dxa"/>
            <w:vAlign w:val="center"/>
            <w:hideMark/>
          </w:tcPr>
          <w:p w14:paraId="2F9FDEB1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history</w:t>
            </w:r>
          </w:p>
        </w:tc>
        <w:tc>
          <w:tcPr>
            <w:tcW w:w="1494" w:type="dxa"/>
            <w:vAlign w:val="center"/>
            <w:hideMark/>
          </w:tcPr>
          <w:p w14:paraId="232EE77F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1195" w:type="dxa"/>
            <w:vAlign w:val="center"/>
            <w:hideMark/>
          </w:tcPr>
          <w:p w14:paraId="5973B9A5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N/A</w:t>
            </w:r>
          </w:p>
        </w:tc>
        <w:tc>
          <w:tcPr>
            <w:tcW w:w="2546" w:type="dxa"/>
            <w:vAlign w:val="center"/>
            <w:hideMark/>
          </w:tcPr>
          <w:p w14:paraId="47A5C5DC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history</w:t>
            </w:r>
          </w:p>
        </w:tc>
        <w:tc>
          <w:tcPr>
            <w:tcW w:w="4336" w:type="dxa"/>
            <w:vAlign w:val="center"/>
            <w:hideMark/>
          </w:tcPr>
          <w:p w14:paraId="3DA4575F" w14:textId="77777777" w:rsidR="00926EE0" w:rsidRPr="00FA6E71" w:rsidRDefault="00926EE0" w:rsidP="0038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Bi or AST or ALP increased</w:t>
            </w:r>
          </w:p>
        </w:tc>
      </w:tr>
      <w:tr w:rsidR="00926EE0" w:rsidRPr="00FA6E71" w14:paraId="6163F7CA" w14:textId="77777777" w:rsidTr="00383967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1D7E2F9A" w14:textId="77777777" w:rsidR="00926EE0" w:rsidRPr="00FA6E71" w:rsidRDefault="00926EE0" w:rsidP="003839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Zang et al. 2016</w:t>
            </w:r>
          </w:p>
        </w:tc>
        <w:tc>
          <w:tcPr>
            <w:tcW w:w="2241" w:type="dxa"/>
            <w:vAlign w:val="center"/>
            <w:hideMark/>
          </w:tcPr>
          <w:p w14:paraId="0CF4E297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history</w:t>
            </w:r>
          </w:p>
        </w:tc>
        <w:tc>
          <w:tcPr>
            <w:tcW w:w="1494" w:type="dxa"/>
            <w:vAlign w:val="center"/>
            <w:hideMark/>
          </w:tcPr>
          <w:p w14:paraId="29A584D0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1195" w:type="dxa"/>
            <w:vAlign w:val="center"/>
            <w:hideMark/>
          </w:tcPr>
          <w:p w14:paraId="4DE4DDC1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231F20"/>
                <w:lang w:val="en-US" w:eastAsia="hu-HU"/>
              </w:rPr>
              <w:t>US</w:t>
            </w:r>
          </w:p>
        </w:tc>
        <w:tc>
          <w:tcPr>
            <w:tcW w:w="2546" w:type="dxa"/>
            <w:vAlign w:val="center"/>
            <w:hideMark/>
          </w:tcPr>
          <w:p w14:paraId="601C05CF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UNS</w:t>
            </w:r>
          </w:p>
        </w:tc>
        <w:tc>
          <w:tcPr>
            <w:tcW w:w="4336" w:type="dxa"/>
            <w:vAlign w:val="center"/>
            <w:hideMark/>
          </w:tcPr>
          <w:p w14:paraId="2E17C817" w14:textId="77777777" w:rsidR="00926EE0" w:rsidRPr="00FA6E71" w:rsidRDefault="00926EE0" w:rsidP="003839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FA6E71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LFT</w:t>
            </w:r>
          </w:p>
        </w:tc>
      </w:tr>
    </w:tbl>
    <w:p w14:paraId="711A0CE1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UNS= unspecified</w:t>
      </w:r>
    </w:p>
    <w:p w14:paraId="0F6D1A50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lastRenderedPageBreak/>
        <w:t>N/A= not available</w:t>
      </w:r>
    </w:p>
    <w:p w14:paraId="67972B3A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CBD= common bile duct</w:t>
      </w:r>
    </w:p>
    <w:p w14:paraId="2D624ACE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US= ultrasound</w:t>
      </w:r>
    </w:p>
    <w:p w14:paraId="2EDC888B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ALP= alkaline phosphatase</w:t>
      </w:r>
    </w:p>
    <w:p w14:paraId="5D6F0FD1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AST= aspartate aminotransferase</w:t>
      </w:r>
    </w:p>
    <w:p w14:paraId="08BE9E2B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ALT= alanine aminotransferase</w:t>
      </w:r>
    </w:p>
    <w:p w14:paraId="13C697EA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d/i Bi= direct/ indirect bilirubin</w:t>
      </w:r>
    </w:p>
    <w:p w14:paraId="44BE99A4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LFT= liver function tests</w:t>
      </w:r>
    </w:p>
    <w:p w14:paraId="5F18F3CE" w14:textId="77777777" w:rsidR="00926EE0" w:rsidRPr="007E4779" w:rsidRDefault="00926EE0" w:rsidP="00926EE0">
      <w:pPr>
        <w:rPr>
          <w:rFonts w:ascii="Times New Roman" w:hAnsi="Times New Roman" w:cs="Times New Roman"/>
          <w:vertAlign w:val="superscript"/>
        </w:rPr>
      </w:pPr>
      <w:r w:rsidRPr="007E4779">
        <w:rPr>
          <w:rFonts w:ascii="Times New Roman" w:hAnsi="Times New Roman" w:cs="Times New Roman"/>
          <w:vertAlign w:val="superscript"/>
        </w:rPr>
        <w:t>ABP= acute biliary pancreatitis</w:t>
      </w:r>
    </w:p>
    <w:p w14:paraId="73D4CDFA" w14:textId="77777777" w:rsidR="00926EE0" w:rsidRDefault="00926EE0" w:rsidP="00D307A4">
      <w:pPr>
        <w:rPr>
          <w:rFonts w:ascii="Times New Roman" w:hAnsi="Times New Roman" w:cs="Times New Roman"/>
          <w:sz w:val="24"/>
          <w:szCs w:val="24"/>
        </w:rPr>
      </w:pPr>
    </w:p>
    <w:p w14:paraId="4F8D8B02" w14:textId="77777777" w:rsidR="00CE7345" w:rsidRDefault="00CE7345" w:rsidP="00D307A4">
      <w:pPr>
        <w:rPr>
          <w:rFonts w:ascii="Times New Roman" w:hAnsi="Times New Roman" w:cs="Times New Roman"/>
          <w:sz w:val="24"/>
          <w:szCs w:val="24"/>
        </w:rPr>
      </w:pPr>
    </w:p>
    <w:p w14:paraId="75044F40" w14:textId="77777777" w:rsidR="00512455" w:rsidRPr="00512455" w:rsidRDefault="00512455" w:rsidP="00512455">
      <w:pPr>
        <w:spacing w:line="140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</w:p>
    <w:p w14:paraId="38DE86A2" w14:textId="77777777" w:rsidR="00512455" w:rsidRDefault="00512455" w:rsidP="00512455">
      <w:pPr>
        <w:rPr>
          <w:rFonts w:ascii="Times New Roman" w:hAnsi="Times New Roman" w:cs="Times New Roman"/>
        </w:rPr>
      </w:pPr>
    </w:p>
    <w:p w14:paraId="2BAA8DDF" w14:textId="22061BF6" w:rsidR="00512455" w:rsidRPr="00512455" w:rsidRDefault="00512455" w:rsidP="00512455">
      <w:pPr>
        <w:spacing w:line="140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</w:p>
    <w:p w14:paraId="48FACB19" w14:textId="77777777" w:rsidR="00B30E39" w:rsidRPr="00B709C0" w:rsidRDefault="00B30E39" w:rsidP="00B709C0">
      <w:pPr>
        <w:rPr>
          <w:rFonts w:ascii="Times New Roman" w:hAnsi="Times New Roman" w:cs="Times New Roman"/>
        </w:rPr>
      </w:pPr>
    </w:p>
    <w:sectPr w:rsidR="00B30E39" w:rsidRPr="00B709C0" w:rsidSect="00B709C0">
      <w:pgSz w:w="16838" w:h="11906" w:orient="landscape"/>
      <w:pgMar w:top="1412" w:right="1412" w:bottom="1412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04"/>
    <w:rsid w:val="00015C52"/>
    <w:rsid w:val="00070896"/>
    <w:rsid w:val="000A142A"/>
    <w:rsid w:val="000E4E02"/>
    <w:rsid w:val="001032F4"/>
    <w:rsid w:val="00106B6A"/>
    <w:rsid w:val="001177C4"/>
    <w:rsid w:val="0013480F"/>
    <w:rsid w:val="00180CCD"/>
    <w:rsid w:val="001A53FC"/>
    <w:rsid w:val="001F6465"/>
    <w:rsid w:val="00291B27"/>
    <w:rsid w:val="002C6220"/>
    <w:rsid w:val="002D6F6F"/>
    <w:rsid w:val="00335855"/>
    <w:rsid w:val="003868E8"/>
    <w:rsid w:val="003B1F22"/>
    <w:rsid w:val="003B41ED"/>
    <w:rsid w:val="003C0E5B"/>
    <w:rsid w:val="003F2029"/>
    <w:rsid w:val="004E2947"/>
    <w:rsid w:val="00512455"/>
    <w:rsid w:val="005478B2"/>
    <w:rsid w:val="005D35DB"/>
    <w:rsid w:val="00632507"/>
    <w:rsid w:val="0065052C"/>
    <w:rsid w:val="00666327"/>
    <w:rsid w:val="006E4BCC"/>
    <w:rsid w:val="006F2029"/>
    <w:rsid w:val="00726807"/>
    <w:rsid w:val="007E4779"/>
    <w:rsid w:val="00926EE0"/>
    <w:rsid w:val="00A4088B"/>
    <w:rsid w:val="00A42C0F"/>
    <w:rsid w:val="00A47F54"/>
    <w:rsid w:val="00A94204"/>
    <w:rsid w:val="00AC372A"/>
    <w:rsid w:val="00B30E39"/>
    <w:rsid w:val="00B709C0"/>
    <w:rsid w:val="00BC1843"/>
    <w:rsid w:val="00BE0D55"/>
    <w:rsid w:val="00CD4DCC"/>
    <w:rsid w:val="00CE7345"/>
    <w:rsid w:val="00D04586"/>
    <w:rsid w:val="00D307A4"/>
    <w:rsid w:val="00D425F7"/>
    <w:rsid w:val="00D55D0E"/>
    <w:rsid w:val="00D7657B"/>
    <w:rsid w:val="00DE7D40"/>
    <w:rsid w:val="00DF5750"/>
    <w:rsid w:val="00E076D1"/>
    <w:rsid w:val="00E511E2"/>
    <w:rsid w:val="00EE2945"/>
    <w:rsid w:val="00EF14B5"/>
    <w:rsid w:val="00F026A1"/>
    <w:rsid w:val="00F047E1"/>
    <w:rsid w:val="00F70515"/>
    <w:rsid w:val="00FB1804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E774A"/>
  <w15:chartTrackingRefBased/>
  <w15:docId w15:val="{F6B9BEC1-0C0A-4C0B-A162-1B5775D2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12455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CD4DCC"/>
    <w:pPr>
      <w:spacing w:after="0" w:line="240" w:lineRule="auto"/>
    </w:pPr>
    <w:rPr>
      <w:lang w:val="hu-H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5052C"/>
    <w:pPr>
      <w:spacing w:after="0" w:line="240" w:lineRule="auto"/>
    </w:pPr>
    <w:rPr>
      <w:lang w:val="hu-H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0A1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B30E39"/>
  </w:style>
  <w:style w:type="character" w:customStyle="1" w:styleId="cell-value">
    <w:name w:val="cell-value"/>
    <w:basedOn w:val="DefaultParagraphFont"/>
    <w:rsid w:val="00B30E39"/>
  </w:style>
  <w:style w:type="character" w:customStyle="1" w:styleId="cell">
    <w:name w:val="cell"/>
    <w:basedOn w:val="DefaultParagraphFont"/>
    <w:rsid w:val="00B30E39"/>
  </w:style>
  <w:style w:type="character" w:customStyle="1" w:styleId="block">
    <w:name w:val="block"/>
    <w:basedOn w:val="DefaultParagraphFont"/>
    <w:rsid w:val="00B30E39"/>
  </w:style>
  <w:style w:type="character" w:customStyle="1" w:styleId="quality-sign">
    <w:name w:val="quality-sign"/>
    <w:basedOn w:val="DefaultParagraphFont"/>
    <w:rsid w:val="00B30E39"/>
  </w:style>
  <w:style w:type="character" w:customStyle="1" w:styleId="quality-text">
    <w:name w:val="quality-text"/>
    <w:basedOn w:val="DefaultParagraphFont"/>
    <w:rsid w:val="00B30E39"/>
  </w:style>
  <w:style w:type="character" w:customStyle="1" w:styleId="Heading4Char">
    <w:name w:val="Heading 4 Char"/>
    <w:basedOn w:val="DefaultParagraphFont"/>
    <w:link w:val="Heading4"/>
    <w:uiPriority w:val="9"/>
    <w:rsid w:val="00512455"/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98C1B-844B-4000-A997-639C2A8A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Norbert</dc:creator>
  <cp:keywords/>
  <dc:description/>
  <cp:lastModifiedBy>Kovács Norbert</cp:lastModifiedBy>
  <cp:revision>7</cp:revision>
  <dcterms:created xsi:type="dcterms:W3CDTF">2021-10-28T18:45:00Z</dcterms:created>
  <dcterms:modified xsi:type="dcterms:W3CDTF">2022-02-18T17:43:00Z</dcterms:modified>
</cp:coreProperties>
</file>