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92565" w14:textId="2265D4F0" w:rsidR="00371F14" w:rsidRDefault="00371F14" w:rsidP="00371F14">
      <w:pPr>
        <w:shd w:val="clear" w:color="auto" w:fill="FFFFFF"/>
        <w:spacing w:after="0" w:line="240" w:lineRule="auto"/>
        <w:jc w:val="both"/>
        <w:rPr>
          <w:rFonts w:ascii="Arial" w:hAnsi="Arial" w:cs="Arial"/>
          <w:b/>
          <w:bCs/>
        </w:rPr>
      </w:pPr>
      <w:r w:rsidRPr="00B51983">
        <w:rPr>
          <w:rFonts w:ascii="Arial" w:hAnsi="Arial" w:cs="Arial"/>
          <w:b/>
          <w:bCs/>
        </w:rPr>
        <w:t xml:space="preserve">Supplement </w:t>
      </w:r>
      <w:r w:rsidR="002C20DD">
        <w:rPr>
          <w:rFonts w:ascii="Arial" w:hAnsi="Arial" w:cs="Arial"/>
          <w:b/>
          <w:bCs/>
        </w:rPr>
        <w:t>1</w:t>
      </w:r>
      <w:r>
        <w:rPr>
          <w:rFonts w:ascii="Arial" w:hAnsi="Arial" w:cs="Arial"/>
          <w:b/>
          <w:bCs/>
        </w:rPr>
        <w:t xml:space="preserve"> </w:t>
      </w:r>
      <w:r w:rsidRPr="00AE6D62">
        <w:rPr>
          <w:rFonts w:ascii="Arial" w:hAnsi="Arial" w:cs="Arial"/>
        </w:rPr>
        <w:t>EEG data processing and feature extraction</w:t>
      </w:r>
    </w:p>
    <w:p w14:paraId="490C82BC" w14:textId="77777777" w:rsidR="00371F14" w:rsidRPr="00B51983" w:rsidRDefault="00371F14" w:rsidP="00371F14">
      <w:pPr>
        <w:shd w:val="clear" w:color="auto" w:fill="FFFFFF"/>
        <w:spacing w:after="0" w:line="240" w:lineRule="auto"/>
        <w:jc w:val="both"/>
        <w:rPr>
          <w:rFonts w:ascii="Arial" w:hAnsi="Arial" w:cs="Arial"/>
          <w:b/>
          <w:bCs/>
        </w:rPr>
      </w:pPr>
    </w:p>
    <w:p w14:paraId="0000477C" w14:textId="77777777" w:rsidR="00371F14" w:rsidRDefault="00371F14" w:rsidP="00371F14">
      <w:pPr>
        <w:autoSpaceDE w:val="0"/>
        <w:autoSpaceDN w:val="0"/>
        <w:adjustRightInd w:val="0"/>
        <w:spacing w:after="120"/>
        <w:jc w:val="both"/>
        <w:rPr>
          <w:rFonts w:ascii="Arial" w:hAnsi="Arial" w:cs="Arial"/>
        </w:rPr>
      </w:pPr>
      <w:r w:rsidRPr="00082EF6">
        <w:rPr>
          <w:rFonts w:ascii="Arial" w:hAnsi="Arial" w:cs="Arial"/>
          <w:b/>
          <w:bCs/>
        </w:rPr>
        <w:t>EEG Pre-processing:</w:t>
      </w:r>
      <w:r w:rsidRPr="00082EF6">
        <w:rPr>
          <w:rFonts w:ascii="Arial" w:hAnsi="Arial" w:cs="Arial"/>
        </w:rPr>
        <w:t xml:space="preserve"> The F8, POz, AF4, AF8, F6, FC3, M1 and M2 (electrodes placed on the mastoids) were excluded in this study due to the poor signal quality. By employing blind source separation and a topographical Principal Component Analysis with the advanced source analysis (ASA) framework created by ANT Neuro Inspiring Technology Inc., Netherlands, the remaining 116 EEG channels were decontaminated from artifacts. Five steps were taken to decontaminate the EEG data: 1) The average of all scalp channels included in the study also known as "common average reference", was used to re-reference the EEG data </w:t>
      </w:r>
      <w:r w:rsidRPr="00082EF6">
        <w:rPr>
          <w:rFonts w:ascii="Arial" w:hAnsi="Arial" w:cs="Arial"/>
        </w:rPr>
        <w:fldChar w:fldCharType="begin"/>
      </w:r>
      <w:r>
        <w:rPr>
          <w:rFonts w:ascii="Arial" w:hAnsi="Arial" w:cs="Arial"/>
        </w:rPr>
        <w:instrText xml:space="preserve"> ADDIN EN.CITE &lt;EndNote&gt;&lt;Cite&gt;&lt;Author&gt;Luck&lt;/Author&gt;&lt;Year&gt;2014&lt;/Year&gt;&lt;RecNum&gt;530&lt;/RecNum&gt;&lt;DisplayText&gt;[19]&lt;/DisplayText&gt;&lt;record&gt;&lt;rec-number&gt;530&lt;/rec-number&gt;&lt;foreign-keys&gt;&lt;key app="EN" db-id="2vv5xe9dna59ffexf9lpvxdmzt2dvsd25tat" timestamp="1672257810"&gt;530&lt;/key&gt;&lt;/foreign-keys&gt;&lt;ref-type name="Book"&gt;6&lt;/ref-type&gt;&lt;contributors&gt;&lt;authors&gt;&lt;author&gt;Luck, Steven J&lt;/author&gt;&lt;/authors&gt;&lt;/contributors&gt;&lt;titles&gt;&lt;title&gt;An introduction to the event-related potential technique&lt;/title&gt;&lt;/titles&gt;&lt;dates&gt;&lt;year&gt;2014&lt;/year&gt;&lt;/dates&gt;&lt;publisher&gt;MIT press&lt;/publisher&gt;&lt;isbn&gt;0262324067&lt;/isbn&gt;&lt;urls&gt;&lt;/urls&gt;&lt;/record&gt;&lt;/Cite&gt;&lt;/EndNote&gt;</w:instrText>
      </w:r>
      <w:r w:rsidRPr="00082EF6">
        <w:rPr>
          <w:rFonts w:ascii="Arial" w:hAnsi="Arial" w:cs="Arial"/>
        </w:rPr>
        <w:fldChar w:fldCharType="separate"/>
      </w:r>
      <w:r>
        <w:rPr>
          <w:rFonts w:ascii="Arial" w:hAnsi="Arial" w:cs="Arial"/>
          <w:noProof/>
        </w:rPr>
        <w:t>[19]</w:t>
      </w:r>
      <w:r w:rsidRPr="00082EF6">
        <w:rPr>
          <w:rFonts w:ascii="Arial" w:hAnsi="Arial" w:cs="Arial"/>
        </w:rPr>
        <w:fldChar w:fldCharType="end"/>
      </w:r>
      <w:r w:rsidRPr="00082EF6">
        <w:rPr>
          <w:rFonts w:ascii="Arial" w:hAnsi="Arial" w:cs="Arial"/>
        </w:rPr>
        <w:t xml:space="preserve">. 2) A 60 Hz notch filter was used to remove the line noise artifacts. 3) A band-pass filter (0.2-250 Hz) was used to filter the EEG data, with a filter steepness of 24 dB/octave. 4) Specific EEG data segments were visually inspected for artifacts associated with facial and muscular activity and were decontaminated </w:t>
      </w:r>
      <w:r w:rsidRPr="00082EF6">
        <w:rPr>
          <w:rFonts w:ascii="Arial" w:hAnsi="Arial" w:cs="Arial"/>
        </w:rPr>
        <w:fldChar w:fldCharType="begin"/>
      </w:r>
      <w:r>
        <w:rPr>
          <w:rFonts w:ascii="Arial" w:hAnsi="Arial" w:cs="Arial"/>
        </w:rPr>
        <w:instrText xml:space="preserve"> ADDIN EN.CITE &lt;EndNote&gt;&lt;Cite&gt;&lt;Author&gt;Luck&lt;/Author&gt;&lt;Year&gt;2014&lt;/Year&gt;&lt;RecNum&gt;37&lt;/RecNum&gt;&lt;DisplayText&gt;[19]&lt;/DisplayText&gt;&lt;record&gt;&lt;rec-number&gt;37&lt;/rec-number&gt;&lt;foreign-keys&gt;&lt;key app="EN" db-id="s2r50t2rjp5frwe9xarxv0xe2ra0zpwrrsa2" timestamp="1668080568"&gt;37&lt;/key&gt;&lt;/foreign-keys&gt;&lt;ref-type name="Book"&gt;6&lt;/ref-type&gt;&lt;contributors&gt;&lt;authors&gt;&lt;author&gt;Luck, Steven J&lt;/author&gt;&lt;/authors&gt;&lt;/contributors&gt;&lt;titles&gt;&lt;title&gt;An introduction to the event-related potential technique&lt;/title&gt;&lt;/titles&gt;&lt;dates&gt;&lt;year&gt;2014&lt;/year&gt;&lt;/dates&gt;&lt;publisher&gt;MIT press&lt;/publisher&gt;&lt;isbn&gt;0262324067&lt;/isbn&gt;&lt;urls&gt;&lt;/urls&gt;&lt;/record&gt;&lt;/Cite&gt;&lt;/EndNote&gt;</w:instrText>
      </w:r>
      <w:r w:rsidRPr="00082EF6">
        <w:rPr>
          <w:rFonts w:ascii="Arial" w:hAnsi="Arial" w:cs="Arial"/>
        </w:rPr>
        <w:fldChar w:fldCharType="separate"/>
      </w:r>
      <w:r>
        <w:rPr>
          <w:rFonts w:ascii="Arial" w:hAnsi="Arial" w:cs="Arial"/>
          <w:noProof/>
        </w:rPr>
        <w:t>[19]</w:t>
      </w:r>
      <w:r w:rsidRPr="00082EF6">
        <w:rPr>
          <w:rFonts w:ascii="Arial" w:hAnsi="Arial" w:cs="Arial"/>
        </w:rPr>
        <w:fldChar w:fldCharType="end"/>
      </w:r>
      <w:r w:rsidRPr="00082EF6">
        <w:rPr>
          <w:rFonts w:ascii="Arial" w:hAnsi="Arial" w:cs="Arial"/>
        </w:rPr>
        <w:t xml:space="preserve">. 5) The decontaminated signals were subjected to the spatial Laplacian approach </w:t>
      </w:r>
      <w:r w:rsidRPr="00082EF6">
        <w:rPr>
          <w:rFonts w:ascii="Arial" w:hAnsi="Arial" w:cs="Arial"/>
        </w:rPr>
        <w:fldChar w:fldCharType="begin"/>
      </w:r>
      <w:r>
        <w:rPr>
          <w:rFonts w:ascii="Arial" w:hAnsi="Arial" w:cs="Arial"/>
        </w:rPr>
        <w:instrText xml:space="preserve"> ADDIN EN.CITE &lt;EndNote&gt;&lt;Cite&gt;&lt;Author&gt;Kayser&lt;/Author&gt;&lt;Year&gt;2015&lt;/Year&gt;&lt;RecNum&gt;38&lt;/RecNum&gt;&lt;DisplayText&gt;[20]&lt;/DisplayText&gt;&lt;record&gt;&lt;rec-number&gt;38&lt;/rec-number&gt;&lt;foreign-keys&gt;&lt;key app="EN" db-id="s2r50t2rjp5frwe9xarxv0xe2ra0zpwrrsa2" timestamp="1668080568"&gt;38&lt;/key&gt;&lt;/foreign-keys&gt;&lt;ref-type name="Journal Article"&gt;17&lt;/ref-type&gt;&lt;contributors&gt;&lt;authors&gt;&lt;author&gt;Kayser, Jürgen&lt;/author&gt;&lt;author&gt;Tenke, Craig E&lt;/author&gt;&lt;/authors&gt;&lt;/contributors&gt;&lt;titles&gt;&lt;title&gt;On the benefits of using surface Laplacian (current source density) methodology in electrophysiology&lt;/title&gt;&lt;secondary-title&gt;International journal of psychophysiology: official journal of the International Organization of Psychophysiology&lt;/secondary-title&gt;&lt;/titles&gt;&lt;periodical&gt;&lt;full-title&gt;International journal of psychophysiology: official journal of the International Organization of Psychophysiology&lt;/full-title&gt;&lt;/periodical&gt;&lt;pages&gt;171&lt;/pages&gt;&lt;volume&gt;97&lt;/volume&gt;&lt;number&gt;3&lt;/number&gt;&lt;dates&gt;&lt;year&gt;2015&lt;/year&gt;&lt;/dates&gt;&lt;urls&gt;&lt;/urls&gt;&lt;/record&gt;&lt;/Cite&gt;&lt;/EndNote&gt;</w:instrText>
      </w:r>
      <w:r w:rsidRPr="00082EF6">
        <w:rPr>
          <w:rFonts w:ascii="Arial" w:hAnsi="Arial" w:cs="Arial"/>
        </w:rPr>
        <w:fldChar w:fldCharType="separate"/>
      </w:r>
      <w:r>
        <w:rPr>
          <w:rFonts w:ascii="Arial" w:hAnsi="Arial" w:cs="Arial"/>
          <w:noProof/>
        </w:rPr>
        <w:t>[20]</w:t>
      </w:r>
      <w:r w:rsidRPr="00082EF6">
        <w:rPr>
          <w:rFonts w:ascii="Arial" w:hAnsi="Arial" w:cs="Arial"/>
        </w:rPr>
        <w:fldChar w:fldCharType="end"/>
      </w:r>
      <w:r w:rsidRPr="00082EF6">
        <w:rPr>
          <w:rFonts w:ascii="Arial" w:hAnsi="Arial" w:cs="Arial"/>
        </w:rPr>
        <w:t xml:space="preserve">. The Surface Laplacian method emphasizes sources at small spatial scales to reduce the effect of volume conduction on coherence calculations </w:t>
      </w:r>
      <w:r w:rsidRPr="00082EF6">
        <w:rPr>
          <w:rFonts w:ascii="Arial" w:hAnsi="Arial" w:cs="Arial"/>
        </w:rPr>
        <w:fldChar w:fldCharType="begin"/>
      </w:r>
      <w:r>
        <w:rPr>
          <w:rFonts w:ascii="Arial" w:hAnsi="Arial" w:cs="Arial"/>
        </w:rPr>
        <w:instrText xml:space="preserve"> ADDIN EN.CITE &lt;EndNote&gt;&lt;Cite&gt;&lt;Author&gt;Srinivasan&lt;/Author&gt;&lt;Year&gt;2007&lt;/Year&gt;&lt;RecNum&gt;39&lt;/RecNum&gt;&lt;DisplayText&gt;[21]&lt;/DisplayText&gt;&lt;record&gt;&lt;rec-number&gt;39&lt;/rec-number&gt;&lt;foreign-keys&gt;&lt;key app="EN" db-id="s2r50t2rjp5frwe9xarxv0xe2ra0zpwrrsa2" timestamp="1668080569"&gt;39&lt;/key&gt;&lt;/foreign-keys&gt;&lt;ref-type name="Journal Article"&gt;17&lt;/ref-type&gt;&lt;contributors&gt;&lt;authors&gt;&lt;author&gt;Srinivasan, Ramesh&lt;/author&gt;&lt;author&gt;Winter, William R&lt;/author&gt;&lt;author&gt;Ding, Jian&lt;/author&gt;&lt;author&gt;Nunez, Paul L&lt;/author&gt;&lt;/authors&gt;&lt;/contributors&gt;&lt;titles&gt;&lt;title&gt;EEG and MEG coherence: measures of functional connectivity at distinct spatial scales of neocortical dynamics&lt;/title&gt;&lt;secondary-title&gt;Journal of neuroscience methods&lt;/secondary-title&gt;&lt;/titles&gt;&lt;periodical&gt;&lt;full-title&gt;Journal of neuroscience methods&lt;/full-title&gt;&lt;/periodical&gt;&lt;pages&gt;41-52&lt;/pages&gt;&lt;volume&gt;166&lt;/volume&gt;&lt;number&gt;1&lt;/number&gt;&lt;dates&gt;&lt;year&gt;2007&lt;/year&gt;&lt;/dates&gt;&lt;isbn&gt;0165-0270&lt;/isbn&gt;&lt;urls&gt;&lt;/urls&gt;&lt;/record&gt;&lt;/Cite&gt;&lt;/EndNote&gt;</w:instrText>
      </w:r>
      <w:r w:rsidRPr="00082EF6">
        <w:rPr>
          <w:rFonts w:ascii="Arial" w:hAnsi="Arial" w:cs="Arial"/>
        </w:rPr>
        <w:fldChar w:fldCharType="separate"/>
      </w:r>
      <w:r>
        <w:rPr>
          <w:rFonts w:ascii="Arial" w:hAnsi="Arial" w:cs="Arial"/>
          <w:noProof/>
        </w:rPr>
        <w:t>[21]</w:t>
      </w:r>
      <w:r w:rsidRPr="00082EF6">
        <w:rPr>
          <w:rFonts w:ascii="Arial" w:hAnsi="Arial" w:cs="Arial"/>
        </w:rPr>
        <w:fldChar w:fldCharType="end"/>
      </w:r>
      <w:r w:rsidRPr="00082EF6">
        <w:rPr>
          <w:rFonts w:ascii="Arial" w:hAnsi="Arial" w:cs="Arial"/>
        </w:rPr>
        <w:t xml:space="preserve">. Decontaminated EEG data were used to extract the </w:t>
      </w:r>
      <w:r>
        <w:rPr>
          <w:rFonts w:ascii="Arial" w:hAnsi="Arial" w:cs="Arial"/>
        </w:rPr>
        <w:t xml:space="preserve">strength, </w:t>
      </w:r>
      <w:r w:rsidRPr="00082EF6">
        <w:rPr>
          <w:rFonts w:ascii="Arial" w:hAnsi="Arial" w:cs="Arial"/>
        </w:rPr>
        <w:t>search information, temporal network flexibility, integration, and recruitment features.</w:t>
      </w:r>
    </w:p>
    <w:p w14:paraId="25C303B7" w14:textId="77777777" w:rsidR="00371F14" w:rsidRDefault="00371F14" w:rsidP="00371F14">
      <w:pPr>
        <w:spacing w:after="120"/>
        <w:jc w:val="both"/>
        <w:rPr>
          <w:rFonts w:ascii="Arial" w:hAnsi="Arial" w:cs="Arial"/>
        </w:rPr>
      </w:pPr>
      <w:r w:rsidRPr="002D4CA0">
        <w:rPr>
          <w:rFonts w:ascii="Arial" w:hAnsi="Arial" w:cs="Arial"/>
          <w:b/>
          <w:bCs/>
        </w:rPr>
        <w:t>Brain cortices:</w:t>
      </w:r>
      <w:r>
        <w:rPr>
          <w:rFonts w:ascii="Arial" w:hAnsi="Arial" w:cs="Arial"/>
        </w:rPr>
        <w:t xml:space="preserve"> E</w:t>
      </w:r>
      <w:r w:rsidRPr="004369F8">
        <w:rPr>
          <w:rFonts w:ascii="Arial" w:hAnsi="Arial" w:cs="Arial"/>
        </w:rPr>
        <w:t xml:space="preserve">ach EEG channel </w:t>
      </w:r>
      <w:r>
        <w:rPr>
          <w:rFonts w:ascii="Arial" w:hAnsi="Arial" w:cs="Arial"/>
        </w:rPr>
        <w:t xml:space="preserve">was assigned </w:t>
      </w:r>
      <w:r w:rsidRPr="004369F8">
        <w:rPr>
          <w:rFonts w:ascii="Arial" w:hAnsi="Arial" w:cs="Arial"/>
        </w:rPr>
        <w:t xml:space="preserve">to a corresponding cortex based on the recording electrodes placed above each cortex </w:t>
      </w:r>
      <w:r w:rsidRPr="00C93571">
        <w:rPr>
          <w:rFonts w:ascii="Arial" w:hAnsi="Arial" w:cs="Arial"/>
          <w:color w:val="000000" w:themeColor="text1"/>
        </w:rPr>
        <w:fldChar w:fldCharType="begin"/>
      </w:r>
      <w:r>
        <w:rPr>
          <w:rFonts w:ascii="Arial" w:hAnsi="Arial" w:cs="Arial"/>
          <w:color w:val="000000" w:themeColor="text1"/>
        </w:rPr>
        <w:instrText xml:space="preserve"> ADDIN EN.CITE &lt;EndNote&gt;&lt;Cite&gt;&lt;Author&gt;Strotzer&lt;/Author&gt;&lt;Year&gt;2009&lt;/Year&gt;&lt;RecNum&gt;45&lt;/RecNum&gt;&lt;DisplayText&gt;[22]&lt;/DisplayText&gt;&lt;record&gt;&lt;rec-number&gt;45&lt;/rec-number&gt;&lt;foreign-keys&gt;&lt;key app="EN" db-id="s2r50t2rjp5frwe9xarxv0xe2ra0zpwrrsa2" timestamp="1668080569"&gt;45&lt;/key&gt;&lt;/foreign-keys&gt;&lt;ref-type name="Journal Article"&gt;17&lt;/ref-type&gt;&lt;contributors&gt;&lt;authors&gt;&lt;author&gt;Strotzer, Michael&lt;/author&gt;&lt;/authors&gt;&lt;/contributors&gt;&lt;titles&gt;&lt;title&gt;One century of brain mapping using Brodmann areas&lt;/title&gt;&lt;secondary-title&gt;Clinical Neuroradiology&lt;/secondary-title&gt;&lt;/titles&gt;&lt;periodical&gt;&lt;full-title&gt;Clinical Neuroradiology&lt;/full-title&gt;&lt;/periodical&gt;&lt;pages&gt;179-186&lt;/pages&gt;&lt;volume&gt;19&lt;/volume&gt;&lt;number&gt;3&lt;/number&gt;&lt;dates&gt;&lt;year&gt;2009&lt;/year&gt;&lt;/dates&gt;&lt;isbn&gt;1615-6706&lt;/isbn&gt;&lt;urls&gt;&lt;/urls&gt;&lt;/record&gt;&lt;/Cite&gt;&lt;/EndNote&gt;</w:instrText>
      </w:r>
      <w:r w:rsidRPr="00C93571">
        <w:rPr>
          <w:rFonts w:ascii="Arial" w:hAnsi="Arial" w:cs="Arial"/>
          <w:color w:val="000000" w:themeColor="text1"/>
        </w:rPr>
        <w:fldChar w:fldCharType="separate"/>
      </w:r>
      <w:r>
        <w:rPr>
          <w:rFonts w:ascii="Arial" w:hAnsi="Arial" w:cs="Arial"/>
          <w:noProof/>
          <w:color w:val="000000" w:themeColor="text1"/>
        </w:rPr>
        <w:t>[22]</w:t>
      </w:r>
      <w:r w:rsidRPr="00C93571">
        <w:rPr>
          <w:rFonts w:ascii="Arial" w:hAnsi="Arial" w:cs="Arial"/>
          <w:color w:val="000000" w:themeColor="text1"/>
        </w:rPr>
        <w:fldChar w:fldCharType="end"/>
      </w:r>
      <w:r w:rsidRPr="00C93571">
        <w:rPr>
          <w:rFonts w:ascii="Arial" w:hAnsi="Arial" w:cs="Arial"/>
          <w:color w:val="000000" w:themeColor="text1"/>
        </w:rPr>
        <w:t xml:space="preserve"> </w:t>
      </w:r>
      <w:r w:rsidRPr="00F036F9">
        <w:rPr>
          <w:rFonts w:ascii="Arial" w:hAnsi="Arial" w:cs="Arial"/>
          <w:color w:val="000000" w:themeColor="text1"/>
        </w:rPr>
        <w:t>using the Brodmann Interactive Atlas</w:t>
      </w:r>
      <w:r w:rsidRPr="00C93571">
        <w:rPr>
          <w:rFonts w:ascii="Arial" w:hAnsi="Arial" w:cs="Arial"/>
          <w:color w:val="000000" w:themeColor="text1"/>
        </w:rPr>
        <w:t xml:space="preserve"> (</w:t>
      </w:r>
      <w:hyperlink r:id="rId6" w:history="1">
        <w:r w:rsidRPr="00C93571">
          <w:rPr>
            <w:rStyle w:val="Hyperlink"/>
            <w:rFonts w:ascii="Arial" w:eastAsiaTheme="majorEastAsia" w:hAnsi="Arial" w:cs="Arial"/>
            <w:color w:val="000000" w:themeColor="text1"/>
          </w:rPr>
          <w:t>http://www.fmriconsulting.com/brodmann/Interact.html</w:t>
        </w:r>
      </w:hyperlink>
      <w:r w:rsidRPr="00C93571">
        <w:rPr>
          <w:rFonts w:ascii="Arial" w:hAnsi="Arial" w:cs="Arial"/>
          <w:color w:val="000000" w:themeColor="text1"/>
        </w:rPr>
        <w:t>) and the Brain master software (</w:t>
      </w:r>
      <w:hyperlink r:id="rId7" w:history="1">
        <w:r w:rsidRPr="00DB64DD">
          <w:rPr>
            <w:rStyle w:val="Hyperlink"/>
            <w:rFonts w:ascii="Arial" w:eastAsiaTheme="majorEastAsia" w:hAnsi="Arial" w:cs="Arial"/>
          </w:rPr>
          <w:t>http://www.brainm.com/software/pubs/dg/BA_10-20_ROI_Talairach/</w:t>
        </w:r>
      </w:hyperlink>
      <w:r w:rsidRPr="00C93571">
        <w:rPr>
          <w:rFonts w:ascii="Arial" w:hAnsi="Arial" w:cs="Arial"/>
          <w:color w:val="000000" w:themeColor="text1"/>
        </w:rPr>
        <w:t>).</w:t>
      </w:r>
      <w:r>
        <w:rPr>
          <w:rFonts w:ascii="Arial" w:hAnsi="Arial" w:cs="Arial"/>
          <w:color w:val="000000" w:themeColor="text1"/>
        </w:rPr>
        <w:t xml:space="preserve"> </w:t>
      </w:r>
      <w:r w:rsidRPr="00F036F9">
        <w:rPr>
          <w:rFonts w:ascii="Arial" w:hAnsi="Arial" w:cs="Arial"/>
        </w:rPr>
        <w:t>Specifically, the 116 EEG channels</w:t>
      </w:r>
      <w:r>
        <w:rPr>
          <w:rFonts w:ascii="Arial" w:hAnsi="Arial" w:cs="Arial"/>
        </w:rPr>
        <w:t xml:space="preserve"> were assigned </w:t>
      </w:r>
      <w:r w:rsidRPr="00F036F9">
        <w:rPr>
          <w:rFonts w:ascii="Arial" w:hAnsi="Arial" w:cs="Arial"/>
        </w:rPr>
        <w:t>to the four cortices.</w:t>
      </w:r>
      <w:r>
        <w:rPr>
          <w:rFonts w:ascii="Arial" w:hAnsi="Arial" w:cs="Arial"/>
        </w:rPr>
        <w:t xml:space="preserve"> </w:t>
      </w:r>
    </w:p>
    <w:p w14:paraId="457248A4" w14:textId="77777777" w:rsidR="00371F14" w:rsidRDefault="00371F14" w:rsidP="00371F14">
      <w:pPr>
        <w:spacing w:after="120"/>
        <w:jc w:val="both"/>
        <w:rPr>
          <w:rFonts w:ascii="Arial" w:hAnsi="Arial" w:cs="Arial"/>
        </w:rPr>
      </w:pPr>
      <w:r w:rsidRPr="006D64A6">
        <w:rPr>
          <w:rFonts w:ascii="Arial" w:hAnsi="Arial" w:cs="Arial"/>
        </w:rPr>
        <w:t>To obtain a summary of the features for each cortex, the average of the features for channels in the frontal, parietal, occipital, and temporal cortices</w:t>
      </w:r>
      <w:r>
        <w:rPr>
          <w:rFonts w:ascii="Arial" w:hAnsi="Arial" w:cs="Arial"/>
        </w:rPr>
        <w:t xml:space="preserve"> were calculated</w:t>
      </w:r>
      <w:r w:rsidRPr="006D64A6">
        <w:rPr>
          <w:rFonts w:ascii="Arial" w:hAnsi="Arial" w:cs="Arial"/>
        </w:rPr>
        <w:t>.</w:t>
      </w:r>
      <w:r>
        <w:rPr>
          <w:rFonts w:ascii="Arial" w:hAnsi="Arial" w:cs="Arial"/>
        </w:rPr>
        <w:t xml:space="preserve"> </w:t>
      </w:r>
    </w:p>
    <w:p w14:paraId="4C5995F1" w14:textId="77777777" w:rsidR="00371F14" w:rsidRDefault="00371F14" w:rsidP="00371F14">
      <w:pPr>
        <w:spacing w:after="120"/>
        <w:jc w:val="both"/>
        <w:rPr>
          <w:rFonts w:ascii="Arial" w:hAnsi="Arial" w:cs="Arial"/>
        </w:rPr>
      </w:pPr>
    </w:p>
    <w:p w14:paraId="23DA1AA4" w14:textId="77777777" w:rsidR="00371F14" w:rsidRPr="00082EF6" w:rsidRDefault="00371F14" w:rsidP="00371F14">
      <w:pPr>
        <w:pStyle w:val="Heading2"/>
        <w:spacing w:before="0" w:after="120" w:line="240" w:lineRule="auto"/>
        <w:jc w:val="both"/>
        <w:rPr>
          <w:rFonts w:ascii="Arial" w:hAnsi="Arial" w:cs="Arial"/>
          <w:b/>
          <w:bCs/>
          <w:color w:val="000000" w:themeColor="text1"/>
          <w:sz w:val="24"/>
          <w:szCs w:val="24"/>
        </w:rPr>
      </w:pPr>
      <w:r w:rsidRPr="00082EF6">
        <w:rPr>
          <w:rFonts w:ascii="Arial" w:hAnsi="Arial" w:cs="Arial"/>
          <w:b/>
          <w:bCs/>
          <w:color w:val="000000" w:themeColor="text1"/>
          <w:sz w:val="24"/>
          <w:szCs w:val="24"/>
        </w:rPr>
        <w:t>Extraction of search information feature</w:t>
      </w:r>
    </w:p>
    <w:p w14:paraId="013CC220" w14:textId="77777777" w:rsidR="00371F14" w:rsidRDefault="00371F14" w:rsidP="00371F14">
      <w:pPr>
        <w:tabs>
          <w:tab w:val="left" w:pos="3316"/>
          <w:tab w:val="center" w:pos="4666"/>
          <w:tab w:val="right" w:pos="9500"/>
        </w:tabs>
        <w:spacing w:after="120"/>
        <w:jc w:val="both"/>
        <w:rPr>
          <w:rFonts w:ascii="Arial" w:hAnsi="Arial" w:cs="Arial"/>
        </w:rPr>
      </w:pPr>
      <w:r w:rsidRPr="006B1AFC">
        <w:rPr>
          <w:rFonts w:ascii="Arial" w:hAnsi="Arial" w:cs="Arial"/>
        </w:rPr>
        <w:t>The search information feature represents the amount of information (in bits) required to navigate the most efficient path between two nodes in the network</w:t>
      </w:r>
      <w:r>
        <w:rPr>
          <w:rFonts w:ascii="Arial" w:hAnsi="Arial" w:cs="Arial"/>
        </w:rPr>
        <w:t xml:space="preserve"> </w:t>
      </w:r>
      <w:r w:rsidRPr="00C93571">
        <w:rPr>
          <w:rFonts w:ascii="Arial" w:hAnsi="Arial" w:cs="Arial"/>
        </w:rPr>
        <w:fldChar w:fldCharType="begin"/>
      </w:r>
      <w:r>
        <w:rPr>
          <w:rFonts w:ascii="Arial" w:hAnsi="Arial" w:cs="Arial"/>
        </w:rPr>
        <w:instrText xml:space="preserve"> ADDIN EN.CITE &lt;EndNote&gt;&lt;Cite&gt;&lt;Author&gt;Rosvall&lt;/Author&gt;&lt;Year&gt;2005&lt;/Year&gt;&lt;RecNum&gt;495&lt;/RecNum&gt;&lt;DisplayText&gt;[24]&lt;/DisplayText&gt;&lt;record&gt;&lt;rec-number&gt;495&lt;/rec-number&gt;&lt;foreign-keys&gt;&lt;key app="EN" db-id="2vv5xe9dna59ffexf9lpvxdmzt2dvsd25tat" timestamp="1668619227"&gt;495&lt;/key&gt;&lt;/foreign-keys&gt;&lt;ref-type name="Journal Article"&gt;17&lt;/ref-type&gt;&lt;contributors&gt;&lt;authors&gt;&lt;author&gt;Rosvall, Martin&lt;/author&gt;&lt;author&gt;Grönlund, Andreas&lt;/author&gt;&lt;author&gt;Minnhagen, Petter&lt;/author&gt;&lt;author&gt;Sneppen, Kim&lt;/author&gt;&lt;/authors&gt;&lt;/contributors&gt;&lt;titles&gt;&lt;title&gt;Searchability of networks&lt;/title&gt;&lt;secondary-title&gt;Physical Review E&lt;/secondary-title&gt;&lt;/titles&gt;&lt;periodical&gt;&lt;full-title&gt;Physical review E&lt;/full-title&gt;&lt;/periodical&gt;&lt;pages&gt;046117&lt;/pages&gt;&lt;volume&gt;72&lt;/volume&gt;&lt;number&gt;4&lt;/number&gt;&lt;dates&gt;&lt;year&gt;2005&lt;/year&gt;&lt;/dates&gt;&lt;urls&gt;&lt;/urls&gt;&lt;/record&gt;&lt;/Cite&gt;&lt;/EndNote&gt;</w:instrText>
      </w:r>
      <w:r w:rsidRPr="00C93571">
        <w:rPr>
          <w:rFonts w:ascii="Arial" w:hAnsi="Arial" w:cs="Arial"/>
        </w:rPr>
        <w:fldChar w:fldCharType="separate"/>
      </w:r>
      <w:r>
        <w:rPr>
          <w:rFonts w:ascii="Arial" w:hAnsi="Arial" w:cs="Arial"/>
          <w:noProof/>
        </w:rPr>
        <w:t>[24]</w:t>
      </w:r>
      <w:r w:rsidRPr="00C93571">
        <w:rPr>
          <w:rFonts w:ascii="Arial" w:hAnsi="Arial" w:cs="Arial"/>
        </w:rPr>
        <w:fldChar w:fldCharType="end"/>
      </w:r>
      <w:r w:rsidRPr="00C93571">
        <w:rPr>
          <w:rFonts w:ascii="Arial" w:hAnsi="Arial" w:cs="Arial"/>
        </w:rPr>
        <w:t xml:space="preserve">. </w:t>
      </w:r>
    </w:p>
    <w:p w14:paraId="12EFF01D" w14:textId="77777777" w:rsidR="00371F14" w:rsidRDefault="00371F14" w:rsidP="00371F14">
      <w:pPr>
        <w:tabs>
          <w:tab w:val="left" w:pos="3316"/>
          <w:tab w:val="center" w:pos="4666"/>
          <w:tab w:val="right" w:pos="9500"/>
        </w:tabs>
        <w:spacing w:after="120"/>
        <w:jc w:val="both"/>
        <w:rPr>
          <w:rFonts w:ascii="Arial" w:hAnsi="Arial" w:cs="Arial"/>
        </w:rPr>
      </w:pPr>
      <w:r w:rsidRPr="00082EF6">
        <w:rPr>
          <w:rFonts w:ascii="Arial" w:hAnsi="Arial" w:cs="Arial"/>
        </w:rPr>
        <w:t xml:space="preserve">The Adjacency matrix, commonly known as the functional brain network, of each EEG recording and the Brain Connectivity Toolbox (https://sites.google.com/site/bctnet/measures), were used to extract the search information feature </w:t>
      </w:r>
      <w:r w:rsidRPr="00082EF6">
        <w:rPr>
          <w:rFonts w:ascii="Arial" w:hAnsi="Arial" w:cs="Arial"/>
        </w:rPr>
        <w:fldChar w:fldCharType="begin">
          <w:fldData xml:space="preserve">PEVuZE5vdGU+PENpdGU+PEF1dGhvcj5TbmVwcGVuPC9BdXRob3I+PFllYXI+MjAwNTwvWWVhcj48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</w:fldData>
        </w:fldChar>
      </w:r>
      <w:r>
        <w:rPr>
          <w:rFonts w:ascii="Arial" w:hAnsi="Arial" w:cs="Arial"/>
        </w:rPr>
        <w:instrText xml:space="preserve"> ADDIN EN.CITE </w:instrText>
      </w:r>
      <w:r>
        <w:rPr>
          <w:rFonts w:ascii="Arial" w:hAnsi="Arial" w:cs="Arial"/>
        </w:rPr>
        <w:fldChar w:fldCharType="begin">
          <w:fldData xml:space="preserve">PEVuZE5vdGU+PENpdGU+PEF1dGhvcj5TbmVwcGVuPC9BdXRob3I+PFllYXI+MjAwNTwvWWVhcj48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082EF6">
        <w:rPr>
          <w:rFonts w:ascii="Arial" w:hAnsi="Arial" w:cs="Arial"/>
        </w:rPr>
      </w:r>
      <w:r w:rsidRPr="00082EF6">
        <w:rPr>
          <w:rFonts w:ascii="Arial" w:hAnsi="Arial" w:cs="Arial"/>
        </w:rPr>
        <w:fldChar w:fldCharType="separate"/>
      </w:r>
      <w:r>
        <w:rPr>
          <w:rFonts w:ascii="Arial" w:hAnsi="Arial" w:cs="Arial"/>
          <w:noProof/>
        </w:rPr>
        <w:t>[23-25]</w:t>
      </w:r>
      <w:r w:rsidRPr="00082EF6">
        <w:rPr>
          <w:rFonts w:ascii="Arial" w:hAnsi="Arial" w:cs="Arial"/>
        </w:rPr>
        <w:fldChar w:fldCharType="end"/>
      </w:r>
      <w:r w:rsidRPr="00082EF6">
        <w:rPr>
          <w:rFonts w:ascii="Arial" w:hAnsi="Arial" w:cs="Arial"/>
        </w:rPr>
        <w:t xml:space="preserve">. A network that mathematically describes the connection (i.e., information transformation) strength between areas of the brain is called the adjacency matrix </w:t>
      </w:r>
      <w:r w:rsidRPr="00082EF6">
        <w:rPr>
          <w:rFonts w:ascii="Arial" w:hAnsi="Arial" w:cs="Arial"/>
        </w:rPr>
        <w:fldChar w:fldCharType="begin"/>
      </w:r>
      <w:r>
        <w:rPr>
          <w:rFonts w:ascii="Arial" w:hAnsi="Arial" w:cs="Arial"/>
        </w:rPr>
        <w:instrText xml:space="preserve"> ADDIN EN.CITE &lt;EndNote&gt;&lt;Cite&gt;&lt;Author&gt;Lynn&lt;/Author&gt;&lt;Year&gt;2019&lt;/Year&gt;&lt;RecNum&gt;2601&lt;/RecNum&gt;&lt;DisplayText&gt;[26]&lt;/DisplayText&gt;&lt;record&gt;&lt;rec-number&gt;2601&lt;/rec-number&gt;&lt;foreign-keys&gt;&lt;key app="EN" db-id="50wxdpzd9vd5r7e9t5b595djrfpttrxw9avp" timestamp="1557509806"&gt;2601&lt;/key&gt;&lt;/foreign-keys&gt;&lt;ref-type name="Journal Article"&gt;17&lt;/ref-type&gt;&lt;contributors&gt;&lt;authors&gt;&lt;author&gt;Lynn, Christopher W&lt;/author&gt;&lt;author&gt;Bassett, Danielle S&lt;/author&gt;&lt;/authors&gt;&lt;/contributors&gt;&lt;titles&gt;&lt;title&gt;The physics of brain network structure, function and control&lt;/title&gt;&lt;secondary-title&gt;Nature Reviews Physics&lt;/secondary-title&gt;&lt;/titles&gt;&lt;periodical&gt;&lt;full-title&gt;Nature Reviews Physics&lt;/full-title&gt;&lt;/periodical&gt;&lt;pages&gt;1&lt;/pages&gt;&lt;dates&gt;&lt;year&gt;2019&lt;/year&gt;&lt;/dates&gt;&lt;isbn&gt;2522-5820&lt;/isbn&gt;&lt;urls&gt;&lt;/urls&gt;&lt;/record&gt;&lt;/Cite&gt;&lt;/EndNote&gt;</w:instrText>
      </w:r>
      <w:r w:rsidRPr="00082EF6">
        <w:rPr>
          <w:rFonts w:ascii="Arial" w:hAnsi="Arial" w:cs="Arial"/>
        </w:rPr>
        <w:fldChar w:fldCharType="separate"/>
      </w:r>
      <w:r>
        <w:rPr>
          <w:rFonts w:ascii="Arial" w:hAnsi="Arial" w:cs="Arial"/>
          <w:noProof/>
        </w:rPr>
        <w:t>[26]</w:t>
      </w:r>
      <w:r w:rsidRPr="00082EF6">
        <w:rPr>
          <w:rFonts w:ascii="Arial" w:hAnsi="Arial" w:cs="Arial"/>
        </w:rPr>
        <w:fldChar w:fldCharType="end"/>
      </w:r>
      <w:r w:rsidRPr="00082EF6">
        <w:rPr>
          <w:rFonts w:ascii="Arial" w:hAnsi="Arial" w:cs="Arial"/>
        </w:rPr>
        <w:t>. Entries of this matrix showed the weight of connections between various EEG channels i and j (</w:t>
      </w:r>
      <m:oMath>
        <m:r>
          <m:rPr>
            <m:nor/>
          </m:rPr>
          <w:rPr>
            <w:rFonts w:ascii="Arial" w:hAnsi="Arial" w:cs="Arial"/>
          </w:rPr>
          <m:t>Γ=</m:t>
        </m:r>
        <m:r>
          <m:rPr>
            <m:sty m:val="p"/>
          </m:rPr>
          <w:rPr>
            <w:rFonts w:ascii="Cambria Math" w:hAnsi="Cambria Math" w:cs="Arial"/>
          </w:rPr>
          <m:t>(</m:t>
        </m:r>
        <m:sSub>
          <m:sSubPr>
            <m:ctrlPr>
              <w:rPr>
                <w:rFonts w:ascii="Cambria Math" w:hAnsi="Cambria Math" w:cs="Arial"/>
              </w:rPr>
            </m:ctrlPr>
          </m:sSubPr>
          <m:e>
            <m:r>
              <w:rPr>
                <w:rFonts w:ascii="Cambria Math" w:hAnsi="Cambria Math" w:cs="Arial"/>
              </w:rPr>
              <m:t>Γ</m:t>
            </m:r>
          </m:e>
          <m:sub>
            <m:r>
              <m:rPr>
                <m:nor/>
              </m:rPr>
              <w:rPr>
                <w:rFonts w:ascii="Arial" w:hAnsi="Arial" w:cs="Arial"/>
              </w:rPr>
              <m:t>ij</m:t>
            </m:r>
          </m:sub>
        </m:sSub>
        <m:r>
          <m:rPr>
            <m:sty m:val="p"/>
          </m:rPr>
          <w:rPr>
            <w:rFonts w:ascii="Cambria Math" w:hAnsi="Cambria Math" w:cs="Arial"/>
          </w:rPr>
          <m:t>)∈</m:t>
        </m:r>
        <m:sSup>
          <m:sSupPr>
            <m:ctrlPr>
              <w:rPr>
                <w:rFonts w:ascii="Cambria Math" w:hAnsi="Cambria Math" w:cs="Arial"/>
              </w:rPr>
            </m:ctrlPr>
          </m:sSupPr>
          <m:e>
            <m:r>
              <m:rPr>
                <m:scr m:val="fraktur"/>
                <m:sty m:val="p"/>
              </m:rPr>
              <w:rPr>
                <w:rFonts w:ascii="Cambria Math" w:hAnsi="Cambria Math" w:cs="Arial"/>
              </w:rPr>
              <m:t>R</m:t>
            </m:r>
          </m:e>
          <m:sup>
            <m:r>
              <m:rPr>
                <m:nor/>
              </m:rPr>
              <w:rPr>
                <w:rFonts w:ascii="Arial" w:hAnsi="Arial" w:cs="Arial"/>
              </w:rPr>
              <m:t>NXN</m:t>
            </m:r>
          </m:sup>
        </m:sSup>
      </m:oMath>
      <w:r w:rsidRPr="00082EF6">
        <w:rPr>
          <w:rFonts w:ascii="Arial" w:eastAsiaTheme="minorEastAsia" w:hAnsi="Arial" w:cs="Arial"/>
        </w:rPr>
        <w:t>;</w:t>
      </w:r>
      <w:r w:rsidRPr="00082EF6">
        <w:rPr>
          <w:rFonts w:ascii="Arial" w:hAnsi="Arial" w:cs="Arial"/>
        </w:rPr>
        <w:t xml:space="preserve"> i and j ranged from 1 to N, where N is the number of EEG channels), which were determined using the coherence analysis </w:t>
      </w:r>
      <w:r w:rsidRPr="00082EF6">
        <w:rPr>
          <w:rFonts w:ascii="Arial" w:hAnsi="Arial" w:cs="Arial"/>
        </w:rPr>
        <w:fldChar w:fldCharType="begin"/>
      </w:r>
      <w:r>
        <w:rPr>
          <w:rFonts w:ascii="Arial" w:hAnsi="Arial" w:cs="Arial"/>
        </w:rPr>
        <w:instrText xml:space="preserve"> ADDIN EN.CITE &lt;EndNote&gt;&lt;Cite&gt;&lt;Author&gt;Zhao&lt;/Author&gt;&lt;Year&gt;2022&lt;/Year&gt;&lt;RecNum&gt;584&lt;/RecNum&gt;&lt;DisplayText&gt;[27]&lt;/DisplayText&gt;&lt;record&gt;&lt;rec-number&gt;584&lt;/rec-number&gt;&lt;foreign-keys&gt;&lt;key app="EN" db-id="2vv5xe9dna59ffexf9lpvxdmzt2dvsd25tat" timestamp="1674684151"&gt;584&lt;/key&gt;&lt;/foreign-keys&gt;&lt;ref-type name="Journal Article"&gt;17&lt;/ref-type&gt;&lt;contributors&gt;&lt;authors&gt;&lt;author&gt;Zhao, Huijuan&lt;/author&gt;&lt;author&gt;Liu, Jingjin&lt;/author&gt;&lt;author&gt;Shen, Zhenqian&lt;/author&gt;&lt;author&gt;Yan, Jingwen&lt;/author&gt;&lt;/authors&gt;&lt;/contributors&gt;&lt;titles&gt;&lt;title&gt;SCC-MPGCN: self-attention coherence clustering based on multi-pooling graph convolutional network for EEG emotion recognition&lt;/title&gt;&lt;secondary-title&gt;Journal of Neural Engineering&lt;/secondary-title&gt;&lt;/titles&gt;&lt;periodical&gt;&lt;full-title&gt;Journal of Neural Engineering&lt;/full-title&gt;&lt;/periodical&gt;&lt;pages&gt;026051&lt;/pages&gt;&lt;volume&gt;19&lt;/volume&gt;&lt;number&gt;2&lt;/number&gt;&lt;dates&gt;&lt;year&gt;2022&lt;/year&gt;&lt;/dates&gt;&lt;isbn&gt;1741-2552&lt;/isbn&gt;&lt;urls&gt;&lt;/urls&gt;&lt;/record&gt;&lt;/Cite&gt;&lt;/EndNote&gt;</w:instrText>
      </w:r>
      <w:r w:rsidRPr="00082EF6">
        <w:rPr>
          <w:rFonts w:ascii="Arial" w:hAnsi="Arial" w:cs="Arial"/>
        </w:rPr>
        <w:fldChar w:fldCharType="separate"/>
      </w:r>
      <w:r>
        <w:rPr>
          <w:rFonts w:ascii="Arial" w:hAnsi="Arial" w:cs="Arial"/>
          <w:noProof/>
        </w:rPr>
        <w:t>[27]</w:t>
      </w:r>
      <w:r w:rsidRPr="00082EF6">
        <w:rPr>
          <w:rFonts w:ascii="Arial" w:hAnsi="Arial" w:cs="Arial"/>
        </w:rPr>
        <w:fldChar w:fldCharType="end"/>
      </w:r>
      <w:r w:rsidRPr="00082EF6">
        <w:rPr>
          <w:rFonts w:ascii="Arial" w:hAnsi="Arial" w:cs="Arial"/>
        </w:rPr>
        <w:t xml:space="preserve">. </w:t>
      </w:r>
      <w:r w:rsidRPr="009B702D">
        <w:rPr>
          <w:rFonts w:ascii="Arial" w:hAnsi="Arial" w:cs="Arial"/>
        </w:rPr>
        <w:t>To calculate t</w:t>
      </w:r>
      <w:r>
        <w:rPr>
          <w:rFonts w:ascii="Arial" w:hAnsi="Arial" w:cs="Arial"/>
        </w:rPr>
        <w:t>he average search information</w:t>
      </w:r>
      <w:r w:rsidRPr="009B702D">
        <w:rPr>
          <w:rFonts w:ascii="Arial" w:hAnsi="Arial" w:cs="Arial"/>
        </w:rPr>
        <w:t xml:space="preserve"> feature at each </w:t>
      </w:r>
      <w:r>
        <w:rPr>
          <w:rFonts w:ascii="Arial" w:hAnsi="Arial" w:cs="Arial"/>
        </w:rPr>
        <w:t>cortex, the functional connectivity of channels in that cortex were</w:t>
      </w:r>
      <w:r w:rsidRPr="001D7685">
        <w:rPr>
          <w:rFonts w:ascii="Arial" w:hAnsi="Arial" w:cs="Arial"/>
        </w:rPr>
        <w:t xml:space="preserve"> averaged</w:t>
      </w:r>
      <w:r>
        <w:rPr>
          <w:rFonts w:ascii="Arial" w:hAnsi="Arial" w:cs="Arial"/>
        </w:rPr>
        <w:t>. This resulted in four average search information</w:t>
      </w:r>
      <w:r w:rsidRPr="001D7685">
        <w:rPr>
          <w:rFonts w:ascii="Arial" w:hAnsi="Arial" w:cs="Arial"/>
        </w:rPr>
        <w:t xml:space="preserve"> features.</w:t>
      </w:r>
    </w:p>
    <w:p w14:paraId="19DB3BA4" w14:textId="77777777" w:rsidR="00371F14" w:rsidRPr="00082EF6" w:rsidRDefault="00371F14" w:rsidP="00371F14">
      <w:pPr>
        <w:autoSpaceDE w:val="0"/>
        <w:autoSpaceDN w:val="0"/>
        <w:adjustRightInd w:val="0"/>
        <w:spacing w:after="120"/>
        <w:jc w:val="both"/>
        <w:rPr>
          <w:rFonts w:ascii="Arial" w:hAnsi="Arial" w:cs="Arial"/>
        </w:rPr>
      </w:pPr>
    </w:p>
    <w:p w14:paraId="0A8BBCEA" w14:textId="77777777" w:rsidR="00371F14" w:rsidRPr="00082EF6" w:rsidRDefault="00371F14" w:rsidP="00371F14">
      <w:pPr>
        <w:pStyle w:val="Heading2"/>
        <w:spacing w:before="0" w:after="120" w:line="240" w:lineRule="auto"/>
        <w:jc w:val="both"/>
        <w:rPr>
          <w:rFonts w:ascii="Arial" w:hAnsi="Arial" w:cs="Arial"/>
          <w:b/>
          <w:bCs/>
          <w:color w:val="000000" w:themeColor="text1"/>
          <w:sz w:val="24"/>
          <w:szCs w:val="24"/>
        </w:rPr>
      </w:pPr>
      <w:r w:rsidRPr="00082EF6">
        <w:rPr>
          <w:rFonts w:ascii="Arial" w:hAnsi="Arial" w:cs="Arial"/>
          <w:b/>
          <w:bCs/>
          <w:color w:val="000000" w:themeColor="text1"/>
          <w:sz w:val="24"/>
          <w:szCs w:val="24"/>
        </w:rPr>
        <w:t>Extraction of temporal network flexibility feature</w:t>
      </w:r>
    </w:p>
    <w:p w14:paraId="2DDB0CED" w14:textId="77777777" w:rsidR="00371F14" w:rsidRDefault="00371F14" w:rsidP="00371F14">
      <w:pPr>
        <w:tabs>
          <w:tab w:val="left" w:pos="3316"/>
          <w:tab w:val="center" w:pos="4666"/>
          <w:tab w:val="right" w:pos="9500"/>
        </w:tabs>
        <w:spacing w:after="120"/>
        <w:jc w:val="both"/>
        <w:rPr>
          <w:rFonts w:ascii="Arial" w:hAnsi="Arial" w:cs="Arial"/>
          <w:color w:val="000000" w:themeColor="text1"/>
          <w:shd w:val="clear" w:color="auto" w:fill="FFFFFF"/>
        </w:rPr>
      </w:pPr>
      <w:r w:rsidRPr="006926ED">
        <w:rPr>
          <w:rFonts w:ascii="Arial" w:hAnsi="Arial" w:cs="Arial"/>
          <w:color w:val="000000" w:themeColor="text1"/>
        </w:rPr>
        <w:t xml:space="preserve">The temporal network flexibility feature is proportional to the number of times a network node changes the community it belongs to over time </w:t>
      </w:r>
      <w:r w:rsidRPr="00C93571">
        <w:rPr>
          <w:rFonts w:ascii="Arial" w:hAnsi="Arial" w:cs="Arial"/>
          <w:color w:val="000000" w:themeColor="text1"/>
        </w:rPr>
        <w:fldChar w:fldCharType="begin"/>
      </w:r>
      <w:r>
        <w:rPr>
          <w:rFonts w:ascii="Arial" w:hAnsi="Arial" w:cs="Arial"/>
          <w:color w:val="000000" w:themeColor="text1"/>
        </w:rPr>
        <w:instrText xml:space="preserve"> ADDIN EN.CITE &lt;EndNote&gt;&lt;Cite&gt;&lt;Author&gt;Betzel&lt;/Author&gt;&lt;Year&gt;2017&lt;/Year&gt;&lt;RecNum&gt;46&lt;/RecNum&gt;&lt;DisplayText&gt;[29]&lt;/DisplayText&gt;&lt;record&gt;&lt;rec-number&gt;46&lt;/rec-number&gt;&lt;foreign-keys&gt;&lt;key app="EN" db-id="s2r50t2rjp5frwe9xarxv0xe2ra0zpwrrsa2" timestamp="1668080569"&gt;46&lt;/key&gt;&lt;/foreign-keys&gt;&lt;ref-type name="Journal Article"&gt;17&lt;/ref-type&gt;&lt;contributors&gt;&lt;authors&gt;&lt;author&gt;Betzel, Richard F&lt;/author&gt;&lt;author&gt;Satterthwaite, Theodore D&lt;/author&gt;&lt;author&gt;Gold, Joshua I&lt;/author&gt;&lt;author&gt;Bassett, Danielle S&lt;/author&gt;&lt;/authors&gt;&lt;/contributors&gt;&lt;titles&gt;&lt;title&gt;Positive affect, surprise, and fatigue are correlates of network flexibility&lt;/title&gt;&lt;secondary-title&gt;Scientific Reports&lt;/secondary-title&gt;&lt;/titles&gt;&lt;periodical&gt;&lt;full-title&gt;Scientific Reports&lt;/full-title&gt;&lt;/periodical&gt;&lt;pages&gt;520&lt;/pages&gt;&lt;volume&gt;7&lt;/volume&gt;&lt;number&gt;1&lt;/number&gt;&lt;dates&gt;&lt;year&gt;2017&lt;/year&gt;&lt;/dates&gt;&lt;isbn&gt;2045-2322&lt;/isbn&gt;&lt;urls&gt;&lt;/urls&gt;&lt;/record&gt;&lt;/Cite&gt;&lt;/EndNote&gt;</w:instrText>
      </w:r>
      <w:r w:rsidRPr="00C93571">
        <w:rPr>
          <w:rFonts w:ascii="Arial" w:hAnsi="Arial" w:cs="Arial"/>
          <w:color w:val="000000" w:themeColor="text1"/>
        </w:rPr>
        <w:fldChar w:fldCharType="separate"/>
      </w:r>
      <w:r>
        <w:rPr>
          <w:rFonts w:ascii="Arial" w:hAnsi="Arial" w:cs="Arial"/>
          <w:noProof/>
          <w:color w:val="000000" w:themeColor="text1"/>
        </w:rPr>
        <w:t>[29]</w:t>
      </w:r>
      <w:r w:rsidRPr="00C93571">
        <w:rPr>
          <w:rFonts w:ascii="Arial" w:hAnsi="Arial" w:cs="Arial"/>
          <w:color w:val="000000" w:themeColor="text1"/>
        </w:rPr>
        <w:fldChar w:fldCharType="end"/>
      </w:r>
      <w:r w:rsidRPr="00C93571">
        <w:rPr>
          <w:rFonts w:ascii="Arial" w:hAnsi="Arial" w:cs="Arial"/>
          <w:color w:val="000000" w:themeColor="text1"/>
        </w:rPr>
        <w:t xml:space="preserve">. </w:t>
      </w:r>
      <w:r w:rsidRPr="00873BE0">
        <w:rPr>
          <w:rFonts w:ascii="Arial" w:hAnsi="Arial" w:cs="Arial"/>
          <w:color w:val="000000" w:themeColor="text1"/>
        </w:rPr>
        <w:t>A network community refers to a subgroup of nodes that are more densely connected with each other than with nodes outside the community</w:t>
      </w:r>
      <w:r w:rsidRPr="00C93571">
        <w:rPr>
          <w:rFonts w:ascii="Arial" w:hAnsi="Arial" w:cs="Arial"/>
          <w:color w:val="000000" w:themeColor="text1"/>
        </w:rPr>
        <w:t xml:space="preserve"> </w:t>
      </w:r>
      <w:r w:rsidRPr="00C93571">
        <w:rPr>
          <w:rFonts w:ascii="Arial" w:hAnsi="Arial" w:cs="Arial"/>
          <w:color w:val="000000" w:themeColor="text1"/>
          <w:shd w:val="clear" w:color="auto" w:fill="FFFFFF"/>
        </w:rPr>
        <w:lastRenderedPageBreak/>
        <w:fldChar w:fldCharType="begin"/>
      </w:r>
      <w:r>
        <w:rPr>
          <w:rFonts w:ascii="Arial" w:hAnsi="Arial" w:cs="Arial"/>
          <w:color w:val="000000" w:themeColor="text1"/>
          <w:shd w:val="clear" w:color="auto" w:fill="FFFFFF"/>
        </w:rPr>
        <w:instrText xml:space="preserve"> ADDIN EN.CITE &lt;EndNote&gt;&lt;Cite&gt;&lt;Author&gt;Radicchi&lt;/Author&gt;&lt;Year&gt;2004&lt;/Year&gt;&lt;RecNum&gt;484&lt;/RecNum&gt;&lt;DisplayText&gt;[30]&lt;/DisplayText&gt;&lt;record&gt;&lt;rec-number&gt;484&lt;/rec-number&gt;&lt;foreign-keys&gt;&lt;key app="EN" db-id="2vv5xe9dna59ffexf9lpvxdmzt2dvsd25tat" timestamp="1668467603"&gt;484&lt;/key&gt;&lt;/foreign-keys&gt;&lt;ref-type name="Journal Article"&gt;17&lt;/ref-type&gt;&lt;contributors&gt;&lt;authors&gt;&lt;author&gt;Radicchi, Filippo&lt;/author&gt;&lt;author&gt;Castellano, Claudio&lt;/author&gt;&lt;author&gt;Cecconi, Federico&lt;/author&gt;&lt;author&gt;Loreto, Vittorio&lt;/author&gt;&lt;author&gt;Parisi, Domenico&lt;/author&gt;&lt;/authors&gt;&lt;/contributors&gt;&lt;titles&gt;&lt;title&gt;Defining and identifying communities in networks&lt;/title&gt;&lt;secondary-title&gt;Proceedings of the national academy of sciences&lt;/secondary-title&gt;&lt;/titles&gt;&lt;periodical&gt;&lt;full-title&gt;Proceedings of the National Academy of Sciences&lt;/full-title&gt;&lt;/periodical&gt;&lt;pages&gt;2658-2663&lt;/pages&gt;&lt;volume&gt;101&lt;/volume&gt;&lt;number&gt;9&lt;/number&gt;&lt;dates&gt;&lt;year&gt;2004&lt;/year&gt;&lt;/dates&gt;&lt;isbn&gt;0027-8424&lt;/isbn&gt;&lt;urls&gt;&lt;/urls&gt;&lt;/record&gt;&lt;/Cite&gt;&lt;/EndNote&gt;</w:instrText>
      </w:r>
      <w:r w:rsidRPr="00C93571">
        <w:rPr>
          <w:rFonts w:ascii="Arial" w:hAnsi="Arial" w:cs="Arial"/>
          <w:color w:val="000000" w:themeColor="text1"/>
          <w:shd w:val="clear" w:color="auto" w:fill="FFFFFF"/>
        </w:rPr>
        <w:fldChar w:fldCharType="separate"/>
      </w:r>
      <w:r>
        <w:rPr>
          <w:rFonts w:ascii="Arial" w:hAnsi="Arial" w:cs="Arial"/>
          <w:noProof/>
          <w:color w:val="000000" w:themeColor="text1"/>
          <w:shd w:val="clear" w:color="auto" w:fill="FFFFFF"/>
        </w:rPr>
        <w:t>[30]</w:t>
      </w:r>
      <w:r w:rsidRPr="00C93571">
        <w:rPr>
          <w:rFonts w:ascii="Arial" w:hAnsi="Arial" w:cs="Arial"/>
          <w:color w:val="000000" w:themeColor="text1"/>
          <w:shd w:val="clear" w:color="auto" w:fill="FFFFFF"/>
        </w:rPr>
        <w:fldChar w:fldCharType="end"/>
      </w:r>
      <w:r w:rsidRPr="00C93571">
        <w:rPr>
          <w:rFonts w:ascii="Arial" w:hAnsi="Arial" w:cs="Arial"/>
          <w:color w:val="000000" w:themeColor="text1"/>
          <w:shd w:val="clear" w:color="auto" w:fill="FFFFFF"/>
        </w:rPr>
        <w:t xml:space="preserve">. </w:t>
      </w:r>
      <w:r w:rsidRPr="00B8165A">
        <w:rPr>
          <w:rFonts w:ascii="Arial" w:eastAsiaTheme="minorEastAsia" w:hAnsi="Arial" w:cs="Arial"/>
          <w:color w:val="000000" w:themeColor="text1"/>
        </w:rPr>
        <w:t xml:space="preserve">To calculate the temporal network flexibility for each channel, the flexibility function of the Network Community Toolbox </w:t>
      </w:r>
      <w:r w:rsidRPr="00C93571">
        <w:rPr>
          <w:rFonts w:ascii="Arial" w:eastAsiaTheme="minorEastAsia" w:hAnsi="Arial" w:cs="Arial"/>
          <w:color w:val="000000" w:themeColor="text1"/>
        </w:rPr>
        <w:t>(</w:t>
      </w:r>
      <w:hyperlink r:id="rId8" w:history="1">
        <w:r w:rsidRPr="00D803FF">
          <w:rPr>
            <w:rStyle w:val="Hyperlink"/>
            <w:rFonts w:ascii="Arial" w:eastAsiaTheme="minorEastAsia" w:hAnsi="Arial" w:cs="Arial"/>
          </w:rPr>
          <w:t>http://commdetect.weebly.com/</w:t>
        </w:r>
      </w:hyperlink>
      <w:r w:rsidRPr="00C93571">
        <w:rPr>
          <w:rFonts w:ascii="Arial" w:eastAsiaTheme="minorEastAsia" w:hAnsi="Arial" w:cs="Arial"/>
          <w:color w:val="000000" w:themeColor="text1"/>
        </w:rPr>
        <w:t>)</w:t>
      </w:r>
      <w:r>
        <w:rPr>
          <w:rFonts w:ascii="Arial" w:eastAsiaTheme="minorEastAsia" w:hAnsi="Arial" w:cs="Arial"/>
          <w:color w:val="000000" w:themeColor="text1"/>
        </w:rPr>
        <w:t xml:space="preserve"> </w:t>
      </w:r>
      <w:r>
        <w:rPr>
          <w:rFonts w:ascii="Arial" w:hAnsi="Arial" w:cs="Arial"/>
          <w:color w:val="000000" w:themeColor="text1"/>
        </w:rPr>
        <w:t>was used</w:t>
      </w:r>
      <w:r>
        <w:rPr>
          <w:rFonts w:ascii="Arial" w:eastAsiaTheme="minorEastAsia" w:hAnsi="Arial" w:cs="Arial"/>
          <w:color w:val="000000" w:themeColor="text1"/>
        </w:rPr>
        <w:t xml:space="preserve"> </w:t>
      </w:r>
      <w:r w:rsidRPr="00C93571">
        <w:rPr>
          <w:rFonts w:ascii="Arial" w:hAnsi="Arial" w:cs="Arial"/>
          <w:color w:val="000000" w:themeColor="text1"/>
        </w:rPr>
        <w:fldChar w:fldCharType="begin"/>
      </w:r>
      <w:r>
        <w:rPr>
          <w:rFonts w:ascii="Arial" w:hAnsi="Arial" w:cs="Arial"/>
          <w:color w:val="000000" w:themeColor="text1"/>
        </w:rPr>
        <w:instrText xml:space="preserve"> ADDIN EN.CITE &lt;EndNote&gt;&lt;Cite&gt;&lt;Author&gt;Bassett&lt;/Author&gt;&lt;Year&gt;2011&lt;/Year&gt;&lt;RecNum&gt;587&lt;/RecNum&gt;&lt;DisplayText&gt;[33]&lt;/DisplayText&gt;&lt;record&gt;&lt;rec-number&gt;587&lt;/rec-number&gt;&lt;foreign-keys&gt;&lt;key app="EN" db-id="2vv5xe9dna59ffexf9lpvxdmzt2dvsd25tat" timestamp="1674770290"&gt;587&lt;/key&gt;&lt;/foreign-keys&gt;&lt;ref-type name="Journal Article"&gt;17&lt;/ref-type&gt;&lt;contributors&gt;&lt;authors&gt;&lt;author&gt;Bassett, Danielle S&lt;/author&gt;&lt;author&gt;Wymbs, Nicholas F&lt;/author&gt;&lt;author&gt;Porter, Mason A&lt;/author&gt;&lt;author&gt;Mucha, Peter J&lt;/author&gt;&lt;author&gt;Carlson, Jean M&lt;/author&gt;&lt;author&gt;Grafton, Scott T&lt;/author&gt;&lt;/authors&gt;&lt;/contributors&gt;&lt;titles&gt;&lt;title&gt;Dynamic reconfiguration of human brain networks during learning&lt;/title&gt;&lt;secondary-title&gt;Proceedings of the National Academy of Sciences&lt;/secondary-title&gt;&lt;/titles&gt;&lt;periodical&gt;&lt;full-title&gt;Proceedings of the National Academy of Sciences&lt;/full-title&gt;&lt;/periodical&gt;&lt;pages&gt;7641-7646&lt;/pages&gt;&lt;volume&gt;108&lt;/volume&gt;&lt;number&gt;18&lt;/number&gt;&lt;dates&gt;&lt;year&gt;2011&lt;/year&gt;&lt;/dates&gt;&lt;isbn&gt;0027-8424&lt;/isbn&gt;&lt;urls&gt;&lt;/urls&gt;&lt;/record&gt;&lt;/Cite&gt;&lt;/EndNote&gt;</w:instrText>
      </w:r>
      <w:r w:rsidRPr="00C93571">
        <w:rPr>
          <w:rFonts w:ascii="Arial" w:hAnsi="Arial" w:cs="Arial"/>
          <w:color w:val="000000" w:themeColor="text1"/>
        </w:rPr>
        <w:fldChar w:fldCharType="separate"/>
      </w:r>
      <w:r>
        <w:rPr>
          <w:rFonts w:ascii="Arial" w:hAnsi="Arial" w:cs="Arial"/>
          <w:noProof/>
          <w:color w:val="000000" w:themeColor="text1"/>
        </w:rPr>
        <w:t>[33]</w:t>
      </w:r>
      <w:r w:rsidRPr="00C93571">
        <w:rPr>
          <w:rFonts w:ascii="Arial" w:hAnsi="Arial" w:cs="Arial"/>
          <w:color w:val="000000" w:themeColor="text1"/>
        </w:rPr>
        <w:fldChar w:fldCharType="end"/>
      </w:r>
      <w:r>
        <w:rPr>
          <w:rFonts w:ascii="Arial" w:hAnsi="Arial" w:cs="Arial"/>
          <w:color w:val="000000" w:themeColor="text1"/>
        </w:rPr>
        <w:t>.</w:t>
      </w:r>
    </w:p>
    <w:p w14:paraId="478BACDD" w14:textId="77777777" w:rsidR="00371F14" w:rsidRPr="00082EF6" w:rsidRDefault="00371F14" w:rsidP="00371F14">
      <w:pPr>
        <w:tabs>
          <w:tab w:val="left" w:pos="3316"/>
          <w:tab w:val="center" w:pos="4666"/>
          <w:tab w:val="right" w:pos="9500"/>
        </w:tabs>
        <w:spacing w:after="120"/>
        <w:jc w:val="both"/>
        <w:rPr>
          <w:rFonts w:ascii="Arial" w:hAnsi="Arial" w:cs="Arial"/>
          <w:color w:val="000000" w:themeColor="text1"/>
        </w:rPr>
      </w:pPr>
      <w:r w:rsidRPr="00082EF6">
        <w:rPr>
          <w:rFonts w:ascii="Arial" w:hAnsi="Arial" w:cs="Arial"/>
          <w:color w:val="000000" w:themeColor="text1"/>
          <w:shd w:val="clear" w:color="auto" w:fill="FFFFFF"/>
        </w:rPr>
        <w:t xml:space="preserve">For each one-second window of EEG data recording, an adjacency matrix (i.e., functional brain network) was extracted in order to calculate the temporal network flexibility feature. </w:t>
      </w:r>
      <w:r w:rsidRPr="00082EF6">
        <w:rPr>
          <w:rFonts w:ascii="Arial" w:hAnsi="Arial" w:cs="Arial"/>
          <w:color w:val="000000" w:themeColor="text1"/>
        </w:rPr>
        <w:t xml:space="preserve">The "community Louvain" function of the Brain Connectivity Toolbox was then used to extract the modularity metric related to each adjacency matrix. This metric measures how well nodes are assigned to communities. Modularity was maximized using a Louvain-like locally "greedy" algorithm to find the most efficient network communities </w:t>
      </w:r>
      <w:r w:rsidRPr="00082EF6">
        <w:rPr>
          <w:rFonts w:ascii="Arial" w:hAnsi="Arial" w:cs="Arial"/>
          <w:color w:val="000000" w:themeColor="text1"/>
        </w:rPr>
        <w:fldChar w:fldCharType="begin"/>
      </w:r>
      <w:r>
        <w:rPr>
          <w:rFonts w:ascii="Arial" w:hAnsi="Arial" w:cs="Arial"/>
          <w:color w:val="000000" w:themeColor="text1"/>
        </w:rPr>
        <w:instrText xml:space="preserve"> ADDIN EN.CITE &lt;EndNote&gt;&lt;Cite&gt;&lt;Author&gt;Jutla&lt;/Author&gt;&lt;Year&gt;2011&lt;/Year&gt;&lt;RecNum&gt;43&lt;/RecNum&gt;&lt;DisplayText&gt;[31]&lt;/DisplayText&gt;&lt;record&gt;&lt;rec-number&gt;43&lt;/rec-number&gt;&lt;foreign-keys&gt;&lt;key app="EN" db-id="s2r50t2rjp5frwe9xarxv0xe2ra0zpwrrsa2" timestamp="1668080569"&gt;43&lt;/key&gt;&lt;/foreign-keys&gt;&lt;ref-type name="Journal Article"&gt;17&lt;/ref-type&gt;&lt;contributors&gt;&lt;authors&gt;&lt;author&gt;Jutla, Inderjit S&lt;/author&gt;&lt;author&gt;Jeub, Lucas GS&lt;/author&gt;&lt;author&gt;Mucha, Peter J&lt;/author&gt;&lt;/authors&gt;&lt;/contributors&gt;&lt;titles&gt;&lt;title&gt;A generalized Louvain method for community detection implemented in MATLAB&lt;/title&gt;&lt;secondary-title&gt;URL http://netwiki. amath. unc. edu/GenLouvain&lt;/secondary-title&gt;&lt;/titles&gt;&lt;periodical&gt;&lt;full-title&gt;URL http://netwiki. amath. unc. edu/GenLouvain&lt;/full-title&gt;&lt;/periodical&gt;&lt;dates&gt;&lt;year&gt;2011&lt;/year&gt;&lt;/dates&gt;&lt;urls&gt;&lt;/urls&gt;&lt;/record&gt;&lt;/Cite&gt;&lt;/EndNote&gt;</w:instrText>
      </w:r>
      <w:r w:rsidRPr="00082EF6">
        <w:rPr>
          <w:rFonts w:ascii="Arial" w:hAnsi="Arial" w:cs="Arial"/>
          <w:color w:val="000000" w:themeColor="text1"/>
        </w:rPr>
        <w:fldChar w:fldCharType="separate"/>
      </w:r>
      <w:r>
        <w:rPr>
          <w:rFonts w:ascii="Arial" w:hAnsi="Arial" w:cs="Arial"/>
          <w:noProof/>
          <w:color w:val="000000" w:themeColor="text1"/>
        </w:rPr>
        <w:t>[31]</w:t>
      </w:r>
      <w:r w:rsidRPr="00082EF6">
        <w:rPr>
          <w:rFonts w:ascii="Arial" w:hAnsi="Arial" w:cs="Arial"/>
          <w:color w:val="000000" w:themeColor="text1"/>
        </w:rPr>
        <w:fldChar w:fldCharType="end"/>
      </w:r>
      <w:r w:rsidRPr="00082EF6">
        <w:rPr>
          <w:rFonts w:ascii="Arial" w:hAnsi="Arial" w:cs="Arial"/>
          <w:color w:val="000000" w:themeColor="text1"/>
        </w:rPr>
        <w:t xml:space="preserve">. This process was repeated 100 times in a consensus iterative algorithm to identify a single consistent representative partition from all partition sets, based on statistical testing in comparison to the ‘Newman– Girvan (NG)’ null network </w:t>
      </w:r>
      <w:r w:rsidRPr="00082EF6">
        <w:rPr>
          <w:rFonts w:ascii="Arial" w:hAnsi="Arial" w:cs="Arial"/>
          <w:color w:val="000000" w:themeColor="text1"/>
        </w:rPr>
        <w:fldChar w:fldCharType="begin"/>
      </w:r>
      <w:r>
        <w:rPr>
          <w:rFonts w:ascii="Arial" w:hAnsi="Arial" w:cs="Arial"/>
          <w:color w:val="000000" w:themeColor="text1"/>
        </w:rPr>
        <w:instrText xml:space="preserve"> ADDIN EN.CITE &lt;EndNote&gt;&lt;Cite&gt;&lt;Author&gt;Jutla&lt;/Author&gt;&lt;Year&gt;2011&lt;/Year&gt;&lt;RecNum&gt;43&lt;/RecNum&gt;&lt;DisplayText&gt;[31, 32]&lt;/DisplayText&gt;&lt;record&gt;&lt;rec-number&gt;43&lt;/rec-number&gt;&lt;foreign-keys&gt;&lt;key app="EN" db-id="s2r50t2rjp5frwe9xarxv0xe2ra0zpwrrsa2" timestamp="1668080569"&gt;43&lt;/key&gt;&lt;/foreign-keys&gt;&lt;ref-type name="Journal Article"&gt;17&lt;/ref-type&gt;&lt;contributors&gt;&lt;authors&gt;&lt;author&gt;Jutla, Inderjit S&lt;/author&gt;&lt;author&gt;Jeub, Lucas GS&lt;/author&gt;&lt;author&gt;Mucha, Peter J&lt;/author&gt;&lt;/authors&gt;&lt;/contributors&gt;&lt;titles&gt;&lt;title&gt;A generalized Louvain method for community detection implemented in MATLAB&lt;/title&gt;&lt;secondary-title&gt;URL http://netwiki. amath. unc. edu/GenLouvain&lt;/secondary-title&gt;&lt;/titles&gt;&lt;periodical&gt;&lt;full-title&gt;URL http://netwiki. amath. unc. edu/GenLouvain&lt;/full-title&gt;&lt;/periodical&gt;&lt;dates&gt;&lt;year&gt;2011&lt;/year&gt;&lt;/dates&gt;&lt;urls&gt;&lt;/urls&gt;&lt;/record&gt;&lt;/Cite&gt;&lt;Cite&gt;&lt;Author&gt;Bassett&lt;/Author&gt;&lt;Year&gt;2013&lt;/Year&gt;&lt;RecNum&gt;44&lt;/RecNum&gt;&lt;record&gt;&lt;rec-number&gt;44&lt;/rec-number&gt;&lt;foreign-keys&gt;&lt;key app="EN" db-id="s2r50t2rjp5frwe9xarxv0xe2ra0zpwrrsa2" timestamp="1668080569"&gt;44&lt;/key&gt;&lt;/foreign-keys&gt;&lt;ref-type name="Journal Article"&gt;17&lt;/ref-type&gt;&lt;contributors&gt;&lt;authors&gt;&lt;author&gt;Bassett, Danielle S&lt;/author&gt;&lt;author&gt;Wymbs, Nicholas F&lt;/author&gt;&lt;author&gt;Rombach, M Puck&lt;/author&gt;&lt;author&gt;Porter, Mason A&lt;/author&gt;&lt;author&gt;Mucha, Peter J&lt;/author&gt;&lt;author&gt;Grafton, Scott T&lt;/author&gt;&lt;/authors&gt;&lt;/contributors&gt;&lt;titles&gt;&lt;title&gt;Task-based core-periphery organization of human brain dynamics&lt;/title&gt;&lt;secondary-title&gt;PLoS computational biology&lt;/secondary-title&gt;&lt;/titles&gt;&lt;periodical&gt;&lt;full-title&gt;PLoS computational biology&lt;/full-title&gt;&lt;/periodical&gt;&lt;pages&gt;e1003171&lt;/pages&gt;&lt;volume&gt;9&lt;/volume&gt;&lt;number&gt;9&lt;/number&gt;&lt;dates&gt;&lt;year&gt;2013&lt;/year&gt;&lt;/dates&gt;&lt;isbn&gt;1553-7358&lt;/isbn&gt;&lt;urls&gt;&lt;/urls&gt;&lt;/record&gt;&lt;/Cite&gt;&lt;/EndNote&gt;</w:instrText>
      </w:r>
      <w:r w:rsidRPr="00082EF6">
        <w:rPr>
          <w:rFonts w:ascii="Arial" w:hAnsi="Arial" w:cs="Arial"/>
          <w:color w:val="000000" w:themeColor="text1"/>
        </w:rPr>
        <w:fldChar w:fldCharType="separate"/>
      </w:r>
      <w:r>
        <w:rPr>
          <w:rFonts w:ascii="Arial" w:hAnsi="Arial" w:cs="Arial"/>
          <w:noProof/>
          <w:color w:val="000000" w:themeColor="text1"/>
        </w:rPr>
        <w:t>[31, 32]</w:t>
      </w:r>
      <w:r w:rsidRPr="00082EF6">
        <w:rPr>
          <w:rFonts w:ascii="Arial" w:hAnsi="Arial" w:cs="Arial"/>
          <w:color w:val="000000" w:themeColor="text1"/>
        </w:rPr>
        <w:fldChar w:fldCharType="end"/>
      </w:r>
      <w:r w:rsidRPr="00082EF6">
        <w:rPr>
          <w:rFonts w:ascii="Arial" w:hAnsi="Arial" w:cs="Arial"/>
          <w:color w:val="000000" w:themeColor="text1"/>
        </w:rPr>
        <w:t xml:space="preserve">. The community assignment of EEG channels at each 1-second window EEG is the output of modularity maximization. The community assignment of each EEG channel is the community that the EEG channel was assigned to (e.g., each node's community assignment is an integer from 1 to 5, if five communities were found in an adjacency matrix). The partition matrix </w:t>
      </w:r>
      <m:oMath>
        <m:r>
          <w:rPr>
            <w:rFonts w:ascii="Cambria Math" w:hAnsi="Cambria Math" w:cs="Arial"/>
            <w:color w:val="000000" w:themeColor="text1"/>
          </w:rPr>
          <m:t>A∈</m:t>
        </m:r>
        <m:sSup>
          <m:sSupPr>
            <m:ctrlPr>
              <w:rPr>
                <w:rFonts w:ascii="Cambria Math" w:hAnsi="Cambria Math" w:cs="Arial"/>
                <w:i/>
                <w:color w:val="000000" w:themeColor="text1"/>
              </w:rPr>
            </m:ctrlPr>
          </m:sSupPr>
          <m:e>
            <m:r>
              <m:rPr>
                <m:scr m:val="fraktur"/>
              </m:rPr>
              <w:rPr>
                <w:rFonts w:ascii="Cambria Math" w:hAnsi="Cambria Math" w:cs="Arial"/>
                <w:color w:val="000000" w:themeColor="text1"/>
              </w:rPr>
              <m:t>R</m:t>
            </m:r>
          </m:e>
          <m:sup>
            <m:r>
              <m:rPr>
                <m:nor/>
              </m:rPr>
              <w:rPr>
                <w:rFonts w:ascii="Arial" w:hAnsi="Arial" w:cs="Arial"/>
                <w:color w:val="000000" w:themeColor="text1"/>
              </w:rPr>
              <m:t>NXT</m:t>
            </m:r>
            <m:ctrlPr>
              <w:rPr>
                <w:rFonts w:ascii="Cambria Math" w:hAnsi="Cambria Math" w:cs="Arial"/>
                <w:color w:val="000000" w:themeColor="text1"/>
              </w:rPr>
            </m:ctrlPr>
          </m:sup>
        </m:sSup>
        <m:r>
          <w:rPr>
            <w:rFonts w:ascii="Cambria Math" w:hAnsi="Cambria Math" w:cs="Arial"/>
            <w:color w:val="000000" w:themeColor="text1"/>
          </w:rPr>
          <m:t xml:space="preserve"> </m:t>
        </m:r>
      </m:oMath>
      <w:r w:rsidRPr="00082EF6">
        <w:rPr>
          <w:rFonts w:ascii="Arial" w:hAnsi="Arial" w:cs="Arial"/>
          <w:color w:val="000000" w:themeColor="text1"/>
        </w:rPr>
        <w:t xml:space="preserve"> was constructed using the community assignments of EEG channels across 1-second windows</w:t>
      </w:r>
      <w:r w:rsidRPr="00082EF6">
        <w:rPr>
          <w:rFonts w:ascii="Arial" w:eastAsiaTheme="minorEastAsia" w:hAnsi="Arial" w:cs="Arial"/>
          <w:color w:val="000000" w:themeColor="text1"/>
        </w:rPr>
        <w:t xml:space="preserve">. The elements of the partition matrix </w:t>
      </w:r>
      <m:oMath>
        <m:sSub>
          <m:sSubPr>
            <m:ctrlPr>
              <w:rPr>
                <w:rFonts w:ascii="Cambria Math" w:hAnsi="Cambria Math" w:cs="Arial"/>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i</m:t>
            </m:r>
            <m:r>
              <m:rPr>
                <m:sty m:val="p"/>
              </m:rPr>
              <w:rPr>
                <w:rFonts w:ascii="Cambria Math" w:hAnsi="Cambria Math" w:cs="Arial"/>
                <w:color w:val="000000" w:themeColor="text1"/>
              </w:rPr>
              <m:t>,</m:t>
            </m:r>
            <m:r>
              <w:rPr>
                <w:rFonts w:ascii="Cambria Math" w:hAnsi="Cambria Math" w:cs="Arial"/>
                <w:color w:val="000000" w:themeColor="text1"/>
              </w:rPr>
              <m:t>t</m:t>
            </m:r>
          </m:sub>
        </m:sSub>
        <m:r>
          <m:rPr>
            <m:sty m:val="p"/>
          </m:rPr>
          <w:rPr>
            <w:rFonts w:ascii="Cambria Math" w:hAnsi="Cambria Math" w:cs="Arial"/>
            <w:color w:val="000000" w:themeColor="text1"/>
          </w:rPr>
          <m:t>∈</m:t>
        </m:r>
        <m:d>
          <m:dPr>
            <m:begChr m:val="{"/>
            <m:endChr m:val="}"/>
            <m:ctrlPr>
              <w:rPr>
                <w:rFonts w:ascii="Cambria Math" w:hAnsi="Cambria Math" w:cs="Arial"/>
                <w:color w:val="000000" w:themeColor="text1"/>
              </w:rPr>
            </m:ctrlPr>
          </m:dPr>
          <m:e>
            <m:r>
              <m:rPr>
                <m:sty m:val="p"/>
              </m:rPr>
              <w:rPr>
                <w:rFonts w:ascii="Cambria Math" w:hAnsi="Cambria Math" w:cs="Arial"/>
                <w:color w:val="000000" w:themeColor="text1"/>
              </w:rPr>
              <m:t>1...</m:t>
            </m:r>
            <m:r>
              <w:rPr>
                <w:rFonts w:ascii="Cambria Math" w:hAnsi="Cambria Math" w:cs="Arial"/>
                <w:color w:val="000000" w:themeColor="text1"/>
              </w:rPr>
              <m:t>g</m:t>
            </m:r>
          </m:e>
        </m:d>
      </m:oMath>
      <w:r w:rsidRPr="00082EF6">
        <w:rPr>
          <w:rFonts w:ascii="Arial" w:hAnsi="Arial" w:cs="Arial"/>
          <w:color w:val="000000" w:themeColor="text1"/>
        </w:rPr>
        <w:t xml:space="preserve"> displayed the community (g) to which brain area i (EEG channels; 1 to N, where N=116) was assigned at time t (second; t=1 to T, where T denotes recording period). </w:t>
      </w:r>
    </w:p>
    <w:p w14:paraId="5473646D" w14:textId="77777777" w:rsidR="00371F14" w:rsidRPr="00082EF6" w:rsidRDefault="00371F14" w:rsidP="00371F14">
      <w:pPr>
        <w:tabs>
          <w:tab w:val="left" w:pos="3316"/>
          <w:tab w:val="center" w:pos="4666"/>
          <w:tab w:val="right" w:pos="9500"/>
        </w:tabs>
        <w:spacing w:after="120"/>
        <w:jc w:val="both"/>
        <w:rPr>
          <w:rFonts w:ascii="Arial" w:eastAsiaTheme="minorEastAsia" w:hAnsi="Arial" w:cs="Arial"/>
          <w:color w:val="000000" w:themeColor="text1"/>
        </w:rPr>
      </w:pPr>
      <w:bookmarkStart w:id="0" w:name="_Hlk129724992"/>
      <w:r w:rsidRPr="00082EF6">
        <w:rPr>
          <w:rFonts w:ascii="Arial" w:eastAsiaTheme="minorEastAsia" w:hAnsi="Arial" w:cs="Arial"/>
          <w:color w:val="000000" w:themeColor="text1"/>
        </w:rPr>
        <w:t xml:space="preserve">The flexibility function of the Network Community Toolbox (http://commdetect.weebly.com/) </w:t>
      </w:r>
      <w:r w:rsidRPr="00082EF6">
        <w:rPr>
          <w:rFonts w:ascii="Arial" w:hAnsi="Arial" w:cs="Arial"/>
          <w:color w:val="000000" w:themeColor="text1"/>
        </w:rPr>
        <w:fldChar w:fldCharType="begin"/>
      </w:r>
      <w:r>
        <w:rPr>
          <w:rFonts w:ascii="Arial" w:hAnsi="Arial" w:cs="Arial"/>
          <w:color w:val="000000" w:themeColor="text1"/>
        </w:rPr>
        <w:instrText xml:space="preserve"> ADDIN EN.CITE &lt;EndNote&gt;&lt;Cite&gt;&lt;Author&gt;Bassett&lt;/Author&gt;&lt;Year&gt;2011&lt;/Year&gt;&lt;RecNum&gt;587&lt;/RecNum&gt;&lt;DisplayText&gt;[33]&lt;/DisplayText&gt;&lt;record&gt;&lt;rec-number&gt;587&lt;/rec-number&gt;&lt;foreign-keys&gt;&lt;key app="EN" db-id="2vv5xe9dna59ffexf9lpvxdmzt2dvsd25tat" timestamp="1674770290"&gt;587&lt;/key&gt;&lt;/foreign-keys&gt;&lt;ref-type name="Journal Article"&gt;17&lt;/ref-type&gt;&lt;contributors&gt;&lt;authors&gt;&lt;author&gt;Bassett, Danielle S&lt;/author&gt;&lt;author&gt;Wymbs, Nicholas F&lt;/author&gt;&lt;author&gt;Porter, Mason A&lt;/author&gt;&lt;author&gt;Mucha, Peter J&lt;/author&gt;&lt;author&gt;Carlson, Jean M&lt;/author&gt;&lt;author&gt;Grafton, Scott T&lt;/author&gt;&lt;/authors&gt;&lt;/contributors&gt;&lt;titles&gt;&lt;title&gt;Dynamic reconfiguration of human brain networks during learning&lt;/title&gt;&lt;secondary-title&gt;Proceedings of the National Academy of Sciences&lt;/secondary-title&gt;&lt;/titles&gt;&lt;periodical&gt;&lt;full-title&gt;Proceedings of the National Academy of Sciences&lt;/full-title&gt;&lt;/periodical&gt;&lt;pages&gt;7641-7646&lt;/pages&gt;&lt;volume&gt;108&lt;/volume&gt;&lt;number&gt;18&lt;/number&gt;&lt;dates&gt;&lt;year&gt;2011&lt;/year&gt;&lt;/dates&gt;&lt;isbn&gt;0027-8424&lt;/isbn&gt;&lt;urls&gt;&lt;/urls&gt;&lt;/record&gt;&lt;/Cite&gt;&lt;/EndNote&gt;</w:instrText>
      </w:r>
      <w:r w:rsidRPr="00082EF6">
        <w:rPr>
          <w:rFonts w:ascii="Arial" w:hAnsi="Arial" w:cs="Arial"/>
          <w:color w:val="000000" w:themeColor="text1"/>
        </w:rPr>
        <w:fldChar w:fldCharType="separate"/>
      </w:r>
      <w:r>
        <w:rPr>
          <w:rFonts w:ascii="Arial" w:hAnsi="Arial" w:cs="Arial"/>
          <w:noProof/>
          <w:color w:val="000000" w:themeColor="text1"/>
        </w:rPr>
        <w:t>[33]</w:t>
      </w:r>
      <w:r w:rsidRPr="00082EF6">
        <w:rPr>
          <w:rFonts w:ascii="Arial" w:hAnsi="Arial" w:cs="Arial"/>
          <w:color w:val="000000" w:themeColor="text1"/>
        </w:rPr>
        <w:fldChar w:fldCharType="end"/>
      </w:r>
      <w:r w:rsidRPr="00082EF6">
        <w:rPr>
          <w:rFonts w:ascii="Arial" w:hAnsi="Arial" w:cs="Arial"/>
          <w:color w:val="000000" w:themeColor="text1"/>
        </w:rPr>
        <w:t xml:space="preserve"> </w:t>
      </w:r>
      <w:r w:rsidRPr="00082EF6">
        <w:rPr>
          <w:rFonts w:ascii="Arial" w:eastAsiaTheme="minorEastAsia" w:hAnsi="Arial" w:cs="Arial"/>
          <w:color w:val="000000" w:themeColor="text1"/>
        </w:rPr>
        <w:t>was then used to calculate each channel's temporal network flexibility </w:t>
      </w:r>
      <w:bookmarkEnd w:id="0"/>
      <w:r w:rsidRPr="00082EF6">
        <w:rPr>
          <w:rFonts w:ascii="Arial" w:eastAsiaTheme="minorEastAsia" w:hAnsi="Arial" w:cs="Arial"/>
          <w:color w:val="000000" w:themeColor="text1"/>
        </w:rPr>
        <w:t xml:space="preserve">using equation 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2880"/>
      </w:tblGrid>
      <w:tr w:rsidR="00371F14" w:rsidRPr="00082EF6" w14:paraId="3B70A8CD" w14:textId="77777777" w:rsidTr="0041673E">
        <w:tc>
          <w:tcPr>
            <w:tcW w:w="6480" w:type="dxa"/>
            <w:vAlign w:val="center"/>
          </w:tcPr>
          <w:p w14:paraId="69E08C5A" w14:textId="77777777" w:rsidR="00371F14" w:rsidRPr="00082EF6" w:rsidRDefault="00000000" w:rsidP="0041673E">
            <w:pPr>
              <w:spacing w:after="120"/>
              <w:jc w:val="both"/>
              <w:rPr>
                <w:rFonts w:ascii="Arial" w:hAnsi="Arial" w:cs="Arial"/>
                <w:noProof/>
                <w:color w:val="000000" w:themeColor="text1"/>
              </w:rPr>
            </w:pPr>
            <m:oMathPara>
              <m:oMath>
                <m:sSub>
                  <m:sSubPr>
                    <m:ctrlPr>
                      <w:rPr>
                        <w:rFonts w:ascii="Cambria Math" w:hAnsi="Cambria Math" w:cs="Arial"/>
                        <w:i/>
                        <w:noProof/>
                        <w:color w:val="000000" w:themeColor="text1"/>
                      </w:rPr>
                    </m:ctrlPr>
                  </m:sSubPr>
                  <m:e>
                    <m:r>
                      <w:rPr>
                        <w:rFonts w:ascii="Cambria Math" w:hAnsi="Cambria Math" w:cs="Arial"/>
                        <w:noProof/>
                        <w:color w:val="000000" w:themeColor="text1"/>
                      </w:rPr>
                      <m:t>f</m:t>
                    </m:r>
                  </m:e>
                  <m:sub>
                    <m:r>
                      <w:rPr>
                        <w:rFonts w:ascii="Cambria Math" w:hAnsi="Cambria Math" w:cs="Arial"/>
                        <w:noProof/>
                        <w:color w:val="000000" w:themeColor="text1"/>
                      </w:rPr>
                      <m:t>i</m:t>
                    </m:r>
                  </m:sub>
                </m:sSub>
                <m:r>
                  <w:rPr>
                    <w:rFonts w:ascii="Cambria Math" w:hAnsi="Cambria Math" w:cs="Arial"/>
                    <w:noProof/>
                    <w:color w:val="000000" w:themeColor="text1"/>
                  </w:rPr>
                  <m:t>=1-</m:t>
                </m:r>
                <m:f>
                  <m:fPr>
                    <m:ctrlPr>
                      <w:rPr>
                        <w:rFonts w:ascii="Cambria Math" w:hAnsi="Cambria Math" w:cs="Arial"/>
                        <w:i/>
                        <w:noProof/>
                        <w:color w:val="000000" w:themeColor="text1"/>
                      </w:rPr>
                    </m:ctrlPr>
                  </m:fPr>
                  <m:num>
                    <m:r>
                      <w:rPr>
                        <w:rFonts w:ascii="Cambria Math" w:hAnsi="Cambria Math" w:cs="Arial"/>
                        <w:noProof/>
                        <w:color w:val="000000" w:themeColor="text1"/>
                      </w:rPr>
                      <m:t>1</m:t>
                    </m:r>
                  </m:num>
                  <m:den>
                    <m:r>
                      <w:rPr>
                        <w:rFonts w:ascii="Cambria Math" w:hAnsi="Cambria Math" w:cs="Arial"/>
                        <w:noProof/>
                        <w:color w:val="000000" w:themeColor="text1"/>
                      </w:rPr>
                      <m:t>T-1</m:t>
                    </m:r>
                  </m:den>
                </m:f>
                <m:nary>
                  <m:naryPr>
                    <m:chr m:val="∑"/>
                    <m:ctrlPr>
                      <w:rPr>
                        <w:rFonts w:ascii="Cambria Math" w:hAnsi="Cambria Math" w:cs="Arial"/>
                        <w:i/>
                        <w:noProof/>
                        <w:color w:val="000000" w:themeColor="text1"/>
                      </w:rPr>
                    </m:ctrlPr>
                  </m:naryPr>
                  <m:sub>
                    <m:r>
                      <w:rPr>
                        <w:rFonts w:ascii="Cambria Math" w:hAnsi="Cambria Math" w:cs="Arial"/>
                        <w:noProof/>
                        <w:color w:val="000000" w:themeColor="text1"/>
                      </w:rPr>
                      <m:t>t=1</m:t>
                    </m:r>
                  </m:sub>
                  <m:sup>
                    <m:r>
                      <w:rPr>
                        <w:rFonts w:ascii="Cambria Math" w:hAnsi="Cambria Math" w:cs="Arial"/>
                        <w:noProof/>
                        <w:color w:val="000000" w:themeColor="text1"/>
                      </w:rPr>
                      <m:t>T-1</m:t>
                    </m:r>
                  </m:sup>
                  <m:e>
                    <m:r>
                      <w:rPr>
                        <w:rFonts w:ascii="Cambria Math" w:hAnsi="Cambria Math" w:cs="Arial"/>
                        <w:noProof/>
                        <w:color w:val="000000" w:themeColor="text1"/>
                      </w:rPr>
                      <m:t>δ(</m:t>
                    </m:r>
                    <m:sSub>
                      <m:sSubPr>
                        <m:ctrlPr>
                          <w:rPr>
                            <w:rFonts w:ascii="Cambria Math" w:hAnsi="Cambria Math" w:cs="Arial"/>
                            <w:i/>
                            <w:noProof/>
                            <w:color w:val="000000" w:themeColor="text1"/>
                          </w:rPr>
                        </m:ctrlPr>
                      </m:sSubPr>
                      <m:e>
                        <m:r>
                          <w:rPr>
                            <w:rFonts w:ascii="Cambria Math" w:hAnsi="Cambria Math" w:cs="Arial"/>
                            <w:noProof/>
                            <w:color w:val="000000" w:themeColor="text1"/>
                          </w:rPr>
                          <m:t>A</m:t>
                        </m:r>
                      </m:e>
                      <m:sub>
                        <m:r>
                          <w:rPr>
                            <w:rFonts w:ascii="Cambria Math" w:hAnsi="Cambria Math" w:cs="Arial"/>
                            <w:noProof/>
                            <w:color w:val="000000" w:themeColor="text1"/>
                          </w:rPr>
                          <m:t>i,t</m:t>
                        </m:r>
                      </m:sub>
                    </m:sSub>
                    <m:r>
                      <w:rPr>
                        <w:rFonts w:ascii="Cambria Math" w:hAnsi="Cambria Math" w:cs="Arial"/>
                        <w:noProof/>
                        <w:color w:val="000000" w:themeColor="text1"/>
                      </w:rPr>
                      <m:t>,</m:t>
                    </m:r>
                    <m:sSub>
                      <m:sSubPr>
                        <m:ctrlPr>
                          <w:rPr>
                            <w:rFonts w:ascii="Cambria Math" w:hAnsi="Cambria Math" w:cs="Arial"/>
                            <w:i/>
                            <w:noProof/>
                            <w:color w:val="000000" w:themeColor="text1"/>
                          </w:rPr>
                        </m:ctrlPr>
                      </m:sSubPr>
                      <m:e>
                        <m:r>
                          <w:rPr>
                            <w:rFonts w:ascii="Cambria Math" w:hAnsi="Cambria Math" w:cs="Arial"/>
                            <w:noProof/>
                            <w:color w:val="000000" w:themeColor="text1"/>
                          </w:rPr>
                          <m:t>A</m:t>
                        </m:r>
                      </m:e>
                      <m:sub>
                        <m:r>
                          <w:rPr>
                            <w:rFonts w:ascii="Cambria Math" w:hAnsi="Cambria Math" w:cs="Arial"/>
                            <w:noProof/>
                            <w:color w:val="000000" w:themeColor="text1"/>
                          </w:rPr>
                          <m:t>i,t+1</m:t>
                        </m:r>
                      </m:sub>
                    </m:sSub>
                    <m:r>
                      <w:rPr>
                        <w:rFonts w:ascii="Cambria Math" w:hAnsi="Cambria Math" w:cs="Arial"/>
                        <w:noProof/>
                        <w:color w:val="000000" w:themeColor="text1"/>
                      </w:rPr>
                      <m:t>)</m:t>
                    </m:r>
                  </m:e>
                </m:nary>
              </m:oMath>
            </m:oMathPara>
          </w:p>
        </w:tc>
        <w:tc>
          <w:tcPr>
            <w:tcW w:w="2880" w:type="dxa"/>
            <w:vAlign w:val="center"/>
          </w:tcPr>
          <w:p w14:paraId="667541F8" w14:textId="77777777" w:rsidR="00371F14" w:rsidRPr="00082EF6" w:rsidRDefault="00371F14" w:rsidP="0041673E">
            <w:pPr>
              <w:tabs>
                <w:tab w:val="left" w:pos="3316"/>
                <w:tab w:val="center" w:pos="4666"/>
                <w:tab w:val="right" w:pos="9500"/>
              </w:tabs>
              <w:spacing w:after="120"/>
              <w:jc w:val="both"/>
              <w:rPr>
                <w:rFonts w:ascii="Arial" w:hAnsi="Arial" w:cs="Arial"/>
                <w:noProof/>
                <w:color w:val="000000" w:themeColor="text1"/>
              </w:rPr>
            </w:pPr>
            <w:r w:rsidRPr="00082EF6">
              <w:rPr>
                <w:rFonts w:ascii="Arial" w:hAnsi="Arial" w:cs="Arial"/>
                <w:noProof/>
                <w:color w:val="000000" w:themeColor="text1"/>
              </w:rPr>
              <w:t>(1)</w:t>
            </w:r>
          </w:p>
        </w:tc>
      </w:tr>
    </w:tbl>
    <w:p w14:paraId="6C0894EA" w14:textId="77777777" w:rsidR="00371F14" w:rsidRDefault="00371F14" w:rsidP="00371F14">
      <w:pPr>
        <w:pStyle w:val="Heading2"/>
        <w:spacing w:before="0" w:after="120" w:line="240" w:lineRule="auto"/>
        <w:jc w:val="both"/>
        <w:rPr>
          <w:rFonts w:ascii="Arial" w:hAnsi="Arial" w:cs="Arial"/>
          <w:noProof/>
          <w:color w:val="000000" w:themeColor="text1"/>
          <w:sz w:val="22"/>
          <w:szCs w:val="22"/>
        </w:rPr>
      </w:pPr>
      <w:r w:rsidRPr="00082EF6">
        <w:rPr>
          <w:rFonts w:ascii="Arial" w:eastAsia="Calibri" w:hAnsi="Arial" w:cs="Arial"/>
          <w:noProof/>
          <w:color w:val="000000" w:themeColor="text1"/>
          <w:sz w:val="22"/>
          <w:szCs w:val="22"/>
          <w:u w:color="000000"/>
          <w:bdr w:val="nil"/>
        </w:rPr>
        <w:t xml:space="preserve">The temporal network flexibility of channel i measures the portion of time brain area i changed </w:t>
      </w:r>
      <w:r w:rsidRPr="00082EF6">
        <w:rPr>
          <w:rFonts w:ascii="Arial" w:hAnsi="Arial" w:cs="Arial"/>
          <w:noProof/>
          <w:color w:val="000000" w:themeColor="text1"/>
          <w:sz w:val="22"/>
          <w:szCs w:val="22"/>
        </w:rPr>
        <w:t xml:space="preserve">its community assignment over successive 1-second time windows. </w:t>
      </w:r>
    </w:p>
    <w:p w14:paraId="2045CA0C" w14:textId="77777777" w:rsidR="00371F14" w:rsidRDefault="00371F14" w:rsidP="00371F14">
      <w:pPr>
        <w:tabs>
          <w:tab w:val="left" w:pos="3316"/>
          <w:tab w:val="center" w:pos="4666"/>
          <w:tab w:val="right" w:pos="9500"/>
        </w:tabs>
        <w:spacing w:after="120"/>
        <w:jc w:val="both"/>
        <w:rPr>
          <w:rFonts w:ascii="Arial" w:eastAsia="Calibri" w:hAnsi="Arial" w:cs="Arial"/>
          <w:noProof/>
          <w:color w:val="000000" w:themeColor="text1"/>
          <w:u w:color="000000"/>
          <w:bdr w:val="nil"/>
        </w:rPr>
      </w:pPr>
      <w:r>
        <w:rPr>
          <w:rFonts w:ascii="Arial" w:eastAsia="Calibri" w:hAnsi="Arial" w:cs="Arial"/>
          <w:noProof/>
          <w:color w:val="000000" w:themeColor="text1"/>
          <w:u w:color="000000"/>
          <w:bdr w:val="nil"/>
        </w:rPr>
        <w:t>T</w:t>
      </w:r>
      <w:r w:rsidRPr="00A653BC">
        <w:rPr>
          <w:rFonts w:ascii="Arial" w:hAnsi="Arial" w:cs="Arial"/>
        </w:rPr>
        <w:t>he temporal network flexibility feature</w:t>
      </w:r>
      <w:r>
        <w:rPr>
          <w:rFonts w:ascii="Arial" w:hAnsi="Arial" w:cs="Arial"/>
        </w:rPr>
        <w:t>s</w:t>
      </w:r>
      <w:r w:rsidRPr="00A653BC">
        <w:rPr>
          <w:rFonts w:ascii="Arial" w:hAnsi="Arial" w:cs="Arial"/>
        </w:rPr>
        <w:t xml:space="preserve"> </w:t>
      </w:r>
      <w:r>
        <w:rPr>
          <w:rFonts w:ascii="Arial" w:hAnsi="Arial" w:cs="Arial"/>
        </w:rPr>
        <w:t xml:space="preserve">were calculated </w:t>
      </w:r>
      <w:r w:rsidRPr="00A653BC">
        <w:rPr>
          <w:rFonts w:ascii="Arial" w:hAnsi="Arial" w:cs="Arial"/>
        </w:rPr>
        <w:t>by averaging the flexibility scores of all channels within each cortex, resulting in 4 temporal network flexibility features. Low temporal flexibility indicates that the corresponding community assignment of each EEG channel area remains stable across time windows, while high temporal flexibility indicates that the community assignment changes frequentl</w:t>
      </w:r>
      <w:r>
        <w:rPr>
          <w:rFonts w:ascii="Arial" w:hAnsi="Arial" w:cs="Arial"/>
        </w:rPr>
        <w:t xml:space="preserve">y </w:t>
      </w:r>
      <w:r w:rsidRPr="00C93571">
        <w:rPr>
          <w:rFonts w:ascii="Arial" w:eastAsia="Calibri" w:hAnsi="Arial" w:cs="Arial"/>
          <w:noProof/>
          <w:color w:val="000000" w:themeColor="text1"/>
          <w:u w:color="000000"/>
          <w:bdr w:val="nil"/>
        </w:rPr>
        <w:fldChar w:fldCharType="begin"/>
      </w:r>
      <w:r>
        <w:rPr>
          <w:rFonts w:ascii="Arial" w:eastAsia="Calibri" w:hAnsi="Arial" w:cs="Arial"/>
          <w:noProof/>
          <w:color w:val="000000" w:themeColor="text1"/>
          <w:u w:color="000000"/>
          <w:bdr w:val="nil"/>
        </w:rPr>
        <w:instrText xml:space="preserve"> ADDIN EN.CITE &lt;EndNote&gt;&lt;Cite&gt;&lt;Author&gt;Betzel&lt;/Author&gt;&lt;Year&gt;2017&lt;/Year&gt;&lt;RecNum&gt;46&lt;/RecNum&gt;&lt;DisplayText&gt;[29, 33]&lt;/DisplayText&gt;&lt;record&gt;&lt;rec-number&gt;46&lt;/rec-number&gt;&lt;foreign-keys&gt;&lt;key app="EN" db-id="s2r50t2rjp5frwe9xarxv0xe2ra0zpwrrsa2" timestamp="1668080569"&gt;46&lt;/key&gt;&lt;/foreign-keys&gt;&lt;ref-type name="Journal Article"&gt;17&lt;/ref-type&gt;&lt;contributors&gt;&lt;authors&gt;&lt;author&gt;Betzel, Richard F&lt;/author&gt;&lt;author&gt;Satterthwaite, Theodore D&lt;/author&gt;&lt;author&gt;Gold, Joshua I&lt;/author&gt;&lt;author&gt;Bassett, Danielle S&lt;/author&gt;&lt;/authors&gt;&lt;/contributors&gt;&lt;titles&gt;&lt;title&gt;Positive affect, surprise, and fatigue are correlates of network flexibility&lt;/title&gt;&lt;secondary-title&gt;Scientific Reports&lt;/secondary-title&gt;&lt;/titles&gt;&lt;periodical&gt;&lt;full-title&gt;Scientific Reports&lt;/full-title&gt;&lt;/periodical&gt;&lt;pages&gt;520&lt;/pages&gt;&lt;volume&gt;7&lt;/volume&gt;&lt;number&gt;1&lt;/number&gt;&lt;dates&gt;&lt;year&gt;2017&lt;/year&gt;&lt;/dates&gt;&lt;isbn&gt;2045-2322&lt;/isbn&gt;&lt;urls&gt;&lt;/urls&gt;&lt;/record&gt;&lt;/Cite&gt;&lt;Cite&gt;&lt;Author&gt;Bassett&lt;/Author&gt;&lt;Year&gt;2011&lt;/Year&gt;&lt;RecNum&gt;47&lt;/RecNum&gt;&lt;record&gt;&lt;rec-number&gt;47&lt;/rec-number&gt;&lt;foreign-keys&gt;&lt;key app="EN" db-id="s2r50t2rjp5frwe9xarxv0xe2ra0zpwrrsa2" timestamp="1668080569"&gt;47&lt;/key&gt;&lt;/foreign-keys&gt;&lt;ref-type name="Journal Article"&gt;17&lt;/ref-type&gt;&lt;contributors&gt;&lt;authors&gt;&lt;author&gt;Bassett, Danielle S&lt;/author&gt;&lt;author&gt;Wymbs, Nicholas F&lt;/author&gt;&lt;author&gt;Porter, Mason A&lt;/author&gt;&lt;author&gt;Mucha, Peter J&lt;/author&gt;&lt;author&gt;Carlson, Jean M&lt;/author&gt;&lt;author&gt;Grafton, Scott T&lt;/author&gt;&lt;/authors&gt;&lt;/contributors&gt;&lt;titles&gt;&lt;title&gt;Dynamic reconfiguration of human brain networks during learning&lt;/title&gt;&lt;secondary-title&gt;Proceedings of the National Academy of Sciences&lt;/secondary-title&gt;&lt;/titles&gt;&lt;periodical&gt;&lt;full-title&gt;Proceedings of the National Academy of Sciences&lt;/full-title&gt;&lt;/periodical&gt;&lt;pages&gt;7641-7646&lt;/pages&gt;&lt;volume&gt;108&lt;/volume&gt;&lt;number&gt;18&lt;/number&gt;&lt;dates&gt;&lt;year&gt;2011&lt;/year&gt;&lt;/dates&gt;&lt;isbn&gt;0027-8424&lt;/isbn&gt;&lt;urls&gt;&lt;/urls&gt;&lt;/record&gt;&lt;/Cite&gt;&lt;/EndNote&gt;</w:instrText>
      </w:r>
      <w:r w:rsidRPr="00C93571">
        <w:rPr>
          <w:rFonts w:ascii="Arial" w:eastAsia="Calibri" w:hAnsi="Arial" w:cs="Arial"/>
          <w:noProof/>
          <w:color w:val="000000" w:themeColor="text1"/>
          <w:u w:color="000000"/>
          <w:bdr w:val="nil"/>
        </w:rPr>
        <w:fldChar w:fldCharType="separate"/>
      </w:r>
      <w:r>
        <w:rPr>
          <w:rFonts w:ascii="Arial" w:eastAsia="Calibri" w:hAnsi="Arial" w:cs="Arial"/>
          <w:noProof/>
          <w:color w:val="000000" w:themeColor="text1"/>
          <w:u w:color="000000"/>
          <w:bdr w:val="nil"/>
        </w:rPr>
        <w:t>[29, 33]</w:t>
      </w:r>
      <w:r w:rsidRPr="00C93571">
        <w:rPr>
          <w:rFonts w:ascii="Arial" w:eastAsia="Calibri" w:hAnsi="Arial" w:cs="Arial"/>
          <w:noProof/>
          <w:color w:val="000000" w:themeColor="text1"/>
          <w:u w:color="000000"/>
          <w:bdr w:val="nil"/>
        </w:rPr>
        <w:fldChar w:fldCharType="end"/>
      </w:r>
      <w:r w:rsidRPr="00C93571">
        <w:rPr>
          <w:rFonts w:ascii="Arial" w:eastAsia="Calibri" w:hAnsi="Arial" w:cs="Arial"/>
          <w:noProof/>
          <w:color w:val="000000" w:themeColor="text1"/>
          <w:u w:color="000000"/>
          <w:bdr w:val="nil"/>
        </w:rPr>
        <w:t>.</w:t>
      </w:r>
    </w:p>
    <w:p w14:paraId="3064FDB6" w14:textId="77777777" w:rsidR="00371F14" w:rsidRDefault="00371F14" w:rsidP="00371F14">
      <w:pPr>
        <w:pStyle w:val="Heading2"/>
        <w:spacing w:before="0" w:after="120" w:line="240" w:lineRule="auto"/>
        <w:jc w:val="both"/>
        <w:rPr>
          <w:rFonts w:ascii="Arial" w:hAnsi="Arial" w:cs="Arial"/>
          <w:b/>
          <w:bCs/>
          <w:color w:val="000000" w:themeColor="text1"/>
          <w:sz w:val="24"/>
          <w:szCs w:val="24"/>
        </w:rPr>
      </w:pPr>
      <w:r w:rsidRPr="00082EF6">
        <w:rPr>
          <w:rFonts w:ascii="Arial" w:hAnsi="Arial" w:cs="Arial"/>
          <w:b/>
          <w:bCs/>
          <w:color w:val="000000" w:themeColor="text1"/>
          <w:sz w:val="24"/>
          <w:szCs w:val="24"/>
        </w:rPr>
        <w:t>Extraction of</w:t>
      </w:r>
      <w:r>
        <w:rPr>
          <w:rFonts w:ascii="Arial" w:hAnsi="Arial" w:cs="Arial"/>
          <w:b/>
          <w:bCs/>
          <w:color w:val="000000" w:themeColor="text1"/>
          <w:sz w:val="24"/>
          <w:szCs w:val="24"/>
        </w:rPr>
        <w:t xml:space="preserve"> strength feature </w:t>
      </w:r>
    </w:p>
    <w:p w14:paraId="2D65F04E" w14:textId="77777777" w:rsidR="00371F14" w:rsidRDefault="00371F14" w:rsidP="00371F14">
      <w:pPr>
        <w:tabs>
          <w:tab w:val="left" w:pos="3316"/>
          <w:tab w:val="center" w:pos="4666"/>
          <w:tab w:val="right" w:pos="9500"/>
        </w:tabs>
        <w:spacing w:after="120"/>
        <w:jc w:val="both"/>
        <w:rPr>
          <w:rFonts w:ascii="Arial" w:hAnsi="Arial" w:cs="Arial"/>
        </w:rPr>
      </w:pPr>
      <w:r w:rsidRPr="00FC7A0F">
        <w:rPr>
          <w:rFonts w:ascii="Arial" w:hAnsi="Arial" w:cs="Arial"/>
        </w:rPr>
        <w:t>Functional brain network strength in a cortex refers to the degree to which different regions within that cortex are interconnected and communicate with each other</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&lt;EndNote&gt;&lt;Cite&gt;&lt;Author&gt;Sporns&lt;/Author&gt;&lt;Year&gt;2013&lt;/Year&gt;&lt;RecNum&gt;703&lt;/RecNum&gt;&lt;DisplayText&gt;[28]&lt;/DisplayText&gt;&lt;record&gt;&lt;rec-number&gt;703&lt;/rec-number&gt;&lt;foreign-keys&gt;&lt;key app="EN" db-id="2vv5xe9dna59ffexf9lpvxdmzt2dvsd25tat" timestamp="1680550548"&gt;703&lt;/key&gt;&lt;/foreign-keys&gt;&lt;ref-type name="Journal Article"&gt;17&lt;/ref-type&gt;&lt;contributors&gt;&lt;authors&gt;&lt;author&gt;Sporns, Olaf&lt;/author&gt;&lt;/authors&gt;&lt;/contributors&gt;&lt;titles&gt;&lt;title&gt;Network attributes for segregation and integration in the human brain&lt;/title&gt;&lt;secondary-title&gt;Current opinion in neurobiology&lt;/secondary-title&gt;&lt;/titles&gt;&lt;periodical&gt;&lt;full-title&gt;Current opinion in neurobiology&lt;/full-title&gt;&lt;/periodical&gt;&lt;pages&gt;162-171&lt;/pages&gt;&lt;volume&gt;23&lt;/volume&gt;&lt;number&gt;2&lt;/number&gt;&lt;dates&gt;&lt;year&gt;2013&lt;/year&gt;&lt;/dates&gt;&lt;isbn&gt;0959-4388&lt;/isbn&gt;&lt;urls&gt;&lt;/urls&gt;&lt;/record&gt;&lt;/Cite&gt;&lt;/EndNote&gt;</w:instrText>
      </w:r>
      <w:r>
        <w:rPr>
          <w:rFonts w:ascii="Arial" w:hAnsi="Arial" w:cs="Arial"/>
        </w:rPr>
        <w:fldChar w:fldCharType="separate"/>
      </w:r>
      <w:r>
        <w:rPr>
          <w:rFonts w:ascii="Arial" w:hAnsi="Arial" w:cs="Arial"/>
          <w:noProof/>
        </w:rPr>
        <w:t>[28]</w:t>
      </w:r>
      <w:r>
        <w:rPr>
          <w:rFonts w:ascii="Arial" w:hAnsi="Arial" w:cs="Arial"/>
        </w:rPr>
        <w:fldChar w:fldCharType="end"/>
      </w:r>
      <w:r w:rsidRPr="00FC7A0F">
        <w:rPr>
          <w:rFonts w:ascii="Arial" w:hAnsi="Arial" w:cs="Arial"/>
        </w:rPr>
        <w:t>. It is a measure of the overall activity and connectivity within a given region of the brain. The strength of functional connectivity between different brain regions can provide important information about brain function and cognitive processes. Understanding the functional brain network strength in different cortical regions can therefore provide insight into the neural basis of cognitive processes.</w:t>
      </w:r>
      <w:r>
        <w:rPr>
          <w:rFonts w:ascii="Arial" w:hAnsi="Arial" w:cs="Arial"/>
        </w:rPr>
        <w:t xml:space="preserve"> </w:t>
      </w:r>
      <w:r w:rsidRPr="009B702D">
        <w:rPr>
          <w:rFonts w:ascii="Arial" w:hAnsi="Arial" w:cs="Arial"/>
        </w:rPr>
        <w:t>To calculate t</w:t>
      </w:r>
      <w:r>
        <w:rPr>
          <w:rFonts w:ascii="Arial" w:hAnsi="Arial" w:cs="Arial"/>
        </w:rPr>
        <w:t>he average strength</w:t>
      </w:r>
      <w:r w:rsidRPr="009B702D">
        <w:rPr>
          <w:rFonts w:ascii="Arial" w:hAnsi="Arial" w:cs="Arial"/>
        </w:rPr>
        <w:t xml:space="preserve"> feature at each </w:t>
      </w:r>
      <w:r>
        <w:rPr>
          <w:rFonts w:ascii="Arial" w:hAnsi="Arial" w:cs="Arial"/>
        </w:rPr>
        <w:t>cortex, the functional connectivity of channels in that cortex were</w:t>
      </w:r>
      <w:r w:rsidRPr="001D7685">
        <w:rPr>
          <w:rFonts w:ascii="Arial" w:hAnsi="Arial" w:cs="Arial"/>
        </w:rPr>
        <w:t xml:space="preserve"> averaged</w:t>
      </w:r>
      <w:r>
        <w:rPr>
          <w:rFonts w:ascii="Arial" w:hAnsi="Arial" w:cs="Arial"/>
        </w:rPr>
        <w:t>. This resulted in four average strength</w:t>
      </w:r>
      <w:r w:rsidRPr="001D7685">
        <w:rPr>
          <w:rFonts w:ascii="Arial" w:hAnsi="Arial" w:cs="Arial"/>
        </w:rPr>
        <w:t xml:space="preserve"> features.</w:t>
      </w:r>
      <w:r>
        <w:rPr>
          <w:rFonts w:ascii="Arial" w:hAnsi="Arial" w:cs="Arial"/>
        </w:rPr>
        <w:t xml:space="preserve"> </w:t>
      </w:r>
    </w:p>
    <w:p w14:paraId="3AC0BB39" w14:textId="77777777" w:rsidR="00371F14" w:rsidRDefault="00371F14" w:rsidP="00371F14">
      <w:pPr>
        <w:pStyle w:val="Heading2"/>
        <w:spacing w:before="0" w:after="120" w:line="240" w:lineRule="auto"/>
        <w:jc w:val="both"/>
        <w:rPr>
          <w:rFonts w:ascii="Arial" w:hAnsi="Arial" w:cs="Arial"/>
          <w:b/>
          <w:bCs/>
          <w:color w:val="000000" w:themeColor="text1"/>
          <w:sz w:val="24"/>
          <w:szCs w:val="24"/>
        </w:rPr>
      </w:pPr>
      <w:r w:rsidRPr="00082EF6">
        <w:rPr>
          <w:rFonts w:ascii="Arial" w:hAnsi="Arial" w:cs="Arial"/>
          <w:b/>
          <w:bCs/>
          <w:color w:val="000000" w:themeColor="text1"/>
          <w:sz w:val="24"/>
          <w:szCs w:val="24"/>
        </w:rPr>
        <w:t>Extraction of integration and recruitment features</w:t>
      </w:r>
    </w:p>
    <w:p w14:paraId="0EDB6036" w14:textId="77777777" w:rsidR="00371F14" w:rsidRDefault="00371F14" w:rsidP="00371F14">
      <w:pPr>
        <w:tabs>
          <w:tab w:val="left" w:pos="3316"/>
          <w:tab w:val="center" w:pos="4666"/>
          <w:tab w:val="right" w:pos="9500"/>
        </w:tabs>
        <w:spacing w:after="120"/>
        <w:jc w:val="both"/>
        <w:rPr>
          <w:rFonts w:ascii="Arial" w:hAnsi="Arial" w:cs="Arial"/>
        </w:rPr>
      </w:pPr>
      <w:r w:rsidRPr="00330C99">
        <w:rPr>
          <w:rFonts w:ascii="Arial" w:eastAsia="Calibri" w:hAnsi="Arial" w:cs="Arial"/>
          <w:noProof/>
          <w:color w:val="000000" w:themeColor="text1"/>
          <w:u w:color="000000"/>
          <w:bdr w:val="nil"/>
        </w:rPr>
        <w:t>Integration and recruitment features were calculated for each channe</w:t>
      </w:r>
      <w:r>
        <w:rPr>
          <w:rFonts w:ascii="Arial" w:eastAsia="Calibri" w:hAnsi="Arial" w:cs="Arial"/>
          <w:noProof/>
          <w:color w:val="000000" w:themeColor="text1"/>
          <w:u w:color="000000"/>
          <w:bdr w:val="nil"/>
        </w:rPr>
        <w:t>l</w:t>
      </w:r>
      <w:r w:rsidRPr="00330C99">
        <w:rPr>
          <w:rFonts w:ascii="Arial" w:eastAsia="Calibri" w:hAnsi="Arial" w:cs="Arial"/>
          <w:noProof/>
          <w:color w:val="000000" w:themeColor="text1"/>
          <w:u w:color="000000"/>
          <w:bdr w:val="nil"/>
        </w:rPr>
        <w:t xml:space="preserve">. Recruitment measures the average probability that a node belongs to the same community as other nodes from its own </w:t>
      </w:r>
      <w:r>
        <w:rPr>
          <w:rFonts w:ascii="Arial" w:eastAsia="Calibri" w:hAnsi="Arial" w:cs="Arial"/>
          <w:noProof/>
          <w:color w:val="000000" w:themeColor="text1"/>
          <w:u w:color="000000"/>
          <w:bdr w:val="nil"/>
        </w:rPr>
        <w:t>cortex</w:t>
      </w:r>
      <w:r w:rsidRPr="00330C99">
        <w:rPr>
          <w:rFonts w:ascii="Arial" w:eastAsia="Calibri" w:hAnsi="Arial" w:cs="Arial"/>
          <w:noProof/>
          <w:color w:val="000000" w:themeColor="text1"/>
          <w:u w:color="000000"/>
          <w:bdr w:val="nil"/>
        </w:rPr>
        <w:t xml:space="preserve">, where each cortex was considered as a separate </w:t>
      </w:r>
      <w:r>
        <w:rPr>
          <w:rFonts w:ascii="Arial" w:eastAsia="Calibri" w:hAnsi="Arial" w:cs="Arial"/>
          <w:noProof/>
          <w:color w:val="000000" w:themeColor="text1"/>
          <w:u w:color="000000"/>
          <w:bdr w:val="nil"/>
        </w:rPr>
        <w:t>cortex</w:t>
      </w:r>
      <w:r w:rsidRPr="00330C99">
        <w:rPr>
          <w:rFonts w:ascii="Arial" w:eastAsia="Calibri" w:hAnsi="Arial" w:cs="Arial"/>
          <w:noProof/>
          <w:color w:val="000000" w:themeColor="text1"/>
          <w:u w:color="000000"/>
          <w:bdr w:val="nil"/>
        </w:rPr>
        <w:t xml:space="preserve">. On the other hand, integration </w:t>
      </w:r>
      <w:r w:rsidRPr="00330C99">
        <w:rPr>
          <w:rFonts w:ascii="Arial" w:eastAsia="Calibri" w:hAnsi="Arial" w:cs="Arial"/>
          <w:noProof/>
          <w:color w:val="000000" w:themeColor="text1"/>
          <w:u w:color="000000"/>
          <w:bdr w:val="nil"/>
        </w:rPr>
        <w:lastRenderedPageBreak/>
        <w:t xml:space="preserve">measures the average probability that a node belongs to the same community as nodes from other </w:t>
      </w:r>
      <w:r>
        <w:rPr>
          <w:rFonts w:ascii="Arial" w:eastAsia="Calibri" w:hAnsi="Arial" w:cs="Arial"/>
          <w:noProof/>
          <w:color w:val="000000" w:themeColor="text1"/>
          <w:u w:color="000000"/>
          <w:bdr w:val="nil"/>
        </w:rPr>
        <w:t>cortices</w:t>
      </w:r>
      <w:r w:rsidRPr="00330C99">
        <w:rPr>
          <w:rFonts w:ascii="Arial" w:eastAsia="Calibri" w:hAnsi="Arial" w:cs="Arial"/>
          <w:noProof/>
          <w:color w:val="000000" w:themeColor="text1"/>
          <w:u w:color="000000"/>
          <w:bdr w:val="nil"/>
        </w:rPr>
        <w:t xml:space="preserve"> </w:t>
      </w:r>
      <w:r w:rsidRPr="004E1816">
        <w:rPr>
          <w:rFonts w:ascii="Arial" w:hAnsi="Arial" w:cs="Arial"/>
          <w:color w:val="000000" w:themeColor="text1"/>
        </w:rPr>
        <w:fldChar w:fldCharType="begin"/>
      </w:r>
      <w:r>
        <w:rPr>
          <w:rFonts w:ascii="Arial" w:hAnsi="Arial" w:cs="Arial"/>
          <w:color w:val="000000" w:themeColor="text1"/>
        </w:rPr>
        <w:instrText xml:space="preserve"> ADDIN EN.CITE &lt;EndNote&gt;&lt;Cite&gt;&lt;Author&gt;Bassett&lt;/Author&gt;&lt;Year&gt;2015&lt;/Year&gt;&lt;RecNum&gt;588&lt;/RecNum&gt;&lt;DisplayText&gt;[34]&lt;/DisplayText&gt;&lt;record&gt;&lt;rec-number&gt;588&lt;/rec-number&gt;&lt;foreign-keys&gt;&lt;key app="EN" db-id="2vv5xe9dna59ffexf9lpvxdmzt2dvsd25tat" timestamp="1674770387"&gt;588&lt;/key&gt;&lt;/foreign-keys&gt;&lt;ref-type name="Journal Article"&gt;17&lt;/ref-type&gt;&lt;contributors&gt;&lt;authors&gt;&lt;author&gt;Bassett, Danielle S&lt;/author&gt;&lt;author&gt;Yang, Muzhi&lt;/author&gt;&lt;author&gt;Wymbs, Nicholas F&lt;/author&gt;&lt;author&gt;Grafton, Scott T&lt;/author&gt;&lt;/authors&gt;&lt;/contributors&gt;&lt;titles&gt;&lt;title&gt;Learning-induced autonomy of sensorimotor systems&lt;/title&gt;&lt;secondary-title&gt;Nature neuroscience&lt;/secondary-title&gt;&lt;/titles&gt;&lt;periodical&gt;&lt;full-title&gt;Nature neuroscience&lt;/full-title&gt;&lt;/periodical&gt;&lt;pages&gt;744-751&lt;/pages&gt;&lt;volume&gt;18&lt;/volume&gt;&lt;number&gt;5&lt;/number&gt;&lt;dates&gt;&lt;year&gt;2015&lt;/year&gt;&lt;/dates&gt;&lt;isbn&gt;1097-6256&lt;/isbn&gt;&lt;urls&gt;&lt;/urls&gt;&lt;/record&gt;&lt;/Cite&gt;&lt;/EndNote&gt;</w:instrText>
      </w:r>
      <w:r w:rsidRPr="004E1816">
        <w:rPr>
          <w:rFonts w:ascii="Arial" w:hAnsi="Arial" w:cs="Arial"/>
          <w:color w:val="000000" w:themeColor="text1"/>
        </w:rPr>
        <w:fldChar w:fldCharType="separate"/>
      </w:r>
      <w:r>
        <w:rPr>
          <w:rFonts w:ascii="Arial" w:hAnsi="Arial" w:cs="Arial"/>
          <w:noProof/>
          <w:color w:val="000000" w:themeColor="text1"/>
        </w:rPr>
        <w:t>[34]</w:t>
      </w:r>
      <w:r w:rsidRPr="004E1816">
        <w:rPr>
          <w:rFonts w:ascii="Arial" w:hAnsi="Arial" w:cs="Arial"/>
          <w:color w:val="000000" w:themeColor="text1"/>
        </w:rPr>
        <w:fldChar w:fldCharType="end"/>
      </w:r>
      <w:r w:rsidRPr="004E1816">
        <w:rPr>
          <w:rFonts w:ascii="Arial" w:hAnsi="Arial" w:cs="Arial"/>
        </w:rPr>
        <w:t xml:space="preserve">. </w:t>
      </w:r>
    </w:p>
    <w:p w14:paraId="1106BDAE" w14:textId="77777777" w:rsidR="00371F14" w:rsidRPr="00082EF6" w:rsidRDefault="00371F14" w:rsidP="00371F14">
      <w:pPr>
        <w:spacing w:after="120"/>
        <w:jc w:val="both"/>
        <w:rPr>
          <w:rFonts w:ascii="Arial" w:hAnsi="Arial" w:cs="Arial"/>
          <w:noProof/>
        </w:rPr>
      </w:pPr>
      <w:r w:rsidRPr="00082EF6">
        <w:rPr>
          <w:rFonts w:ascii="Arial" w:hAnsi="Arial" w:cs="Arial"/>
          <w:color w:val="000000" w:themeColor="text1"/>
        </w:rPr>
        <w:t>Module Allegiance Matrix (MAM), which was created using the partition matrix, was used to extract integration and recruitment features</w:t>
      </w:r>
      <w:r w:rsidRPr="00082EF6">
        <w:rPr>
          <w:rFonts w:ascii="Arial" w:hAnsi="Arial" w:cs="Arial"/>
        </w:rPr>
        <w:t>. Element (i,j) in the MAM represents the probability that nodes ‘i’ and ‘j’ belong to the same community across the time windows of a recording. T</w:t>
      </w:r>
      <w:r w:rsidRPr="00082EF6">
        <w:rPr>
          <w:rFonts w:ascii="Arial" w:hAnsi="Arial" w:cs="Arial"/>
          <w:noProof/>
        </w:rPr>
        <w:t xml:space="preserve">he interaction strength (I), between two </w:t>
      </w:r>
      <w:r>
        <w:rPr>
          <w:rFonts w:ascii="Arial" w:hAnsi="Arial" w:cs="Arial"/>
          <w:noProof/>
        </w:rPr>
        <w:t>cortices</w:t>
      </w:r>
      <w:r w:rsidRPr="00082EF6">
        <w:rPr>
          <w:rFonts w:ascii="Arial" w:hAnsi="Arial" w:cs="Arial"/>
          <w:noProof/>
        </w:rPr>
        <w:t xml:space="preserve"> C</w:t>
      </w:r>
      <w:r w:rsidRPr="00082EF6">
        <w:rPr>
          <w:rFonts w:ascii="Arial" w:hAnsi="Arial" w:cs="Arial"/>
          <w:noProof/>
          <w:vertAlign w:val="subscript"/>
        </w:rPr>
        <w:t>k1</w:t>
      </w:r>
      <w:r w:rsidRPr="00082EF6">
        <w:rPr>
          <w:rFonts w:ascii="Arial" w:hAnsi="Arial" w:cs="Arial"/>
          <w:noProof/>
        </w:rPr>
        <w:t xml:space="preserve"> and C</w:t>
      </w:r>
      <w:r w:rsidRPr="00082EF6">
        <w:rPr>
          <w:rFonts w:ascii="Arial" w:hAnsi="Arial" w:cs="Arial"/>
          <w:noProof/>
          <w:vertAlign w:val="subscript"/>
        </w:rPr>
        <w:t>k2</w:t>
      </w:r>
      <w:r w:rsidRPr="00082EF6">
        <w:rPr>
          <w:rFonts w:ascii="Arial" w:hAnsi="Arial" w:cs="Arial"/>
          <w:noProof/>
        </w:rPr>
        <w:t xml:space="preserve">, can be defined as the average probability of pairs of channels belonging to the same community, where one electrode lies within the first </w:t>
      </w:r>
      <w:r>
        <w:rPr>
          <w:rFonts w:ascii="Arial" w:hAnsi="Arial" w:cs="Arial"/>
          <w:noProof/>
        </w:rPr>
        <w:t>cortex</w:t>
      </w:r>
      <w:r w:rsidRPr="00082EF6">
        <w:rPr>
          <w:rFonts w:ascii="Arial" w:hAnsi="Arial" w:cs="Arial"/>
          <w:noProof/>
        </w:rPr>
        <w:t xml:space="preserve"> and the second electrode lies within the second </w:t>
      </w:r>
      <w:r>
        <w:rPr>
          <w:rFonts w:ascii="Arial" w:hAnsi="Arial" w:cs="Arial"/>
          <w:noProof/>
        </w:rPr>
        <w:t>cortex</w:t>
      </w:r>
      <w:r w:rsidRPr="00082EF6">
        <w:rPr>
          <w:rFonts w:ascii="Arial" w:hAnsi="Arial" w:cs="Arial"/>
          <w:noProof/>
        </w:rPr>
        <w:t xml:space="preserve"> (equation 2).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2880"/>
      </w:tblGrid>
      <w:tr w:rsidR="00371F14" w:rsidRPr="00082EF6" w14:paraId="506D48CD" w14:textId="77777777" w:rsidTr="0041673E">
        <w:tc>
          <w:tcPr>
            <w:tcW w:w="6480" w:type="dxa"/>
            <w:vAlign w:val="center"/>
          </w:tcPr>
          <w:p w14:paraId="4AA76951" w14:textId="77777777" w:rsidR="00371F14" w:rsidRPr="00082EF6" w:rsidRDefault="00000000" w:rsidP="0041673E">
            <w:pPr>
              <w:tabs>
                <w:tab w:val="left" w:pos="3316"/>
                <w:tab w:val="center" w:pos="4666"/>
                <w:tab w:val="right" w:pos="9500"/>
              </w:tabs>
              <w:spacing w:after="120"/>
              <w:ind w:firstLine="720"/>
              <w:jc w:val="both"/>
              <w:rPr>
                <w:rFonts w:ascii="Arial" w:hAnsi="Arial" w:cs="Arial"/>
                <w:noProof/>
              </w:rPr>
            </w:pPr>
            <m:oMathPara>
              <m:oMath>
                <m:sSub>
                  <m:sSubPr>
                    <m:ctrlPr>
                      <w:rPr>
                        <w:rFonts w:ascii="Cambria Math" w:hAnsi="Cambria Math" w:cs="Arial"/>
                        <w:i/>
                        <w:noProof/>
                      </w:rPr>
                    </m:ctrlPr>
                  </m:sSubPr>
                  <m:e>
                    <m:r>
                      <w:rPr>
                        <w:rFonts w:ascii="Cambria Math" w:hAnsi="Cambria Math" w:cs="Arial"/>
                        <w:noProof/>
                      </w:rPr>
                      <m:t>I</m:t>
                    </m:r>
                  </m:e>
                  <m:sub>
                    <m:r>
                      <w:rPr>
                        <w:rFonts w:ascii="Cambria Math" w:hAnsi="Cambria Math" w:cs="Arial"/>
                        <w:noProof/>
                      </w:rPr>
                      <m:t>k1,k2</m:t>
                    </m:r>
                  </m:sub>
                </m:sSub>
                <m:r>
                  <w:rPr>
                    <w:rFonts w:ascii="Cambria Math" w:hAnsi="Cambria Math" w:cs="Arial"/>
                    <w:noProof/>
                  </w:rPr>
                  <m:t>=</m:t>
                </m:r>
                <m:f>
                  <m:fPr>
                    <m:ctrlPr>
                      <w:rPr>
                        <w:rFonts w:ascii="Cambria Math" w:hAnsi="Cambria Math" w:cs="Arial"/>
                        <w:i/>
                        <w:noProof/>
                      </w:rPr>
                    </m:ctrlPr>
                  </m:fPr>
                  <m:num>
                    <m:nary>
                      <m:naryPr>
                        <m:chr m:val="∑"/>
                        <m:limLoc m:val="undOvr"/>
                        <m:supHide m:val="1"/>
                        <m:ctrlPr>
                          <w:rPr>
                            <w:rFonts w:ascii="Cambria Math" w:hAnsi="Cambria Math" w:cs="Arial"/>
                            <w:i/>
                            <w:noProof/>
                          </w:rPr>
                        </m:ctrlPr>
                      </m:naryPr>
                      <m:sub>
                        <m:r>
                          <w:rPr>
                            <w:rFonts w:ascii="Cambria Math" w:hAnsi="Cambria Math" w:cs="Arial"/>
                            <w:noProof/>
                          </w:rPr>
                          <m:t>i∈</m:t>
                        </m:r>
                        <m:sSub>
                          <m:sSubPr>
                            <m:ctrlPr>
                              <w:rPr>
                                <w:rFonts w:ascii="Cambria Math" w:hAnsi="Cambria Math" w:cs="Arial"/>
                                <w:i/>
                                <w:noProof/>
                              </w:rPr>
                            </m:ctrlPr>
                          </m:sSubPr>
                          <m:e>
                            <m:r>
                              <w:rPr>
                                <w:rFonts w:ascii="Cambria Math" w:hAnsi="Cambria Math" w:cs="Arial"/>
                                <w:noProof/>
                              </w:rPr>
                              <m:t>C</m:t>
                            </m:r>
                          </m:e>
                          <m:sub>
                            <m:r>
                              <w:rPr>
                                <w:rFonts w:ascii="Cambria Math" w:hAnsi="Cambria Math" w:cs="Arial"/>
                                <w:noProof/>
                              </w:rPr>
                              <m:t>k1</m:t>
                            </m:r>
                          </m:sub>
                        </m:sSub>
                        <m:r>
                          <w:rPr>
                            <w:rFonts w:ascii="Cambria Math" w:hAnsi="Cambria Math" w:cs="Arial"/>
                            <w:noProof/>
                          </w:rPr>
                          <m:t>j∈</m:t>
                        </m:r>
                        <m:sSub>
                          <m:sSubPr>
                            <m:ctrlPr>
                              <w:rPr>
                                <w:rFonts w:ascii="Cambria Math" w:hAnsi="Cambria Math" w:cs="Arial"/>
                                <w:i/>
                                <w:noProof/>
                              </w:rPr>
                            </m:ctrlPr>
                          </m:sSubPr>
                          <m:e>
                            <m:r>
                              <w:rPr>
                                <w:rFonts w:ascii="Cambria Math" w:hAnsi="Cambria Math" w:cs="Arial"/>
                                <w:noProof/>
                              </w:rPr>
                              <m:t>C</m:t>
                            </m:r>
                          </m:e>
                          <m:sub>
                            <m:r>
                              <w:rPr>
                                <w:rFonts w:ascii="Cambria Math" w:hAnsi="Cambria Math" w:cs="Arial"/>
                                <w:noProof/>
                              </w:rPr>
                              <m:t>k2</m:t>
                            </m:r>
                          </m:sub>
                        </m:sSub>
                      </m:sub>
                      <m:sup/>
                      <m:e>
                        <m:sSub>
                          <m:sSubPr>
                            <m:ctrlPr>
                              <w:rPr>
                                <w:rFonts w:ascii="Cambria Math" w:hAnsi="Cambria Math" w:cs="Arial"/>
                                <w:i/>
                                <w:noProof/>
                              </w:rPr>
                            </m:ctrlPr>
                          </m:sSubPr>
                          <m:e>
                            <m:r>
                              <w:rPr>
                                <w:rFonts w:ascii="Cambria Math" w:hAnsi="Cambria Math" w:cs="Arial"/>
                                <w:noProof/>
                              </w:rPr>
                              <m:t>P</m:t>
                            </m:r>
                          </m:e>
                          <m:sub>
                            <m:r>
                              <w:rPr>
                                <w:rFonts w:ascii="Cambria Math" w:hAnsi="Cambria Math" w:cs="Arial"/>
                                <w:noProof/>
                              </w:rPr>
                              <m:t>ij</m:t>
                            </m:r>
                          </m:sub>
                        </m:sSub>
                      </m:e>
                    </m:nary>
                  </m:num>
                  <m:den>
                    <m:d>
                      <m:dPr>
                        <m:begChr m:val="|"/>
                        <m:endChr m:val="|"/>
                        <m:ctrlPr>
                          <w:rPr>
                            <w:rFonts w:ascii="Cambria Math" w:hAnsi="Cambria Math" w:cs="Arial"/>
                            <w:i/>
                            <w:noProof/>
                          </w:rPr>
                        </m:ctrlPr>
                      </m:dPr>
                      <m:e>
                        <m:sSub>
                          <m:sSubPr>
                            <m:ctrlPr>
                              <w:rPr>
                                <w:rFonts w:ascii="Cambria Math" w:hAnsi="Cambria Math" w:cs="Arial"/>
                                <w:i/>
                                <w:noProof/>
                              </w:rPr>
                            </m:ctrlPr>
                          </m:sSubPr>
                          <m:e>
                            <m:r>
                              <w:rPr>
                                <w:rFonts w:ascii="Cambria Math" w:hAnsi="Cambria Math" w:cs="Arial"/>
                                <w:noProof/>
                              </w:rPr>
                              <m:t>C</m:t>
                            </m:r>
                          </m:e>
                          <m:sub>
                            <m:r>
                              <w:rPr>
                                <w:rFonts w:ascii="Cambria Math" w:hAnsi="Cambria Math" w:cs="Arial"/>
                                <w:noProof/>
                              </w:rPr>
                              <m:t>k1</m:t>
                            </m:r>
                          </m:sub>
                        </m:sSub>
                      </m:e>
                    </m:d>
                    <m:r>
                      <w:rPr>
                        <w:rFonts w:ascii="Cambria Math" w:hAnsi="Cambria Math" w:cs="Arial"/>
                        <w:noProof/>
                      </w:rPr>
                      <m:t>|</m:t>
                    </m:r>
                    <m:sSub>
                      <m:sSubPr>
                        <m:ctrlPr>
                          <w:rPr>
                            <w:rFonts w:ascii="Cambria Math" w:hAnsi="Cambria Math" w:cs="Arial"/>
                            <w:i/>
                            <w:noProof/>
                          </w:rPr>
                        </m:ctrlPr>
                      </m:sSubPr>
                      <m:e>
                        <m:r>
                          <w:rPr>
                            <w:rFonts w:ascii="Cambria Math" w:hAnsi="Cambria Math" w:cs="Arial"/>
                            <w:noProof/>
                          </w:rPr>
                          <m:t>C</m:t>
                        </m:r>
                      </m:e>
                      <m:sub>
                        <m:r>
                          <w:rPr>
                            <w:rFonts w:ascii="Cambria Math" w:hAnsi="Cambria Math" w:cs="Arial"/>
                            <w:noProof/>
                          </w:rPr>
                          <m:t>k2</m:t>
                        </m:r>
                      </m:sub>
                    </m:sSub>
                    <m:r>
                      <w:rPr>
                        <w:rFonts w:ascii="Cambria Math" w:hAnsi="Cambria Math" w:cs="Arial"/>
                        <w:noProof/>
                      </w:rPr>
                      <m:t>|</m:t>
                    </m:r>
                  </m:den>
                </m:f>
              </m:oMath>
            </m:oMathPara>
          </w:p>
          <w:p w14:paraId="13802F9B" w14:textId="77777777" w:rsidR="00371F14" w:rsidRPr="00082EF6" w:rsidRDefault="00371F14" w:rsidP="0041673E">
            <w:pPr>
              <w:spacing w:after="120"/>
              <w:jc w:val="both"/>
              <w:rPr>
                <w:rFonts w:ascii="Arial" w:hAnsi="Arial" w:cs="Arial"/>
                <w:noProof/>
              </w:rPr>
            </w:pPr>
          </w:p>
        </w:tc>
        <w:tc>
          <w:tcPr>
            <w:tcW w:w="2880" w:type="dxa"/>
            <w:vAlign w:val="center"/>
          </w:tcPr>
          <w:p w14:paraId="37AF055B" w14:textId="77777777" w:rsidR="00371F14" w:rsidRPr="00082EF6" w:rsidRDefault="00371F14" w:rsidP="0041673E">
            <w:pPr>
              <w:tabs>
                <w:tab w:val="left" w:pos="3316"/>
                <w:tab w:val="center" w:pos="4666"/>
                <w:tab w:val="right" w:pos="9500"/>
              </w:tabs>
              <w:spacing w:after="120"/>
              <w:jc w:val="both"/>
              <w:rPr>
                <w:rFonts w:ascii="Arial" w:hAnsi="Arial" w:cs="Arial"/>
                <w:noProof/>
              </w:rPr>
            </w:pPr>
            <w:r w:rsidRPr="00082EF6">
              <w:rPr>
                <w:rFonts w:ascii="Arial" w:hAnsi="Arial" w:cs="Arial"/>
                <w:noProof/>
              </w:rPr>
              <w:t>(2)</w:t>
            </w:r>
          </w:p>
        </w:tc>
      </w:tr>
    </w:tbl>
    <w:p w14:paraId="0B8ECB06" w14:textId="77777777" w:rsidR="00371F14" w:rsidRPr="00082EF6" w:rsidRDefault="00371F14" w:rsidP="00371F14">
      <w:pPr>
        <w:spacing w:after="120"/>
        <w:jc w:val="both"/>
        <w:rPr>
          <w:rFonts w:ascii="Arial" w:hAnsi="Arial" w:cs="Arial"/>
          <w:noProof/>
        </w:rPr>
      </w:pPr>
      <w:r w:rsidRPr="00082EF6">
        <w:rPr>
          <w:rFonts w:ascii="Arial" w:hAnsi="Arial" w:cs="Arial"/>
          <w:noProof/>
        </w:rPr>
        <w:t xml:space="preserve">The |Ck | in equation 2 is the number of nodes in the </w:t>
      </w:r>
      <w:r>
        <w:rPr>
          <w:rFonts w:ascii="Arial" w:hAnsi="Arial" w:cs="Arial"/>
          <w:noProof/>
        </w:rPr>
        <w:t>cortex</w:t>
      </w:r>
      <w:r w:rsidRPr="00082EF6">
        <w:rPr>
          <w:rFonts w:ascii="Arial" w:hAnsi="Arial" w:cs="Arial"/>
          <w:noProof/>
        </w:rPr>
        <w:t xml:space="preserve"> Ck, and k1 ≠ k2. </w:t>
      </w:r>
    </w:p>
    <w:p w14:paraId="000F63E6" w14:textId="77777777" w:rsidR="00371F14" w:rsidRDefault="00371F14" w:rsidP="00371F14">
      <w:pPr>
        <w:spacing w:after="120"/>
        <w:jc w:val="both"/>
        <w:rPr>
          <w:rFonts w:ascii="Arial" w:eastAsia="Times New Roman" w:hAnsi="Arial" w:cs="Arial"/>
          <w:color w:val="000000" w:themeColor="text1"/>
          <w:shd w:val="clear" w:color="auto" w:fill="FCFCFC"/>
        </w:rPr>
      </w:pPr>
      <w:r w:rsidRPr="00082EF6">
        <w:rPr>
          <w:rFonts w:ascii="Arial" w:hAnsi="Arial" w:cs="Arial"/>
          <w:noProof/>
        </w:rPr>
        <w:t>By setting k1=k2 in equation 2, the average recruitment of a single group to the task is calculated. The average integration between two separate groups is calculated using the normalized interaction between the two groups (k1 ≠ k2). Integration and recruitment features were extracted using the MAM matrix and the Network Community Toolbox (</w:t>
      </w:r>
      <w:hyperlink r:id="rId9" w:history="1">
        <w:r w:rsidRPr="00082EF6">
          <w:rPr>
            <w:rFonts w:ascii="Arial" w:hAnsi="Arial" w:cs="Arial"/>
            <w:noProof/>
          </w:rPr>
          <w:t>http://commdetect.weebly.com/</w:t>
        </w:r>
      </w:hyperlink>
      <w:r w:rsidRPr="00082EF6">
        <w:rPr>
          <w:rFonts w:ascii="Arial" w:hAnsi="Arial" w:cs="Arial"/>
          <w:noProof/>
        </w:rPr>
        <w:t>)</w:t>
      </w:r>
      <w:r w:rsidRPr="00082EF6">
        <w:rPr>
          <w:rFonts w:ascii="Arial" w:hAnsi="Arial" w:cs="Arial"/>
          <w:color w:val="000000" w:themeColor="text1"/>
        </w:rPr>
        <w:t xml:space="preserve"> </w:t>
      </w:r>
      <w:r w:rsidRPr="00082EF6">
        <w:rPr>
          <w:rFonts w:ascii="Arial" w:hAnsi="Arial" w:cs="Arial"/>
          <w:color w:val="000000" w:themeColor="text1"/>
        </w:rPr>
        <w:fldChar w:fldCharType="begin"/>
      </w:r>
      <w:r>
        <w:rPr>
          <w:rFonts w:ascii="Arial" w:hAnsi="Arial" w:cs="Arial"/>
          <w:color w:val="000000" w:themeColor="text1"/>
        </w:rPr>
        <w:instrText xml:space="preserve"> ADDIN EN.CITE &lt;EndNote&gt;&lt;Cite&gt;&lt;Author&gt;Bassett&lt;/Author&gt;&lt;Year&gt;2015&lt;/Year&gt;&lt;RecNum&gt;588&lt;/RecNum&gt;&lt;DisplayText&gt;[34, 35]&lt;/DisplayText&gt;&lt;record&gt;&lt;rec-number&gt;588&lt;/rec-number&gt;&lt;foreign-keys&gt;&lt;key app="EN" db-id="2vv5xe9dna59ffexf9lpvxdmzt2dvsd25tat" timestamp="1674770387"&gt;588&lt;/key&gt;&lt;/foreign-keys&gt;&lt;ref-type name="Journal Article"&gt;17&lt;/ref-type&gt;&lt;contributors&gt;&lt;authors&gt;&lt;author&gt;Bassett, Danielle S&lt;/author&gt;&lt;author&gt;Yang, Muzhi&lt;/author&gt;&lt;author&gt;Wymbs, Nicholas F&lt;/author&gt;&lt;author&gt;Grafton, Scott T&lt;/author&gt;&lt;/authors&gt;&lt;/contributors&gt;&lt;titles&gt;&lt;title&gt;Learning-induced autonomy of sensorimotor systems&lt;/title&gt;&lt;secondary-title&gt;Nature neuroscience&lt;/secondary-title&gt;&lt;/titles&gt;&lt;periodical&gt;&lt;full-title&gt;Nature neuroscience&lt;/full-title&gt;&lt;/periodical&gt;&lt;pages&gt;744-751&lt;/pages&gt;&lt;volume&gt;18&lt;/volume&gt;&lt;number&gt;5&lt;/number&gt;&lt;dates&gt;&lt;year&gt;2015&lt;/year&gt;&lt;/dates&gt;&lt;isbn&gt;1097-6256&lt;/isbn&gt;&lt;urls&gt;&lt;/urls&gt;&lt;/record&gt;&lt;/Cite&gt;&lt;Cite&gt;&lt;Author&gt;Mattar&lt;/Author&gt;&lt;Year&gt;2015&lt;/Year&gt;&lt;RecNum&gt;589&lt;/RecNum&gt;&lt;record&gt;&lt;rec-number&gt;589&lt;/rec-number&gt;&lt;foreign-keys&gt;&lt;key app="EN" db-id="2vv5xe9dna59ffexf9lpvxdmzt2dvsd25tat" timestamp="1674770407"&gt;589&lt;/key&gt;&lt;/foreign-keys&gt;&lt;ref-type name="Journal Article"&gt;17&lt;/ref-type&gt;&lt;contributors&gt;&lt;authors&gt;&lt;author&gt;Mattar, Marcelo G&lt;/author&gt;&lt;author&gt;Cole, Michael W&lt;/author&gt;&lt;author&gt;Thompson-Schill, Sharon L&lt;/author&gt;&lt;author&gt;Bassett, Danielle S&lt;/author&gt;&lt;/authors&gt;&lt;/contributors&gt;&lt;titles&gt;&lt;title&gt;A functional cartography of cognitive systems&lt;/title&gt;&lt;secondary-title&gt;PLoS computational biology&lt;/secondary-title&gt;&lt;/titles&gt;&lt;periodical&gt;&lt;full-title&gt;PLoS computational biology&lt;/full-title&gt;&lt;/periodical&gt;&lt;pages&gt;e1004533&lt;/pages&gt;&lt;volume&gt;11&lt;/volume&gt;&lt;number&gt;12&lt;/number&gt;&lt;dates&gt;&lt;year&gt;2015&lt;/year&gt;&lt;/dates&gt;&lt;isbn&gt;1553-734X&lt;/isbn&gt;&lt;urls&gt;&lt;/urls&gt;&lt;/record&gt;&lt;/Cite&gt;&lt;/EndNote&gt;</w:instrText>
      </w:r>
      <w:r w:rsidRPr="00082EF6">
        <w:rPr>
          <w:rFonts w:ascii="Arial" w:hAnsi="Arial" w:cs="Arial"/>
          <w:color w:val="000000" w:themeColor="text1"/>
        </w:rPr>
        <w:fldChar w:fldCharType="separate"/>
      </w:r>
      <w:r>
        <w:rPr>
          <w:rFonts w:ascii="Arial" w:hAnsi="Arial" w:cs="Arial"/>
          <w:noProof/>
          <w:color w:val="000000" w:themeColor="text1"/>
        </w:rPr>
        <w:t>[34, 35]</w:t>
      </w:r>
      <w:r w:rsidRPr="00082EF6">
        <w:rPr>
          <w:rFonts w:ascii="Arial" w:hAnsi="Arial" w:cs="Arial"/>
          <w:color w:val="000000" w:themeColor="text1"/>
        </w:rPr>
        <w:fldChar w:fldCharType="end"/>
      </w:r>
      <w:r w:rsidRPr="00082EF6">
        <w:rPr>
          <w:rFonts w:ascii="Arial" w:hAnsi="Arial" w:cs="Arial"/>
          <w:noProof/>
        </w:rPr>
        <w:t>. The Pij in equation (2) are elements of MAM.</w:t>
      </w:r>
    </w:p>
    <w:p w14:paraId="6978234D" w14:textId="77777777" w:rsidR="00371F14" w:rsidRPr="00CC15DA" w:rsidRDefault="00371F14" w:rsidP="00371F14">
      <w:r w:rsidRPr="0089427E">
        <w:rPr>
          <w:rFonts w:ascii="Arial" w:hAnsi="Arial" w:cs="Arial"/>
        </w:rPr>
        <w:t>Finally, the average of these features across channels within each cortex</w:t>
      </w:r>
      <w:r>
        <w:rPr>
          <w:rFonts w:ascii="Arial" w:hAnsi="Arial" w:cs="Arial"/>
        </w:rPr>
        <w:t xml:space="preserve"> was calculated</w:t>
      </w:r>
      <w:r w:rsidRPr="0089427E">
        <w:rPr>
          <w:rFonts w:ascii="Arial" w:hAnsi="Arial" w:cs="Arial"/>
        </w:rPr>
        <w:t>, resulting in 4 integration and 4 recruitment features.</w:t>
      </w:r>
    </w:p>
    <w:p w14:paraId="59B3E8E6" w14:textId="74B2F0E6" w:rsidR="00140983" w:rsidRPr="00371F14" w:rsidRDefault="00140983" w:rsidP="00371F14"/>
    <w:sectPr w:rsidR="00140983" w:rsidRPr="00371F1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94310" w14:textId="77777777" w:rsidR="002C0D8B" w:rsidRDefault="002C0D8B">
      <w:pPr>
        <w:spacing w:after="0" w:line="240" w:lineRule="auto"/>
      </w:pPr>
      <w:r>
        <w:separator/>
      </w:r>
    </w:p>
  </w:endnote>
  <w:endnote w:type="continuationSeparator" w:id="0">
    <w:p w14:paraId="0667388C" w14:textId="77777777" w:rsidR="002C0D8B" w:rsidRDefault="002C0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850795"/>
      <w:docPartObj>
        <w:docPartGallery w:val="Page Numbers (Bottom of Page)"/>
        <w:docPartUnique/>
      </w:docPartObj>
    </w:sdtPr>
    <w:sdtEndPr>
      <w:rPr>
        <w:noProof/>
      </w:rPr>
    </w:sdtEndPr>
    <w:sdtContent>
      <w:p w14:paraId="269A2D40" w14:textId="77777777" w:rsidR="001F7FBA" w:rsidRDefault="00DA33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C6AB5F" w14:textId="77777777" w:rsidR="001F7FBA"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D5F36" w14:textId="77777777" w:rsidR="002C0D8B" w:rsidRDefault="002C0D8B">
      <w:pPr>
        <w:spacing w:after="0" w:line="240" w:lineRule="auto"/>
      </w:pPr>
      <w:r>
        <w:separator/>
      </w:r>
    </w:p>
  </w:footnote>
  <w:footnote w:type="continuationSeparator" w:id="0">
    <w:p w14:paraId="6E60C292" w14:textId="77777777" w:rsidR="002C0D8B" w:rsidRDefault="002C0D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DA335C"/>
    <w:rsid w:val="00114AE3"/>
    <w:rsid w:val="00132EC8"/>
    <w:rsid w:val="001332E8"/>
    <w:rsid w:val="00140983"/>
    <w:rsid w:val="00146AFA"/>
    <w:rsid w:val="00191767"/>
    <w:rsid w:val="00202D07"/>
    <w:rsid w:val="00271EB2"/>
    <w:rsid w:val="0028212C"/>
    <w:rsid w:val="002A40E8"/>
    <w:rsid w:val="002B25AD"/>
    <w:rsid w:val="002C0D8B"/>
    <w:rsid w:val="002C20DD"/>
    <w:rsid w:val="002D4CA0"/>
    <w:rsid w:val="002E6A6A"/>
    <w:rsid w:val="00302B35"/>
    <w:rsid w:val="00371F14"/>
    <w:rsid w:val="004C1F0C"/>
    <w:rsid w:val="00514015"/>
    <w:rsid w:val="00547786"/>
    <w:rsid w:val="005C74F8"/>
    <w:rsid w:val="00734D99"/>
    <w:rsid w:val="007950B7"/>
    <w:rsid w:val="007A2EF8"/>
    <w:rsid w:val="0084323C"/>
    <w:rsid w:val="00852013"/>
    <w:rsid w:val="00974ABE"/>
    <w:rsid w:val="00AA02DC"/>
    <w:rsid w:val="00B067B6"/>
    <w:rsid w:val="00BA2457"/>
    <w:rsid w:val="00C006C3"/>
    <w:rsid w:val="00C925D9"/>
    <w:rsid w:val="00CC15DA"/>
    <w:rsid w:val="00D26CAF"/>
    <w:rsid w:val="00DA335C"/>
    <w:rsid w:val="00DB2B36"/>
    <w:rsid w:val="00E57F87"/>
    <w:rsid w:val="00F71898"/>
    <w:rsid w:val="00F80587"/>
    <w:rsid w:val="00F81300"/>
    <w:rsid w:val="00F82AB6"/>
    <w:rsid w:val="00FA72D3"/>
    <w:rsid w:val="00FC5D01"/>
    <w:rsid w:val="00FD72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2176A"/>
  <w15:chartTrackingRefBased/>
  <w15:docId w15:val="{0E0C8ED0-922A-4F74-BA7A-05EA93BAF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5DA"/>
  </w:style>
  <w:style w:type="paragraph" w:styleId="Heading2">
    <w:name w:val="heading 2"/>
    <w:basedOn w:val="Normal"/>
    <w:next w:val="Normal"/>
    <w:link w:val="Heading2Char"/>
    <w:uiPriority w:val="9"/>
    <w:unhideWhenUsed/>
    <w:qFormat/>
    <w:rsid w:val="00DA33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A335C"/>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DA33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35C"/>
  </w:style>
  <w:style w:type="table" w:styleId="TableGrid">
    <w:name w:val="Table Grid"/>
    <w:basedOn w:val="TableNormal"/>
    <w:uiPriority w:val="59"/>
    <w:rsid w:val="00DA33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82AB6"/>
    <w:rPr>
      <w:color w:val="0563C1" w:themeColor="hyperlink"/>
      <w:u w:val="single"/>
    </w:rPr>
  </w:style>
  <w:style w:type="character" w:styleId="UnresolvedMention">
    <w:name w:val="Unresolved Mention"/>
    <w:basedOn w:val="DefaultParagraphFont"/>
    <w:uiPriority w:val="99"/>
    <w:semiHidden/>
    <w:unhideWhenUsed/>
    <w:rsid w:val="00734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mmdetect.weebly.com/" TargetMode="External"/><Relationship Id="rId3" Type="http://schemas.openxmlformats.org/officeDocument/2006/relationships/webSettings" Target="webSettings.xml"/><Relationship Id="rId7" Type="http://schemas.openxmlformats.org/officeDocument/2006/relationships/hyperlink" Target="http://www.brainm.com/software/pubs/dg/BA_10-20_ROI_Talairach/"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mriconsulting.com/brodmann/Interact.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commdetect.weeb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3925</Words>
  <Characters>22651</Characters>
  <Application>Microsoft Office Word</Application>
  <DocSecurity>0</DocSecurity>
  <Lines>338</Lines>
  <Paragraphs>95</Paragraphs>
  <ScaleCrop>false</ScaleCrop>
  <Company/>
  <LinksUpToDate>false</LinksUpToDate>
  <CharactersWithSpaces>26481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Besharat Shafiei, Somayeh</dc:creator>
  <cp:keywords/>
  <dc:description/>
  <cp:lastModifiedBy>Somayeh BS</cp:lastModifiedBy>
  <cp:revision>41</cp:revision>
  <dcterms:created xsi:type="dcterms:W3CDTF">2023-05-04T17:45:00Z</dcterms:created>
  <dcterms:modified xsi:type="dcterms:W3CDTF">2023-07-18T05:12:00Z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152386ce56886ec188a8e1845726f9d53519d5d9571029642608d27dc35dbd18</vt:lpwstr>
  </property>
</Properties>
</file>