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DEFFD" w14:textId="77777777" w:rsidR="008B5046" w:rsidRDefault="008B5046" w:rsidP="008B5046">
      <w:pPr>
        <w:spacing w:line="360" w:lineRule="auto"/>
        <w:rPr>
          <w:rFonts w:ascii="Times New Roman" w:eastAsia="Times New Roman" w:hAnsi="Times New Roman" w:cs="Times New Roman"/>
          <w:b/>
          <w:bCs/>
        </w:rPr>
      </w:pPr>
    </w:p>
    <w:p w14:paraId="70ECADC0" w14:textId="52182059" w:rsidR="008B5046" w:rsidRDefault="008B5046" w:rsidP="008B5046">
      <w:pPr>
        <w:spacing w:line="360" w:lineRule="auto"/>
        <w:rPr>
          <w:rFonts w:ascii="Times New Roman" w:eastAsia="Times New Roman" w:hAnsi="Times New Roman" w:cs="Times New Roman"/>
        </w:rPr>
      </w:pPr>
      <w:r w:rsidRPr="30AA5618">
        <w:rPr>
          <w:rFonts w:ascii="Times New Roman" w:eastAsia="Times New Roman" w:hAnsi="Times New Roman" w:cs="Times New Roman"/>
          <w:b/>
          <w:bCs/>
        </w:rPr>
        <w:t xml:space="preserve">Supplementary item </w:t>
      </w:r>
      <w:r>
        <w:rPr>
          <w:rFonts w:ascii="Times New Roman" w:eastAsia="Times New Roman" w:hAnsi="Times New Roman" w:cs="Times New Roman"/>
          <w:b/>
          <w:bCs/>
        </w:rPr>
        <w:t>V</w:t>
      </w:r>
      <w:r w:rsidR="00822532">
        <w:rPr>
          <w:rFonts w:ascii="Times New Roman" w:eastAsia="Times New Roman" w:hAnsi="Times New Roman" w:cs="Times New Roman"/>
          <w:b/>
          <w:bCs/>
        </w:rPr>
        <w:t>I</w:t>
      </w:r>
      <w:r w:rsidRPr="30AA5618">
        <w:rPr>
          <w:rFonts w:ascii="Times New Roman" w:eastAsia="Times New Roman" w:hAnsi="Times New Roman" w:cs="Times New Roman"/>
          <w:b/>
          <w:bCs/>
        </w:rPr>
        <w:t>:</w:t>
      </w:r>
      <w:r w:rsidRPr="30AA5618">
        <w:rPr>
          <w:rFonts w:ascii="Times New Roman" w:eastAsia="Times New Roman" w:hAnsi="Times New Roman" w:cs="Times New Roman"/>
        </w:rPr>
        <w:t xml:space="preserve"> Summary of overall postoperative complications after insulinoma enucleation</w:t>
      </w:r>
    </w:p>
    <w:tbl>
      <w:tblPr>
        <w:tblStyle w:val="ListTable2-Accent4"/>
        <w:tblW w:w="5925" w:type="dxa"/>
        <w:tblLayout w:type="fixed"/>
        <w:tblLook w:val="04A0" w:firstRow="1" w:lastRow="0" w:firstColumn="1" w:lastColumn="0" w:noHBand="0" w:noVBand="1"/>
      </w:tblPr>
      <w:tblGrid>
        <w:gridCol w:w="4110"/>
        <w:gridCol w:w="1815"/>
      </w:tblGrid>
      <w:tr w:rsidR="008B5046" w14:paraId="1B4B519F" w14:textId="77777777" w:rsidTr="000C58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0" w:type="dxa"/>
            <w:tcMar>
              <w:left w:w="108" w:type="dxa"/>
              <w:right w:w="108" w:type="dxa"/>
            </w:tcMar>
            <w:vAlign w:val="center"/>
          </w:tcPr>
          <w:p w14:paraId="42D28DB8" w14:textId="77777777" w:rsidR="008B5046" w:rsidRDefault="008B5046" w:rsidP="000C585E">
            <w:pPr>
              <w:jc w:val="center"/>
            </w:pPr>
            <w:r w:rsidRPr="0B553C28">
              <w:rPr>
                <w:rFonts w:ascii="Calibri" w:eastAsia="Calibri" w:hAnsi="Calibri" w:cs="Calibri"/>
                <w:color w:val="2E74B5"/>
                <w:sz w:val="22"/>
                <w:szCs w:val="22"/>
                <w:vertAlign w:val="superscript"/>
              </w:rPr>
              <w:t>Post-enucleation complications</w:t>
            </w:r>
          </w:p>
        </w:tc>
        <w:tc>
          <w:tcPr>
            <w:tcW w:w="1815" w:type="dxa"/>
            <w:tcMar>
              <w:left w:w="108" w:type="dxa"/>
              <w:right w:w="108" w:type="dxa"/>
            </w:tcMar>
            <w:vAlign w:val="center"/>
          </w:tcPr>
          <w:p w14:paraId="2293A622" w14:textId="77777777" w:rsidR="008B5046" w:rsidRDefault="008B5046" w:rsidP="000C58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B553C28">
              <w:rPr>
                <w:rFonts w:ascii="Calibri" w:eastAsia="Calibri" w:hAnsi="Calibri" w:cs="Calibri"/>
                <w:color w:val="2E74B5"/>
                <w:sz w:val="22"/>
                <w:szCs w:val="22"/>
                <w:vertAlign w:val="superscript"/>
              </w:rPr>
              <w:t xml:space="preserve">n </w:t>
            </w:r>
          </w:p>
          <w:p w14:paraId="15593B79" w14:textId="77777777" w:rsidR="008B5046" w:rsidRDefault="008B5046" w:rsidP="000C58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bCs w:val="0"/>
                <w:color w:val="2E74B5"/>
                <w:sz w:val="22"/>
                <w:szCs w:val="22"/>
                <w:vertAlign w:val="superscript"/>
              </w:rPr>
            </w:pPr>
            <w:r w:rsidRPr="0B553C28">
              <w:rPr>
                <w:rFonts w:ascii="Calibri" w:eastAsia="Calibri" w:hAnsi="Calibri" w:cs="Calibri"/>
                <w:color w:val="2E74B5"/>
                <w:sz w:val="22"/>
                <w:szCs w:val="22"/>
                <w:vertAlign w:val="superscript"/>
              </w:rPr>
              <w:t xml:space="preserve">(n = 325) </w:t>
            </w:r>
          </w:p>
        </w:tc>
      </w:tr>
      <w:tr w:rsidR="008B5046" w14:paraId="0C106D75" w14:textId="77777777" w:rsidTr="000C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0" w:type="dxa"/>
            <w:tcMar>
              <w:left w:w="108" w:type="dxa"/>
              <w:right w:w="108" w:type="dxa"/>
            </w:tcMar>
            <w:vAlign w:val="center"/>
          </w:tcPr>
          <w:p w14:paraId="3387113C" w14:textId="77777777" w:rsidR="008B5046" w:rsidRDefault="008B5046" w:rsidP="000C585E">
            <w:pPr>
              <w:rPr>
                <w:rFonts w:ascii="Calibri" w:eastAsia="Calibri" w:hAnsi="Calibri" w:cs="Calibri"/>
                <w:color w:val="2E74B5"/>
                <w:sz w:val="22"/>
                <w:szCs w:val="22"/>
                <w:vertAlign w:val="superscript"/>
              </w:rPr>
            </w:pPr>
            <w:r w:rsidRPr="0B553C28">
              <w:rPr>
                <w:rFonts w:ascii="Calibri" w:eastAsia="Calibri" w:hAnsi="Calibri" w:cs="Calibri"/>
                <w:color w:val="2E74B5"/>
                <w:sz w:val="22"/>
                <w:szCs w:val="22"/>
                <w:vertAlign w:val="superscript"/>
              </w:rPr>
              <w:t xml:space="preserve">Biochemical leak </w:t>
            </w:r>
          </w:p>
        </w:tc>
        <w:tc>
          <w:tcPr>
            <w:tcW w:w="1815" w:type="dxa"/>
            <w:tcMar>
              <w:left w:w="108" w:type="dxa"/>
              <w:right w:w="108" w:type="dxa"/>
            </w:tcMar>
            <w:vAlign w:val="center"/>
          </w:tcPr>
          <w:p w14:paraId="5FAD07C8" w14:textId="77777777" w:rsidR="008B5046" w:rsidRDefault="008B5046" w:rsidP="000C5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2E74B5"/>
                <w:sz w:val="22"/>
                <w:szCs w:val="22"/>
                <w:vertAlign w:val="superscript"/>
              </w:rPr>
            </w:pPr>
            <w:r w:rsidRPr="0B553C28">
              <w:rPr>
                <w:rFonts w:ascii="Calibri" w:eastAsia="Calibri" w:hAnsi="Calibri" w:cs="Calibri"/>
                <w:color w:val="2E74B5"/>
                <w:sz w:val="22"/>
                <w:szCs w:val="22"/>
                <w:vertAlign w:val="superscript"/>
              </w:rPr>
              <w:t>84</w:t>
            </w:r>
          </w:p>
        </w:tc>
      </w:tr>
      <w:tr w:rsidR="008B5046" w14:paraId="1DB60246" w14:textId="77777777" w:rsidTr="000C585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0" w:type="dxa"/>
            <w:tcMar>
              <w:left w:w="108" w:type="dxa"/>
              <w:right w:w="108" w:type="dxa"/>
            </w:tcMar>
            <w:vAlign w:val="center"/>
          </w:tcPr>
          <w:p w14:paraId="6D43E742" w14:textId="77777777" w:rsidR="008B5046" w:rsidRDefault="008B5046" w:rsidP="000C585E">
            <w:pPr>
              <w:rPr>
                <w:rFonts w:ascii="Calibri" w:eastAsia="Calibri" w:hAnsi="Calibri" w:cs="Calibri"/>
                <w:color w:val="2E74B5"/>
                <w:sz w:val="22"/>
                <w:szCs w:val="22"/>
                <w:vertAlign w:val="superscript"/>
              </w:rPr>
            </w:pPr>
            <w:r w:rsidRPr="0B553C28">
              <w:rPr>
                <w:rFonts w:ascii="Calibri" w:eastAsia="Calibri" w:hAnsi="Calibri" w:cs="Calibri"/>
                <w:color w:val="2E74B5"/>
                <w:sz w:val="22"/>
                <w:szCs w:val="22"/>
                <w:vertAlign w:val="superscript"/>
              </w:rPr>
              <w:t>Grade B pancreatic fistula</w:t>
            </w:r>
          </w:p>
        </w:tc>
        <w:tc>
          <w:tcPr>
            <w:tcW w:w="1815" w:type="dxa"/>
            <w:tcMar>
              <w:left w:w="108" w:type="dxa"/>
              <w:right w:w="108" w:type="dxa"/>
            </w:tcMar>
            <w:vAlign w:val="center"/>
          </w:tcPr>
          <w:p w14:paraId="610BD34C" w14:textId="77777777" w:rsidR="008B5046" w:rsidRDefault="008B5046" w:rsidP="000C5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2E74B5"/>
                <w:sz w:val="22"/>
                <w:szCs w:val="22"/>
                <w:vertAlign w:val="superscript"/>
              </w:rPr>
            </w:pPr>
            <w:r w:rsidRPr="0B553C28">
              <w:rPr>
                <w:rFonts w:ascii="Calibri" w:eastAsia="Calibri" w:hAnsi="Calibri" w:cs="Calibri"/>
                <w:color w:val="2E74B5"/>
                <w:sz w:val="22"/>
                <w:szCs w:val="22"/>
                <w:vertAlign w:val="superscript"/>
              </w:rPr>
              <w:t>39</w:t>
            </w:r>
          </w:p>
        </w:tc>
      </w:tr>
      <w:tr w:rsidR="008B5046" w14:paraId="54A23A8C" w14:textId="77777777" w:rsidTr="000C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0" w:type="dxa"/>
            <w:tcMar>
              <w:left w:w="108" w:type="dxa"/>
              <w:right w:w="108" w:type="dxa"/>
            </w:tcMar>
            <w:vAlign w:val="center"/>
          </w:tcPr>
          <w:p w14:paraId="6A81EDFA" w14:textId="77777777" w:rsidR="008B5046" w:rsidRDefault="008B5046" w:rsidP="000C585E">
            <w:pPr>
              <w:rPr>
                <w:rFonts w:ascii="Calibri" w:eastAsia="Calibri" w:hAnsi="Calibri" w:cs="Calibri"/>
                <w:color w:val="2E74B5"/>
                <w:sz w:val="22"/>
                <w:szCs w:val="22"/>
                <w:vertAlign w:val="superscript"/>
              </w:rPr>
            </w:pPr>
            <w:r w:rsidRPr="0B553C28">
              <w:rPr>
                <w:rFonts w:ascii="Calibri" w:eastAsia="Calibri" w:hAnsi="Calibri" w:cs="Calibri"/>
                <w:color w:val="2E74B5"/>
                <w:sz w:val="22"/>
                <w:szCs w:val="22"/>
                <w:vertAlign w:val="superscript"/>
              </w:rPr>
              <w:t>Grade C pancreatic fistula</w:t>
            </w:r>
          </w:p>
        </w:tc>
        <w:tc>
          <w:tcPr>
            <w:tcW w:w="1815" w:type="dxa"/>
            <w:tcMar>
              <w:left w:w="108" w:type="dxa"/>
              <w:right w:w="108" w:type="dxa"/>
            </w:tcMar>
            <w:vAlign w:val="center"/>
          </w:tcPr>
          <w:p w14:paraId="159372A7" w14:textId="77777777" w:rsidR="008B5046" w:rsidRDefault="008B5046" w:rsidP="000C5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2E74B5"/>
                <w:sz w:val="22"/>
                <w:szCs w:val="22"/>
                <w:vertAlign w:val="superscript"/>
              </w:rPr>
            </w:pPr>
            <w:r w:rsidRPr="0B553C28">
              <w:rPr>
                <w:rFonts w:ascii="Calibri" w:eastAsia="Calibri" w:hAnsi="Calibri" w:cs="Calibri"/>
                <w:color w:val="2E74B5"/>
                <w:sz w:val="22"/>
                <w:szCs w:val="22"/>
                <w:vertAlign w:val="superscript"/>
              </w:rPr>
              <w:t>7</w:t>
            </w:r>
          </w:p>
        </w:tc>
      </w:tr>
      <w:tr w:rsidR="008B5046" w14:paraId="0A3584F4" w14:textId="77777777" w:rsidTr="000C585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0" w:type="dxa"/>
            <w:tcMar>
              <w:left w:w="108" w:type="dxa"/>
              <w:right w:w="108" w:type="dxa"/>
            </w:tcMar>
            <w:vAlign w:val="center"/>
          </w:tcPr>
          <w:p w14:paraId="6EACEA71" w14:textId="77777777" w:rsidR="008B5046" w:rsidRDefault="008B5046" w:rsidP="000C585E">
            <w:pPr>
              <w:rPr>
                <w:rFonts w:ascii="Calibri" w:eastAsia="Calibri" w:hAnsi="Calibri" w:cs="Calibri"/>
                <w:color w:val="2E74B5"/>
                <w:sz w:val="22"/>
                <w:szCs w:val="22"/>
                <w:vertAlign w:val="superscript"/>
              </w:rPr>
            </w:pPr>
            <w:r>
              <w:rPr>
                <w:rFonts w:ascii="Calibri" w:eastAsia="Calibri" w:hAnsi="Calibri" w:cs="Calibri"/>
                <w:color w:val="2E74B5"/>
                <w:sz w:val="22"/>
                <w:szCs w:val="22"/>
                <w:vertAlign w:val="superscript"/>
              </w:rPr>
              <w:t>Immediate n</w:t>
            </w:r>
            <w:r w:rsidRPr="0B553C28">
              <w:rPr>
                <w:rFonts w:ascii="Calibri" w:eastAsia="Calibri" w:hAnsi="Calibri" w:cs="Calibri"/>
                <w:color w:val="2E74B5"/>
                <w:sz w:val="22"/>
                <w:szCs w:val="22"/>
                <w:vertAlign w:val="superscript"/>
              </w:rPr>
              <w:t>ew-onset diabetes</w:t>
            </w:r>
          </w:p>
        </w:tc>
        <w:tc>
          <w:tcPr>
            <w:tcW w:w="1815" w:type="dxa"/>
            <w:tcMar>
              <w:left w:w="108" w:type="dxa"/>
              <w:right w:w="108" w:type="dxa"/>
            </w:tcMar>
            <w:vAlign w:val="center"/>
          </w:tcPr>
          <w:p w14:paraId="7AAAEC3B" w14:textId="77777777" w:rsidR="008B5046" w:rsidRDefault="008B5046" w:rsidP="000C5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2E74B5"/>
                <w:sz w:val="22"/>
                <w:szCs w:val="22"/>
                <w:vertAlign w:val="superscript"/>
              </w:rPr>
            </w:pPr>
            <w:r w:rsidRPr="0B553C28">
              <w:rPr>
                <w:rFonts w:ascii="Calibri" w:eastAsia="Calibri" w:hAnsi="Calibri" w:cs="Calibri"/>
                <w:color w:val="2E74B5"/>
                <w:sz w:val="22"/>
                <w:szCs w:val="22"/>
                <w:vertAlign w:val="superscript"/>
              </w:rPr>
              <w:t>4</w:t>
            </w:r>
          </w:p>
        </w:tc>
      </w:tr>
      <w:tr w:rsidR="008B5046" w14:paraId="1FC277EF" w14:textId="77777777" w:rsidTr="000C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0" w:type="dxa"/>
            <w:tcMar>
              <w:left w:w="108" w:type="dxa"/>
              <w:right w:w="108" w:type="dxa"/>
            </w:tcMar>
            <w:vAlign w:val="center"/>
          </w:tcPr>
          <w:p w14:paraId="423A3F4F" w14:textId="77777777" w:rsidR="008B5046" w:rsidRDefault="008B5046" w:rsidP="000C585E">
            <w:pPr>
              <w:rPr>
                <w:rFonts w:ascii="Calibri" w:eastAsia="Calibri" w:hAnsi="Calibri" w:cs="Calibri"/>
                <w:color w:val="2E74B5"/>
                <w:sz w:val="22"/>
                <w:szCs w:val="22"/>
                <w:vertAlign w:val="superscript"/>
              </w:rPr>
            </w:pPr>
            <w:r w:rsidRPr="0B553C28">
              <w:rPr>
                <w:rFonts w:ascii="Calibri" w:eastAsia="Calibri" w:hAnsi="Calibri" w:cs="Calibri"/>
                <w:color w:val="2E74B5"/>
                <w:sz w:val="22"/>
                <w:szCs w:val="22"/>
                <w:vertAlign w:val="superscript"/>
              </w:rPr>
              <w:t>Pancreatitis</w:t>
            </w:r>
          </w:p>
        </w:tc>
        <w:tc>
          <w:tcPr>
            <w:tcW w:w="1815" w:type="dxa"/>
            <w:tcMar>
              <w:left w:w="108" w:type="dxa"/>
              <w:right w:w="108" w:type="dxa"/>
            </w:tcMar>
            <w:vAlign w:val="center"/>
          </w:tcPr>
          <w:p w14:paraId="4F9B9C28" w14:textId="77777777" w:rsidR="008B5046" w:rsidRDefault="008B5046" w:rsidP="000C5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2E74B5"/>
                <w:sz w:val="22"/>
                <w:szCs w:val="22"/>
                <w:vertAlign w:val="superscript"/>
              </w:rPr>
            </w:pPr>
            <w:r w:rsidRPr="0B553C28">
              <w:rPr>
                <w:rFonts w:ascii="Calibri" w:eastAsia="Calibri" w:hAnsi="Calibri" w:cs="Calibri"/>
                <w:color w:val="2E74B5"/>
                <w:sz w:val="22"/>
                <w:szCs w:val="22"/>
                <w:vertAlign w:val="superscript"/>
              </w:rPr>
              <w:t>11</w:t>
            </w:r>
          </w:p>
        </w:tc>
      </w:tr>
      <w:tr w:rsidR="008B5046" w14:paraId="573507CC" w14:textId="77777777" w:rsidTr="000C585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0" w:type="dxa"/>
            <w:tcMar>
              <w:left w:w="108" w:type="dxa"/>
              <w:right w:w="108" w:type="dxa"/>
            </w:tcMar>
            <w:vAlign w:val="center"/>
          </w:tcPr>
          <w:p w14:paraId="027FD7A8" w14:textId="77777777" w:rsidR="008B5046" w:rsidRDefault="008B5046" w:rsidP="000C585E">
            <w:pPr>
              <w:rPr>
                <w:rFonts w:ascii="Calibri" w:eastAsia="Calibri" w:hAnsi="Calibri" w:cs="Calibri"/>
                <w:color w:val="2E74B5"/>
                <w:sz w:val="22"/>
                <w:szCs w:val="22"/>
                <w:vertAlign w:val="superscript"/>
              </w:rPr>
            </w:pPr>
            <w:r w:rsidRPr="0B553C28">
              <w:rPr>
                <w:rFonts w:ascii="Calibri" w:eastAsia="Calibri" w:hAnsi="Calibri" w:cs="Calibri"/>
                <w:color w:val="2E74B5"/>
                <w:sz w:val="22"/>
                <w:szCs w:val="22"/>
                <w:vertAlign w:val="superscript"/>
              </w:rPr>
              <w:t xml:space="preserve">Postoperative bleeding </w:t>
            </w:r>
          </w:p>
        </w:tc>
        <w:tc>
          <w:tcPr>
            <w:tcW w:w="1815" w:type="dxa"/>
            <w:tcMar>
              <w:left w:w="108" w:type="dxa"/>
              <w:right w:w="108" w:type="dxa"/>
            </w:tcMar>
            <w:vAlign w:val="center"/>
          </w:tcPr>
          <w:p w14:paraId="7D80F49C" w14:textId="77777777" w:rsidR="008B5046" w:rsidRDefault="008B5046" w:rsidP="000C5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2E74B5"/>
                <w:sz w:val="22"/>
                <w:szCs w:val="22"/>
                <w:vertAlign w:val="superscript"/>
              </w:rPr>
            </w:pPr>
            <w:r w:rsidRPr="0B553C28">
              <w:rPr>
                <w:rFonts w:ascii="Calibri" w:eastAsia="Calibri" w:hAnsi="Calibri" w:cs="Calibri"/>
                <w:color w:val="2E74B5"/>
                <w:sz w:val="22"/>
                <w:szCs w:val="22"/>
                <w:vertAlign w:val="superscript"/>
              </w:rPr>
              <w:t>10</w:t>
            </w:r>
          </w:p>
        </w:tc>
      </w:tr>
      <w:tr w:rsidR="008B5046" w14:paraId="4B701E6D" w14:textId="77777777" w:rsidTr="000C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0" w:type="dxa"/>
            <w:tcMar>
              <w:left w:w="108" w:type="dxa"/>
              <w:right w:w="108" w:type="dxa"/>
            </w:tcMar>
            <w:vAlign w:val="center"/>
          </w:tcPr>
          <w:p w14:paraId="287908EF" w14:textId="77777777" w:rsidR="008B5046" w:rsidRDefault="008B5046" w:rsidP="000C585E">
            <w:pPr>
              <w:rPr>
                <w:rFonts w:ascii="Calibri" w:eastAsia="Calibri" w:hAnsi="Calibri" w:cs="Calibri"/>
                <w:color w:val="2E74B5"/>
                <w:sz w:val="22"/>
                <w:szCs w:val="22"/>
                <w:vertAlign w:val="superscript"/>
              </w:rPr>
            </w:pPr>
            <w:r w:rsidRPr="0B553C28">
              <w:rPr>
                <w:rFonts w:ascii="Calibri" w:eastAsia="Calibri" w:hAnsi="Calibri" w:cs="Calibri"/>
                <w:color w:val="2E74B5"/>
                <w:sz w:val="22"/>
                <w:szCs w:val="22"/>
                <w:vertAlign w:val="superscript"/>
              </w:rPr>
              <w:t>Abdominal collection</w:t>
            </w:r>
          </w:p>
        </w:tc>
        <w:tc>
          <w:tcPr>
            <w:tcW w:w="1815" w:type="dxa"/>
            <w:tcMar>
              <w:left w:w="108" w:type="dxa"/>
              <w:right w:w="108" w:type="dxa"/>
            </w:tcMar>
            <w:vAlign w:val="center"/>
          </w:tcPr>
          <w:p w14:paraId="46587AE9" w14:textId="77777777" w:rsidR="008B5046" w:rsidRDefault="008B5046" w:rsidP="000C5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2E74B5"/>
                <w:sz w:val="22"/>
                <w:szCs w:val="22"/>
                <w:vertAlign w:val="superscript"/>
              </w:rPr>
            </w:pPr>
            <w:r w:rsidRPr="0B553C28">
              <w:rPr>
                <w:rFonts w:ascii="Calibri" w:eastAsia="Calibri" w:hAnsi="Calibri" w:cs="Calibri"/>
                <w:color w:val="2E74B5"/>
                <w:sz w:val="22"/>
                <w:szCs w:val="22"/>
                <w:vertAlign w:val="superscript"/>
              </w:rPr>
              <w:t>21</w:t>
            </w:r>
          </w:p>
        </w:tc>
      </w:tr>
      <w:tr w:rsidR="008B5046" w14:paraId="16BBC185" w14:textId="77777777" w:rsidTr="000C585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0" w:type="dxa"/>
            <w:tcMar>
              <w:left w:w="108" w:type="dxa"/>
              <w:right w:w="108" w:type="dxa"/>
            </w:tcMar>
            <w:vAlign w:val="center"/>
          </w:tcPr>
          <w:p w14:paraId="274C1703" w14:textId="77777777" w:rsidR="008B5046" w:rsidRDefault="008B5046" w:rsidP="000C585E">
            <w:pPr>
              <w:rPr>
                <w:rFonts w:ascii="Calibri" w:eastAsia="Calibri" w:hAnsi="Calibri" w:cs="Calibri"/>
                <w:color w:val="2E74B5"/>
                <w:sz w:val="22"/>
                <w:szCs w:val="22"/>
                <w:vertAlign w:val="superscript"/>
              </w:rPr>
            </w:pPr>
            <w:r w:rsidRPr="0B553C28">
              <w:rPr>
                <w:rFonts w:ascii="Calibri" w:eastAsia="Calibri" w:hAnsi="Calibri" w:cs="Calibri"/>
                <w:color w:val="2E74B5"/>
                <w:sz w:val="22"/>
                <w:szCs w:val="22"/>
                <w:vertAlign w:val="superscript"/>
              </w:rPr>
              <w:t>Delayed gastric emptying</w:t>
            </w:r>
          </w:p>
        </w:tc>
        <w:tc>
          <w:tcPr>
            <w:tcW w:w="1815" w:type="dxa"/>
            <w:tcMar>
              <w:left w:w="108" w:type="dxa"/>
              <w:right w:w="108" w:type="dxa"/>
            </w:tcMar>
            <w:vAlign w:val="center"/>
          </w:tcPr>
          <w:p w14:paraId="2D1B98A5" w14:textId="77777777" w:rsidR="008B5046" w:rsidRDefault="008B5046" w:rsidP="000C5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2E74B5"/>
                <w:sz w:val="22"/>
                <w:szCs w:val="22"/>
                <w:vertAlign w:val="superscript"/>
              </w:rPr>
            </w:pPr>
            <w:r w:rsidRPr="0B553C28">
              <w:rPr>
                <w:rFonts w:ascii="Calibri" w:eastAsia="Calibri" w:hAnsi="Calibri" w:cs="Calibri"/>
                <w:color w:val="2E74B5"/>
                <w:sz w:val="22"/>
                <w:szCs w:val="22"/>
                <w:vertAlign w:val="superscript"/>
              </w:rPr>
              <w:t>7</w:t>
            </w:r>
          </w:p>
        </w:tc>
      </w:tr>
      <w:tr w:rsidR="008B5046" w14:paraId="110D8ABB" w14:textId="77777777" w:rsidTr="000C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0" w:type="dxa"/>
            <w:tcMar>
              <w:left w:w="108" w:type="dxa"/>
              <w:right w:w="108" w:type="dxa"/>
            </w:tcMar>
            <w:vAlign w:val="center"/>
          </w:tcPr>
          <w:p w14:paraId="3BFBBB0C" w14:textId="77777777" w:rsidR="008B5046" w:rsidRDefault="008B5046" w:rsidP="000C585E">
            <w:pPr>
              <w:rPr>
                <w:rFonts w:ascii="Calibri" w:eastAsia="Calibri" w:hAnsi="Calibri" w:cs="Calibri"/>
                <w:color w:val="2E74B5"/>
                <w:sz w:val="22"/>
                <w:szCs w:val="22"/>
                <w:vertAlign w:val="superscript"/>
              </w:rPr>
            </w:pPr>
            <w:r w:rsidRPr="0B553C28">
              <w:rPr>
                <w:rFonts w:ascii="Calibri" w:eastAsia="Calibri" w:hAnsi="Calibri" w:cs="Calibri"/>
                <w:color w:val="2E74B5"/>
                <w:sz w:val="22"/>
                <w:szCs w:val="22"/>
                <w:vertAlign w:val="superscript"/>
              </w:rPr>
              <w:t>Sepsis</w:t>
            </w:r>
          </w:p>
        </w:tc>
        <w:tc>
          <w:tcPr>
            <w:tcW w:w="1815" w:type="dxa"/>
            <w:tcMar>
              <w:left w:w="108" w:type="dxa"/>
              <w:right w:w="108" w:type="dxa"/>
            </w:tcMar>
            <w:vAlign w:val="center"/>
          </w:tcPr>
          <w:p w14:paraId="434389E2" w14:textId="77777777" w:rsidR="008B5046" w:rsidRDefault="008B5046" w:rsidP="000C5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2E74B5"/>
                <w:sz w:val="22"/>
                <w:szCs w:val="22"/>
                <w:vertAlign w:val="superscript"/>
              </w:rPr>
            </w:pPr>
            <w:r w:rsidRPr="0B553C28">
              <w:rPr>
                <w:rFonts w:ascii="Calibri" w:eastAsia="Calibri" w:hAnsi="Calibri" w:cs="Calibri"/>
                <w:color w:val="2E74B5"/>
                <w:sz w:val="22"/>
                <w:szCs w:val="22"/>
                <w:vertAlign w:val="superscript"/>
              </w:rPr>
              <w:t>5</w:t>
            </w:r>
          </w:p>
        </w:tc>
      </w:tr>
      <w:tr w:rsidR="008B5046" w14:paraId="5A89999D" w14:textId="77777777" w:rsidTr="000C585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0" w:type="dxa"/>
            <w:tcMar>
              <w:left w:w="108" w:type="dxa"/>
              <w:right w:w="108" w:type="dxa"/>
            </w:tcMar>
            <w:vAlign w:val="center"/>
          </w:tcPr>
          <w:p w14:paraId="4F8FE36D" w14:textId="77777777" w:rsidR="008B5046" w:rsidRDefault="008B5046" w:rsidP="000C585E">
            <w:pPr>
              <w:rPr>
                <w:rFonts w:ascii="Calibri" w:eastAsia="Calibri" w:hAnsi="Calibri" w:cs="Calibri"/>
                <w:color w:val="2E74B5"/>
                <w:sz w:val="22"/>
                <w:szCs w:val="22"/>
                <w:vertAlign w:val="superscript"/>
              </w:rPr>
            </w:pPr>
            <w:r w:rsidRPr="0B553C28">
              <w:rPr>
                <w:rFonts w:ascii="Calibri" w:eastAsia="Calibri" w:hAnsi="Calibri" w:cs="Calibri"/>
                <w:color w:val="2E74B5"/>
                <w:sz w:val="22"/>
                <w:szCs w:val="22"/>
                <w:vertAlign w:val="superscript"/>
              </w:rPr>
              <w:t>Pulmonary complications</w:t>
            </w:r>
          </w:p>
        </w:tc>
        <w:tc>
          <w:tcPr>
            <w:tcW w:w="1815" w:type="dxa"/>
            <w:tcMar>
              <w:left w:w="108" w:type="dxa"/>
              <w:right w:w="108" w:type="dxa"/>
            </w:tcMar>
            <w:vAlign w:val="center"/>
          </w:tcPr>
          <w:p w14:paraId="5E14AEFA" w14:textId="77777777" w:rsidR="008B5046" w:rsidRDefault="008B5046" w:rsidP="000C5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2E74B5"/>
                <w:sz w:val="22"/>
                <w:szCs w:val="22"/>
                <w:vertAlign w:val="superscript"/>
              </w:rPr>
            </w:pPr>
            <w:r w:rsidRPr="0B553C28">
              <w:rPr>
                <w:rFonts w:ascii="Calibri" w:eastAsia="Calibri" w:hAnsi="Calibri" w:cs="Calibri"/>
                <w:color w:val="2E74B5"/>
                <w:sz w:val="22"/>
                <w:szCs w:val="22"/>
                <w:vertAlign w:val="superscript"/>
              </w:rPr>
              <w:t>8</w:t>
            </w:r>
          </w:p>
        </w:tc>
      </w:tr>
      <w:tr w:rsidR="008B5046" w14:paraId="37C72834" w14:textId="77777777" w:rsidTr="000C5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0" w:type="dxa"/>
            <w:tcMar>
              <w:left w:w="108" w:type="dxa"/>
              <w:right w:w="108" w:type="dxa"/>
            </w:tcMar>
            <w:vAlign w:val="center"/>
          </w:tcPr>
          <w:p w14:paraId="6BD71258" w14:textId="77777777" w:rsidR="008B5046" w:rsidRDefault="008B5046" w:rsidP="000C585E">
            <w:pPr>
              <w:spacing w:line="259" w:lineRule="auto"/>
              <w:rPr>
                <w:rFonts w:ascii="Calibri" w:eastAsia="Calibri" w:hAnsi="Calibri" w:cs="Calibri"/>
                <w:color w:val="2E74B5"/>
                <w:sz w:val="22"/>
                <w:szCs w:val="22"/>
                <w:vertAlign w:val="superscript"/>
              </w:rPr>
            </w:pPr>
            <w:r w:rsidRPr="0B553C28">
              <w:rPr>
                <w:rFonts w:ascii="Calibri" w:eastAsia="Calibri" w:hAnsi="Calibri" w:cs="Calibri"/>
                <w:color w:val="2E74B5"/>
                <w:sz w:val="22"/>
                <w:szCs w:val="22"/>
                <w:vertAlign w:val="superscript"/>
              </w:rPr>
              <w:t>Others</w:t>
            </w:r>
          </w:p>
        </w:tc>
        <w:tc>
          <w:tcPr>
            <w:tcW w:w="1815" w:type="dxa"/>
            <w:tcMar>
              <w:left w:w="108" w:type="dxa"/>
              <w:right w:w="108" w:type="dxa"/>
            </w:tcMar>
            <w:vAlign w:val="center"/>
          </w:tcPr>
          <w:p w14:paraId="34E7B2E7" w14:textId="77777777" w:rsidR="008B5046" w:rsidRDefault="008B5046" w:rsidP="000C5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2E74B5"/>
                <w:sz w:val="22"/>
                <w:szCs w:val="22"/>
                <w:vertAlign w:val="superscript"/>
              </w:rPr>
            </w:pPr>
            <w:r w:rsidRPr="0B553C28">
              <w:rPr>
                <w:rFonts w:ascii="Calibri" w:eastAsia="Calibri" w:hAnsi="Calibri" w:cs="Calibri"/>
                <w:color w:val="2E74B5"/>
                <w:sz w:val="22"/>
                <w:szCs w:val="22"/>
                <w:vertAlign w:val="superscript"/>
              </w:rPr>
              <w:t>129</w:t>
            </w:r>
          </w:p>
        </w:tc>
      </w:tr>
    </w:tbl>
    <w:p w14:paraId="40383118" w14:textId="77777777" w:rsidR="008E5AF2" w:rsidRDefault="008E5AF2"/>
    <w:sectPr w:rsidR="008E5AF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046"/>
    <w:rsid w:val="000036DF"/>
    <w:rsid w:val="00015290"/>
    <w:rsid w:val="000A5774"/>
    <w:rsid w:val="000B184E"/>
    <w:rsid w:val="000D5460"/>
    <w:rsid w:val="001038F1"/>
    <w:rsid w:val="00106EC6"/>
    <w:rsid w:val="001371F5"/>
    <w:rsid w:val="001A10C6"/>
    <w:rsid w:val="001B59DD"/>
    <w:rsid w:val="001B6DA4"/>
    <w:rsid w:val="001F7B95"/>
    <w:rsid w:val="0034453B"/>
    <w:rsid w:val="00392429"/>
    <w:rsid w:val="003956DB"/>
    <w:rsid w:val="003E458B"/>
    <w:rsid w:val="003F31C9"/>
    <w:rsid w:val="00447209"/>
    <w:rsid w:val="004A1907"/>
    <w:rsid w:val="004D010D"/>
    <w:rsid w:val="004D57C6"/>
    <w:rsid w:val="004F1962"/>
    <w:rsid w:val="004F2238"/>
    <w:rsid w:val="00526796"/>
    <w:rsid w:val="005778C6"/>
    <w:rsid w:val="005847BC"/>
    <w:rsid w:val="005E690F"/>
    <w:rsid w:val="0062216F"/>
    <w:rsid w:val="006564E7"/>
    <w:rsid w:val="006920A4"/>
    <w:rsid w:val="00700C93"/>
    <w:rsid w:val="007502D8"/>
    <w:rsid w:val="00751273"/>
    <w:rsid w:val="00785D2F"/>
    <w:rsid w:val="007A4EE9"/>
    <w:rsid w:val="007B3AAE"/>
    <w:rsid w:val="00822532"/>
    <w:rsid w:val="008356C1"/>
    <w:rsid w:val="0087019C"/>
    <w:rsid w:val="00874D65"/>
    <w:rsid w:val="008866D8"/>
    <w:rsid w:val="008B5046"/>
    <w:rsid w:val="008B7402"/>
    <w:rsid w:val="008E21E4"/>
    <w:rsid w:val="008E5AF2"/>
    <w:rsid w:val="00932231"/>
    <w:rsid w:val="009343EC"/>
    <w:rsid w:val="00956EC0"/>
    <w:rsid w:val="00973623"/>
    <w:rsid w:val="009A510A"/>
    <w:rsid w:val="009C4280"/>
    <w:rsid w:val="00A121ED"/>
    <w:rsid w:val="00A32E01"/>
    <w:rsid w:val="00AC04E7"/>
    <w:rsid w:val="00AC16B0"/>
    <w:rsid w:val="00B014BA"/>
    <w:rsid w:val="00B11CDE"/>
    <w:rsid w:val="00B3119C"/>
    <w:rsid w:val="00BC67C3"/>
    <w:rsid w:val="00C01B60"/>
    <w:rsid w:val="00C446A1"/>
    <w:rsid w:val="00C97210"/>
    <w:rsid w:val="00CB1D0E"/>
    <w:rsid w:val="00CC6245"/>
    <w:rsid w:val="00D26C25"/>
    <w:rsid w:val="00D6647E"/>
    <w:rsid w:val="00E968B0"/>
    <w:rsid w:val="00EE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57792F"/>
  <w15:chartTrackingRefBased/>
  <w15:docId w15:val="{88EC06ED-A85C-A148-824A-6F1640B6E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5046"/>
    <w:pPr>
      <w:spacing w:line="480" w:lineRule="auto"/>
    </w:pPr>
    <w:rPr>
      <w:rFonts w:eastAsiaTheme="minorEastAsia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504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504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504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504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504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504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504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504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504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50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50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50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50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50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50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50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50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50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50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8B50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504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8B50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5046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8B50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5046"/>
    <w:pPr>
      <w:spacing w:line="278" w:lineRule="auto"/>
      <w:ind w:left="720"/>
      <w:contextualSpacing/>
    </w:pPr>
    <w:rPr>
      <w:rFonts w:eastAsiaTheme="minorHAnsi"/>
      <w:lang w:eastAsia="en-US"/>
    </w:rPr>
  </w:style>
  <w:style w:type="character" w:styleId="IntenseEmphasis">
    <w:name w:val="Intense Emphasis"/>
    <w:basedOn w:val="DefaultParagraphFont"/>
    <w:uiPriority w:val="21"/>
    <w:qFormat/>
    <w:rsid w:val="008B50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50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50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5046"/>
    <w:rPr>
      <w:b/>
      <w:bCs/>
      <w:smallCaps/>
      <w:color w:val="0F4761" w:themeColor="accent1" w:themeShade="BF"/>
      <w:spacing w:val="5"/>
    </w:rPr>
  </w:style>
  <w:style w:type="table" w:styleId="ListTable2-Accent4">
    <w:name w:val="List Table 2 Accent 4"/>
    <w:basedOn w:val="TableNormal"/>
    <w:uiPriority w:val="47"/>
    <w:rsid w:val="008B5046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Marios Alogakos</dc:creator>
  <cp:keywords/>
  <dc:description/>
  <cp:lastModifiedBy>Marios Alogakos</cp:lastModifiedBy>
  <cp:revision>2</cp:revision>
  <dcterms:created xsi:type="dcterms:W3CDTF">2025-06-11T22:56:00Z</dcterms:created>
  <dcterms:modified xsi:type="dcterms:W3CDTF">2025-06-11T22:56:00Z</dcterms:modified>
</cp:coreProperties>
</file>