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F91E3" w14:textId="77777777" w:rsidR="00B15352" w:rsidRDefault="0004792B">
      <w:pPr>
        <w:rPr>
          <w:rFonts w:ascii="Times New Roman" w:hAnsi="Times New Roman" w:cs="Times New Roman"/>
          <w:color w:val="000000" w:themeColor="text1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Cs w:val="21"/>
        </w:rPr>
        <w:t>Supplementary Table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1</w:t>
      </w:r>
      <w:r>
        <w:rPr>
          <w:rFonts w:ascii="Times New Roman" w:hAnsi="Times New Roman" w:cs="Times New Roman"/>
          <w:color w:val="000000" w:themeColor="text1"/>
          <w:szCs w:val="21"/>
        </w:rPr>
        <w:t>. Time from ESD to fever an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d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chest pain.</w:t>
      </w:r>
    </w:p>
    <w:tbl>
      <w:tblPr>
        <w:tblW w:w="8327" w:type="dxa"/>
        <w:tblInd w:w="1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2"/>
        <w:gridCol w:w="2205"/>
        <w:gridCol w:w="1905"/>
        <w:gridCol w:w="1365"/>
      </w:tblGrid>
      <w:tr w:rsidR="00B15352" w14:paraId="70BB95C2" w14:textId="77777777">
        <w:trPr>
          <w:trHeight w:val="270"/>
        </w:trPr>
        <w:tc>
          <w:tcPr>
            <w:tcW w:w="28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09F80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2234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Non-AP</w:t>
            </w:r>
          </w:p>
        </w:tc>
        <w:tc>
          <w:tcPr>
            <w:tcW w:w="19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7F08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AP</w:t>
            </w:r>
          </w:p>
        </w:tc>
        <w:tc>
          <w:tcPr>
            <w:tcW w:w="13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D8188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B15352" w14:paraId="02679284" w14:textId="77777777">
        <w:trPr>
          <w:trHeight w:val="270"/>
        </w:trPr>
        <w:tc>
          <w:tcPr>
            <w:tcW w:w="2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431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Time from ESD to fever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6DBC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n=9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C411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n=9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8DB0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844</w:t>
            </w:r>
          </w:p>
        </w:tc>
      </w:tr>
      <w:tr w:rsidR="00B15352" w14:paraId="4BCD4531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8AB1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F37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(21.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83A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B768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73227792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C8B5D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152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(77.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05B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76.6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E01E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1006DE85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E9F07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4B0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(1.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446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(2.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D922D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1B3046A9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FF6E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Time from ESD to chest pain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5EC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n=4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014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n=3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0C79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067</w:t>
            </w:r>
          </w:p>
        </w:tc>
      </w:tr>
      <w:tr w:rsidR="00B15352" w14:paraId="358979CB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D2CC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0CF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.0%)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803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(65.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237D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756D5258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E121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1d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B28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350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31.4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3637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71384594" w14:textId="77777777">
        <w:trPr>
          <w:trHeight w:val="270"/>
        </w:trPr>
        <w:tc>
          <w:tcPr>
            <w:tcW w:w="2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015332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≥2d</w:t>
            </w: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3A11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5.0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5016C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91F5C1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</w:tbl>
    <w:p w14:paraId="4C2F9211" w14:textId="77777777" w:rsidR="00B15352" w:rsidRDefault="0004792B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values were from two-sided comparisons of the differences between t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wo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groups. </w:t>
      </w:r>
    </w:p>
    <w:p w14:paraId="4C2F9218" w14:textId="77777777" w:rsidR="00B15352" w:rsidRDefault="0004792B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ESD: Endoscopic submucosal dissection.</w:t>
      </w:r>
      <w:r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4C2F9219" w14:textId="77777777" w:rsidR="00B15352" w:rsidRDefault="0004792B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lastRenderedPageBreak/>
        <w:t>Supplementary Table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2</w:t>
      </w:r>
      <w:r>
        <w:rPr>
          <w:rFonts w:ascii="Times New Roman" w:hAnsi="Times New Roman" w:cs="Times New Roman"/>
          <w:color w:val="000000" w:themeColor="text1"/>
          <w:szCs w:val="21"/>
        </w:rPr>
        <w:t>. Other adverse events of AP and non-AP group</w:t>
      </w:r>
    </w:p>
    <w:tbl>
      <w:tblPr>
        <w:tblW w:w="8320" w:type="dxa"/>
        <w:tblInd w:w="1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2196"/>
        <w:gridCol w:w="2196"/>
        <w:gridCol w:w="1581"/>
      </w:tblGrid>
      <w:tr w:rsidR="00B15352" w14:paraId="4C2F921E" w14:textId="77777777">
        <w:trPr>
          <w:trHeight w:val="270"/>
        </w:trPr>
        <w:tc>
          <w:tcPr>
            <w:tcW w:w="2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F921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Adverse events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F921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Non-AP (n=13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F921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AP (n=13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5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F921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B15352" w14:paraId="4C2F9223" w14:textId="77777777">
        <w:trPr>
          <w:trHeight w:val="270"/>
        </w:trPr>
        <w:tc>
          <w:tcPr>
            <w:tcW w:w="2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1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Total,n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/N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1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31.3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126</w:t>
            </w:r>
          </w:p>
        </w:tc>
      </w:tr>
      <w:tr w:rsidR="00B15352" w14:paraId="4C2F9228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Nausea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7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2D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Vomitting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C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32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Caugh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2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1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37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Abdominal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6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3C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Diarrhea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B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41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Dizziness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3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0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46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Headache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5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4B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Abdominal discomfort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A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50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Belching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4F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55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Erythra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4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5A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Pharyngalgia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9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5F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25E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B15352" w14:paraId="4C2F9269" w14:textId="77777777">
        <w:trPr>
          <w:trHeight w:val="270"/>
        </w:trPr>
        <w:tc>
          <w:tcPr>
            <w:tcW w:w="2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F926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Gout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F926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F926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F9268" w14:textId="77777777" w:rsidR="00B15352" w:rsidRDefault="00B1535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</w:tbl>
    <w:p w14:paraId="4C2F926A" w14:textId="77777777" w:rsidR="00B15352" w:rsidRDefault="0004792B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Cs w:val="21"/>
        </w:rPr>
        <w:t>The symptoms of a single adverse event are counted as 1, and a patient may have multiple adverse events.</w:t>
      </w:r>
    </w:p>
    <w:p w14:paraId="4C2F926B" w14:textId="77777777" w:rsidR="00B15352" w:rsidRDefault="0004792B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Cs w:val="21"/>
        </w:rPr>
        <w:t>Abdominal discomfort, but not specified.</w:t>
      </w:r>
    </w:p>
    <w:p w14:paraId="4C2F926C" w14:textId="77777777" w:rsidR="00B15352" w:rsidRDefault="0004792B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values were from two-sided comparisons of the differences between two groups. </w:t>
      </w:r>
      <w:r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251241F0" w14:textId="77777777" w:rsidR="00B15352" w:rsidRDefault="0004792B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lastRenderedPageBreak/>
        <w:t xml:space="preserve">Supplementary Table 3. </w:t>
      </w:r>
      <w:r>
        <w:rPr>
          <w:rFonts w:ascii="Times New Roman" w:hAnsi="Times New Roman" w:cs="Times New Roman"/>
          <w:color w:val="000000" w:themeColor="text1"/>
          <w:szCs w:val="21"/>
        </w:rPr>
        <w:t>Characteristics of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patients with and without PEECS.</w:t>
      </w:r>
    </w:p>
    <w:tbl>
      <w:tblPr>
        <w:tblW w:w="8310" w:type="dxa"/>
        <w:tblInd w:w="11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2003"/>
        <w:gridCol w:w="2452"/>
        <w:gridCol w:w="1133"/>
      </w:tblGrid>
      <w:tr w:rsidR="00B15352" w14:paraId="763B1DA5" w14:textId="77777777">
        <w:trPr>
          <w:trHeight w:val="257"/>
        </w:trPr>
        <w:tc>
          <w:tcPr>
            <w:tcW w:w="27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DC0B8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A2B91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PEECS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 (n=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92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B202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Non PEECS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(n=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250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3C35F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B15352" w14:paraId="014921C7" w14:textId="77777777">
        <w:trPr>
          <w:trHeight w:val="313"/>
        </w:trPr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6AB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Gender,male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B4C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21 (22.8%)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1B6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39 (15.6%)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331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0.119</w:t>
            </w:r>
          </w:p>
        </w:tc>
      </w:tr>
      <w:tr w:rsidR="00B15352" w14:paraId="777735A0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A98D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Age,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years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30A5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66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(58,72)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73E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65 (59,70)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780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0.527</w:t>
            </w:r>
          </w:p>
        </w:tc>
      </w:tr>
      <w:tr w:rsidR="00B15352" w14:paraId="352A5D00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C41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Smoking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AA83" w14:textId="77777777" w:rsidR="00B15352" w:rsidRDefault="0004792B">
            <w:pPr>
              <w:widowControl/>
              <w:tabs>
                <w:tab w:val="left" w:pos="501"/>
              </w:tabs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(39.1%)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1BD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(32.8%)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B9D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0.275</w:t>
            </w:r>
          </w:p>
        </w:tc>
      </w:tr>
      <w:tr w:rsidR="00B15352" w14:paraId="4865B16E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6E9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Alcohol drinking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D93D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(40.2%)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96B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(33.2%)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0CC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0.228</w:t>
            </w:r>
          </w:p>
        </w:tc>
      </w:tr>
      <w:tr w:rsidR="00B15352" w14:paraId="6ED9BF94" w14:textId="77777777">
        <w:trPr>
          <w:trHeight w:val="9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1A0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Hypertension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B34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(35.9%)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C2A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(42.8%)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7AC5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0.248</w:t>
            </w:r>
          </w:p>
        </w:tc>
      </w:tr>
      <w:tr w:rsidR="00B15352" w14:paraId="4B759500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F05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Diabetes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1B7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(19.6%)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06E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(10.0%)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6B8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0.018</w:t>
            </w:r>
          </w:p>
        </w:tc>
      </w:tr>
      <w:tr w:rsidR="00B15352" w14:paraId="047A1994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BCB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Other malignant tumors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DFE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(6.5%)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A82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(13.6%)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3B2B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0.071</w:t>
            </w:r>
          </w:p>
        </w:tc>
      </w:tr>
      <w:tr w:rsidR="00B15352" w14:paraId="5BC09DA7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D41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NSAIDS/Anticoagulant/Antiplatelet drugs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D68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(4.3%)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ECD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(5.2%)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CF67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1.000</w:t>
            </w:r>
          </w:p>
        </w:tc>
      </w:tr>
      <w:tr w:rsidR="00B15352" w14:paraId="7A6FA659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967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Body mass index, kg/m2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2D58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2110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AF8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0.313</w:t>
            </w:r>
          </w:p>
        </w:tc>
      </w:tr>
      <w:tr w:rsidR="00B15352" w14:paraId="2EFF36F4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82A4D" w14:textId="77777777" w:rsidR="00B15352" w:rsidRDefault="0004792B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18.5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C75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(8.7%)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D07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35E0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6E89E9C5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22B3" w14:textId="77777777" w:rsidR="00B15352" w:rsidRDefault="0004792B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27B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(47.8%)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E04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146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(58.4%)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D5A4E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1296C6A1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BD03" w14:textId="77777777" w:rsidR="00B15352" w:rsidRDefault="0004792B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DC71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(38.0%)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DC0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(28.8%)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B3A1B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2F5AEDA5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56388" w14:textId="77777777" w:rsidR="00B15352" w:rsidRDefault="0004792B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≥28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C03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(5.4%)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686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AEB1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160838B8" w14:textId="77777777">
        <w:trPr>
          <w:trHeight w:val="316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0C8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Previous esophageal endoscopic surgery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364F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(5.4%)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E73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(10.8%)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6ED4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0.131</w:t>
            </w:r>
          </w:p>
        </w:tc>
      </w:tr>
      <w:tr w:rsidR="00B15352" w14:paraId="7F3BB71F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7AF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Ulcer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322A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(6.5%)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DD8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B50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0.968</w:t>
            </w:r>
          </w:p>
        </w:tc>
      </w:tr>
      <w:tr w:rsidR="00B15352" w14:paraId="75D86179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53A8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Macroscopic type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1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D04B2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7EC2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330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0.860</w:t>
            </w:r>
          </w:p>
        </w:tc>
      </w:tr>
      <w:tr w:rsidR="00B15352" w14:paraId="276ACCA1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60BB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0-I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50D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(3.3%)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A2C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3B162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6711EA0F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9C2A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0-IIa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B8F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(10.9%)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65E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(12.0%)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61A6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08F2FDEB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A91D4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0-IIb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447B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(72.8%)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A4A5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177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(70.8%)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CD14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38A82A4D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7BDA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0-IIc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1FB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(10.9%)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BF4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(9.6%)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DEBC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71F59B26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D619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0-III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203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(0.0%)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C25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(0.0%)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9C88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5C236044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AB7D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Mix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4F3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(2.2%)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9EB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(1.6%)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F794A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12502076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E9D5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Location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D56D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B67A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5FA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0.223</w:t>
            </w:r>
          </w:p>
        </w:tc>
      </w:tr>
      <w:tr w:rsidR="00B15352" w14:paraId="65A7BF36" w14:textId="77777777">
        <w:trPr>
          <w:trHeight w:val="338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0EDF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Cervical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8DAB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(1.1%)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14AB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70B0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08EA435B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80C3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Style w:val="font31"/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 xml:space="preserve">Upper thoracic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231F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(12.0%)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3E5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(12.4%)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12E4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50A05EE7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C27F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Middle thoracic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266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(46.7%)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A66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(33.6%)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00F6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227A8DD4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D6146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Lower thoracic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C34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(37.0%)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94D7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123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(49.2%)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6E82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6C79CA84" w14:textId="77777777">
        <w:trPr>
          <w:trHeight w:val="316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A23C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Esophagogastric</w:t>
            </w:r>
            <w:proofErr w:type="spellEnd"/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junction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A40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(3.3%)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3CDE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40CC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3809A37D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0818" w14:textId="77777777" w:rsidR="00B15352" w:rsidRDefault="0004792B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Lesion size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, cm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A9A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1.7 (1.0,2.8)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5B5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1.5 (1.0,2.7)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D9AE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0.215</w:t>
            </w:r>
          </w:p>
        </w:tc>
      </w:tr>
      <w:tr w:rsidR="00B15352" w14:paraId="509A486E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1CB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Resected area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, cm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ECFA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3.3 (2.5,4.5)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5EC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3.0 (2.0,4.2)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296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0.099</w:t>
            </w:r>
          </w:p>
        </w:tc>
      </w:tr>
      <w:tr w:rsidR="00B15352" w14:paraId="27B2F876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EBF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Procedure time, min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4A5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66 (44,91)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84E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53 (36,77)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4CA3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0.015</w:t>
            </w:r>
          </w:p>
        </w:tc>
      </w:tr>
      <w:tr w:rsidR="00B15352" w14:paraId="40B81DC0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A25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Intraoperative bleeding volume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FF9A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 (0,3)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111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 (0,3)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6E7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0.647</w:t>
            </w:r>
          </w:p>
        </w:tc>
      </w:tr>
      <w:tr w:rsidR="00B15352" w14:paraId="551DC2B7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FB3B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Muscle layer injury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002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(41.3%)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20A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(24.0%)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A1B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0.002</w:t>
            </w:r>
          </w:p>
        </w:tc>
      </w:tr>
      <w:tr w:rsidR="00B15352" w14:paraId="0065F979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92BB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Histologic/pathological type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7BADE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5A16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B40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0.421</w:t>
            </w:r>
          </w:p>
        </w:tc>
      </w:tr>
      <w:tr w:rsidR="00B15352" w14:paraId="4255E021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1167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Benign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A2A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(3.3%)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0289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10928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0D496F7B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AE9F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Carcinoma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F618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(62.0%)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989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143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(57.2%)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3CD7A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4F1FE8B6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CAAC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ntraepithelial neoplasia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06F5D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(34.8%)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D3F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(36.0%)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2E12D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69E484DB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EE6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Positive basal incisal margin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BBE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(1.1%)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A44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(0.8%)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33D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1.000</w:t>
            </w:r>
          </w:p>
        </w:tc>
      </w:tr>
      <w:tr w:rsidR="00B15352" w14:paraId="30A0F189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4410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Positive lateral incisal margin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6F2F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(13.0%)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644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(11.2%)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8606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0.647</w:t>
            </w:r>
          </w:p>
        </w:tc>
      </w:tr>
      <w:tr w:rsidR="00B15352" w14:paraId="5DDE5B14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0D6D7" w14:textId="77777777" w:rsidR="00B15352" w:rsidRDefault="0004792B">
            <w:pPr>
              <w:widowControl/>
              <w:textAlignment w:val="center"/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lastRenderedPageBreak/>
              <w:t xml:space="preserve">Antibiotic </w:t>
            </w:r>
            <w:proofErr w:type="spellStart"/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prophylacsis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8315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(47.8%)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4BFB8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125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(50.0%)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54875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0.721</w:t>
            </w:r>
          </w:p>
        </w:tc>
      </w:tr>
      <w:tr w:rsidR="00B15352" w14:paraId="5D03C5D2" w14:textId="77777777">
        <w:trPr>
          <w:trHeight w:val="313"/>
        </w:trPr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7B66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BA46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PEECS (n=57)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CC5D1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Non PEECS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n=143)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FDBD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7504750C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13B4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Invasion depth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4B09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CEC2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7529C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0.893</w:t>
            </w:r>
          </w:p>
        </w:tc>
      </w:tr>
      <w:tr w:rsidR="00B15352" w14:paraId="22D9C269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4A67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Mucous lamina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propria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93D8E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(59.6%)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7FEC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(62.2%)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8F7C7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261B75A8" w14:textId="77777777">
        <w:trPr>
          <w:trHeight w:val="31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FF45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Muscularis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mucosa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9B0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(24.6%)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4AC4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(24.5%)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5C87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77BC855E" w14:textId="77777777">
        <w:trPr>
          <w:trHeight w:val="316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6484" w14:textId="77777777" w:rsidR="00B15352" w:rsidRDefault="0004792B">
            <w:pPr>
              <w:widowControl/>
              <w:ind w:firstLineChars="100" w:firstLine="210"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Submucosa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634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(15.8%)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019F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(13.3%)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72AF" w14:textId="77777777" w:rsidR="00B15352" w:rsidRDefault="00B1535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15352" w14:paraId="45A3D9B6" w14:textId="77777777">
        <w:trPr>
          <w:trHeight w:val="316"/>
        </w:trPr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9F887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Vascular or Neural invasion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F6B18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(1.8%)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9E852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(3.5%)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43A448" w14:textId="77777777" w:rsidR="00B15352" w:rsidRDefault="0004792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0.677</w:t>
            </w:r>
          </w:p>
        </w:tc>
      </w:tr>
    </w:tbl>
    <w:p w14:paraId="54A5FA69" w14:textId="77777777" w:rsidR="00B15352" w:rsidRDefault="0004792B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1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  <w:lang w:bidi="ar"/>
        </w:rPr>
        <w:t>Macroscopic type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classification was based on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Paris classification scheme.</w:t>
      </w:r>
    </w:p>
    <w:p w14:paraId="24CBDD31" w14:textId="77777777" w:rsidR="00B15352" w:rsidRDefault="0004792B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Cs w:val="21"/>
        </w:rPr>
        <w:t>Lesion size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and r</w:t>
      </w:r>
      <w:r>
        <w:rPr>
          <w:rFonts w:ascii="Times New Roman" w:hAnsi="Times New Roman" w:cs="Times New Roman"/>
          <w:color w:val="000000" w:themeColor="text1"/>
          <w:szCs w:val="21"/>
        </w:rPr>
        <w:t>esected area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was defined as the longest diameter.</w:t>
      </w:r>
    </w:p>
    <w:p w14:paraId="713308C7" w14:textId="77777777" w:rsidR="00B15352" w:rsidRDefault="0004792B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i/>
          <w:iCs/>
          <w:color w:val="000000" w:themeColor="text1"/>
          <w:szCs w:val="21"/>
        </w:rPr>
        <w:t>P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values were from two-sided comparisons. </w:t>
      </w:r>
    </w:p>
    <w:p w14:paraId="5E25C4C4" w14:textId="77777777" w:rsidR="00B15352" w:rsidRDefault="0004792B">
      <w:r>
        <w:rPr>
          <w:rFonts w:ascii="Times New Roman" w:eastAsia="SimSun" w:hAnsi="Times New Roman" w:cs="Times New Roman"/>
          <w:color w:val="000000" w:themeColor="text1"/>
          <w:kern w:val="0"/>
          <w:szCs w:val="21"/>
          <w:lang w:bidi="ar"/>
        </w:rPr>
        <w:t>NSAIDS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: Nonsteroidal anti-inflammatory drugs;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BMI: Body mass index.</w:t>
      </w:r>
    </w:p>
    <w:sectPr w:rsidR="00B15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C760E"/>
    <w:rsid w:val="0004792B"/>
    <w:rsid w:val="00B15352"/>
    <w:rsid w:val="150850D7"/>
    <w:rsid w:val="16EC760E"/>
    <w:rsid w:val="1CBB4BF7"/>
    <w:rsid w:val="48321F84"/>
    <w:rsid w:val="49890575"/>
    <w:rsid w:val="65A60669"/>
    <w:rsid w:val="7258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09BFC4-F64D-4DFF-AA4A-FBF9EF07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31">
    <w:name w:val="font31"/>
    <w:basedOn w:val="DefaultParagraphFont"/>
    <w:qFormat/>
    <w:rPr>
      <w:rFonts w:ascii="Segoe UI" w:eastAsia="Segoe UI" w:hAnsi="Segoe UI" w:cs="Segoe UI" w:hint="default"/>
      <w:color w:val="2A2B2E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</dc:creator>
  <cp:lastModifiedBy>Sumathi N Narayanan R</cp:lastModifiedBy>
  <cp:revision>2</cp:revision>
  <dcterms:created xsi:type="dcterms:W3CDTF">2025-07-05T15:24:00Z</dcterms:created>
  <dcterms:modified xsi:type="dcterms:W3CDTF">2025-11-22T07:46:00Z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60C1E302064647EE957136BE354E8706_11</vt:lpwstr>
  </property>
  <property fmtid="{D5CDD505-2E9C-101B-9397-08002B2CF9AE}" pid="4" name="KSOTemplateDocerSaveRecord">
    <vt:lpwstr>eyJoZGlkIjoiODgzNWU2YmNkZjcyZDhlNmM4MWI5MTI1YzRjNzgyMTYiLCJ1c2VySWQiOiI0MzcyODk1ODcifQ==</vt:lpwstr>
  </property>
</Properties>
</file>