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5668" w:rsidRPr="003B5668" w:rsidRDefault="003B5668" w:rsidP="003B5668">
      <w:pPr>
        <w:pStyle w:val="Heading2"/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</w:pPr>
      <w:r w:rsidRPr="003B5668">
        <w:rPr>
          <w:rFonts w:ascii="Times New Roman" w:hAnsi="Times New Roman" w:cs="Times New Roman"/>
          <w:b/>
          <w:bCs/>
          <w:noProof/>
          <w:color w:val="000000" w:themeColor="text1"/>
          <w:sz w:val="24"/>
          <w:szCs w:val="24"/>
        </w:rPr>
        <w:t>Supplementary Tables</w:t>
      </w:r>
    </w:p>
    <w:p w:rsidR="003B5668" w:rsidRPr="003B5668" w:rsidRDefault="003B5668" w:rsidP="003B5668">
      <w:pPr>
        <w:rPr>
          <w:color w:val="000000" w:themeColor="text1"/>
        </w:rPr>
      </w:pPr>
    </w:p>
    <w:p w:rsidR="003B5668" w:rsidRPr="003B5668" w:rsidRDefault="003B5668" w:rsidP="003B5668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Supplementary Table S1 - Covariate balance before and after IPTW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00"/>
        <w:gridCol w:w="2000"/>
        <w:gridCol w:w="2000"/>
      </w:tblGrid>
      <w:tr w:rsidR="003B5668" w:rsidRPr="003B5668" w:rsidTr="004F49B4">
        <w:trPr>
          <w:tblHeader/>
        </w:trPr>
        <w:tc>
          <w:tcPr>
            <w:tcW w:w="4200" w:type="dxa"/>
            <w:shd w:val="clear" w:color="auto" w:fill="D9D9D9" w:themeFill="background1" w:themeFillShade="D9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Variable</w:t>
            </w:r>
          </w:p>
        </w:tc>
        <w:tc>
          <w:tcPr>
            <w:tcW w:w="2000" w:type="dxa"/>
            <w:shd w:val="clear" w:color="auto" w:fill="D9D9D9" w:themeFill="background1" w:themeFillShade="D9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SMD before IPTW</w:t>
            </w:r>
          </w:p>
        </w:tc>
        <w:tc>
          <w:tcPr>
            <w:tcW w:w="2000" w:type="dxa"/>
            <w:shd w:val="clear" w:color="auto" w:fill="D9D9D9" w:themeFill="background1" w:themeFillShade="D9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SMD after IPTW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Age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0.100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0.083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Male sex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0.222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0.040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BMI ≥30 kg/m²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0.030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0.057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ASA I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0.140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0.037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ASA II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0.055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0.026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ASA III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0.080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0.000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ASA IV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0.095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0.007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Renal insufficiency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0.026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0.025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Anticoagulation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0.133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0.102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Previous abdominal surgery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0.234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0.047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Acute cholangitis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0.136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0.004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Acute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cholecystitis</w:t>
            </w:r>
            <w:proofErr w:type="spellEnd"/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0.439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0.040</w:t>
            </w:r>
          </w:p>
        </w:tc>
      </w:tr>
      <w:tr w:rsidR="003B5668" w:rsidRPr="003B5668" w:rsidTr="004F49B4">
        <w:tc>
          <w:tcPr>
            <w:tcW w:w="42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Biliary pancreatitis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0.335</w:t>
            </w:r>
          </w:p>
        </w:tc>
        <w:tc>
          <w:tcPr>
            <w:tcW w:w="2000" w:type="dxa"/>
            <w:shd w:val="clear" w:color="auto" w:fill="FFFFFF" w:themeFill="background1"/>
            <w:vAlign w:val="center"/>
          </w:tcPr>
          <w:p w:rsidR="003B5668" w:rsidRPr="003B5668" w:rsidRDefault="003B5668" w:rsidP="004F49B4">
            <w:pPr>
              <w:spacing w:after="0" w:line="48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0.074</w:t>
            </w:r>
          </w:p>
        </w:tc>
      </w:tr>
    </w:tbl>
    <w:p w:rsidR="003B5668" w:rsidRPr="003B5668" w:rsidRDefault="003B5668" w:rsidP="003B5668">
      <w:pPr>
        <w:spacing w:before="100" w:after="400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Absolute standardized mean differences are shown. Values &lt;0.1 were considered indicative of adequate balance. IPTW – inverse probability of treatment weighting; SMD – standardized mean difference.</w:t>
      </w:r>
    </w:p>
    <w:p w:rsidR="003B5668" w:rsidRPr="003B5668" w:rsidRDefault="003B5668" w:rsidP="003B5668">
      <w:pPr>
        <w:spacing w:before="100" w:after="400"/>
        <w:rPr>
          <w:color w:val="000000" w:themeColor="text1"/>
        </w:rPr>
      </w:pPr>
    </w:p>
    <w:p w:rsidR="003B5668" w:rsidRPr="003B5668" w:rsidRDefault="003B5668" w:rsidP="003B5668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Supplementary Table S2 - Incidence rates of recurrent biliary events per person-time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2100"/>
        <w:gridCol w:w="2100"/>
        <w:gridCol w:w="2026"/>
      </w:tblGrid>
      <w:tr w:rsidR="003B5668" w:rsidRPr="003B5668" w:rsidTr="004F49B4">
        <w:tc>
          <w:tcPr>
            <w:tcW w:w="28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rFonts w:ascii="Times New Roman" w:hAnsi="Times New Roman" w:cs="Times New Roman"/>
                <w:bCs/>
                <w:color w:val="000000" w:themeColor="text1"/>
              </w:rPr>
            </w:pPr>
            <w:r w:rsidRPr="003B5668">
              <w:rPr>
                <w:rFonts w:ascii="Times New Roman" w:hAnsi="Times New Roman" w:cs="Times New Roman"/>
                <w:bCs/>
                <w:color w:val="000000" w:themeColor="text1"/>
              </w:rPr>
              <w:t>Outcomes</w:t>
            </w:r>
          </w:p>
        </w:tc>
        <w:tc>
          <w:tcPr>
            <w:tcW w:w="21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proofErr w:type="spellStart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eCCY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(n=85)</w:t>
            </w:r>
          </w:p>
        </w:tc>
        <w:tc>
          <w:tcPr>
            <w:tcW w:w="21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proofErr w:type="spellStart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dCCY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(n=253)</w:t>
            </w:r>
          </w:p>
        </w:tc>
        <w:tc>
          <w:tcPr>
            <w:tcW w:w="2026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Total (n=338)</w:t>
            </w: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Number of RBE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17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40</w:t>
            </w:r>
          </w:p>
        </w:tc>
        <w:tc>
          <w:tcPr>
            <w:tcW w:w="20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57</w:t>
            </w: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Cumulative observation time, person-days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559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18,104</w:t>
            </w:r>
          </w:p>
        </w:tc>
        <w:tc>
          <w:tcPr>
            <w:tcW w:w="20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18,663</w:t>
            </w: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Mean observation time per patient, days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6.6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71.6</w:t>
            </w:r>
          </w:p>
        </w:tc>
        <w:tc>
          <w:tcPr>
            <w:tcW w:w="20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55.2</w:t>
            </w: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Incidence rate per 100 person-days (95% CI)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3.04 (1.89–4.89)</w:t>
            </w:r>
          </w:p>
        </w:tc>
        <w:tc>
          <w:tcPr>
            <w:tcW w:w="2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0.22 (0.16–0.30)</w:t>
            </w:r>
          </w:p>
        </w:tc>
        <w:tc>
          <w:tcPr>
            <w:tcW w:w="20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0.31 (0.24–0.40)</w:t>
            </w:r>
          </w:p>
        </w:tc>
      </w:tr>
    </w:tbl>
    <w:p w:rsidR="003B5668" w:rsidRPr="003B5668" w:rsidRDefault="003B5668" w:rsidP="003B5668">
      <w:pPr>
        <w:spacing w:before="100" w:after="400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RBE – recurrent biliary event; CI – confidence interval;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early cholecystectomy;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delayed cholecystectomy 95% confidence intervals calculated using the exact Poisson method</w:t>
      </w:r>
    </w:p>
    <w:p w:rsidR="003B5668" w:rsidRPr="003B5668" w:rsidRDefault="003B5668" w:rsidP="003B5668">
      <w:pPr>
        <w:rPr>
          <w:color w:val="000000" w:themeColor="text1"/>
        </w:rPr>
      </w:pPr>
    </w:p>
    <w:p w:rsidR="003B5668" w:rsidRPr="003B5668" w:rsidRDefault="003B5668" w:rsidP="003B5668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Supplementary Table S3 - Multivariable Cox regression analysis for time to recurrent biliary events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326"/>
        <w:gridCol w:w="1400"/>
        <w:gridCol w:w="2200"/>
        <w:gridCol w:w="1100"/>
      </w:tblGrid>
      <w:tr w:rsidR="003B5668" w:rsidRPr="003B5668" w:rsidTr="004F49B4">
        <w:tc>
          <w:tcPr>
            <w:tcW w:w="4326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Variable</w:t>
            </w:r>
          </w:p>
        </w:tc>
        <w:tc>
          <w:tcPr>
            <w:tcW w:w="14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HR</w:t>
            </w:r>
          </w:p>
        </w:tc>
        <w:tc>
          <w:tcPr>
            <w:tcW w:w="22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95% CI</w:t>
            </w:r>
          </w:p>
        </w:tc>
        <w:tc>
          <w:tcPr>
            <w:tcW w:w="11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p-value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Timing of cholecystectomy (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eCCY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vs.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dCCY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11.55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5.61–23.78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&lt;0.001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Age (per year)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0.96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0.95–0.98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&lt;0.001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Acute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cholecystitis</w:t>
            </w:r>
            <w:proofErr w:type="spellEnd"/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0.41–1.80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0.696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Cholangitis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1.05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0.58–1.92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0.885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Biliary pancreatitis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0.49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0.20–1.22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0.110</w:t>
            </w:r>
          </w:p>
        </w:tc>
      </w:tr>
    </w:tbl>
    <w:p w:rsidR="003B5668" w:rsidRPr="003B5668" w:rsidRDefault="003B5668" w:rsidP="003B5668">
      <w:pPr>
        <w:spacing w:before="100" w:after="400"/>
        <w:rPr>
          <w:color w:val="000000" w:themeColor="text1"/>
        </w:rPr>
      </w:pPr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HR – hazard ratio; CI – confidence interval;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early cholecystectomy;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delayed cholecystectomy Bold p-values indicate statistical significance (p &lt; 0.05) Note: The significantly elevated hazard ratio for early cholecystectomy most likely reflects non-random treatment allocation (confounding by indication) rather than a causal effect of surgical timing. See Discussion for detailed interpretation.</w:t>
      </w:r>
    </w:p>
    <w:p w:rsidR="003B5668" w:rsidRPr="003B5668" w:rsidRDefault="003B5668" w:rsidP="003B5668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Supplementary Table S4 - Clinical outcomes excluding patients with acute </w:t>
      </w:r>
      <w:proofErr w:type="spellStart"/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cholecystitis</w:t>
      </w:r>
      <w:proofErr w:type="spellEnd"/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at presentation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00"/>
        <w:gridCol w:w="2000"/>
        <w:gridCol w:w="2000"/>
        <w:gridCol w:w="1826"/>
      </w:tblGrid>
      <w:tr w:rsidR="003B5668" w:rsidRPr="003B5668" w:rsidTr="004F49B4">
        <w:tc>
          <w:tcPr>
            <w:tcW w:w="32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Outcomes</w:t>
            </w:r>
          </w:p>
        </w:tc>
        <w:tc>
          <w:tcPr>
            <w:tcW w:w="20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proofErr w:type="spellStart"/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eCCY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(n=52)</w:t>
            </w:r>
          </w:p>
        </w:tc>
        <w:tc>
          <w:tcPr>
            <w:tcW w:w="20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proofErr w:type="spellStart"/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dCCY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 xml:space="preserve"> (n=204)</w:t>
            </w:r>
          </w:p>
        </w:tc>
        <w:tc>
          <w:tcPr>
            <w:tcW w:w="1826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p-value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Recurrent biliary events (RBE), n (%)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14 (26.9)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35 (17.2)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0.110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Stent dysfunction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Acute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cholecystitis</w:t>
            </w:r>
            <w:proofErr w:type="spellEnd"/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8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23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Cholangitis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3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Biliary pancreatitis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Persistent / recurrent abdominal pain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Choledocholithiasis</w:t>
            </w:r>
            <w:proofErr w:type="spellEnd"/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4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Operative outcomes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lastRenderedPageBreak/>
              <w:t>Operative time, min, median (IQR)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90 (62–118)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85 (60–111)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0.407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Conversion to open surgery, n (%)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6 (11.5)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18 (8.8)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0.549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Blood loss, mL, median (IQR)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 (0–100)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 (0–100)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0.322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Postoperative outcomes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Clinically relevant complications (CD ≥ III), n (%)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5 (9.6)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26 (12.7)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0.537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Reoperation, n (%)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 (1.9)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8 (3.9)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0.986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Postoperative length of stay, days, median (IQR)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3 (2–5)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3 (2–5)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0.356</w:t>
            </w:r>
          </w:p>
        </w:tc>
      </w:tr>
      <w:tr w:rsidR="003B5668" w:rsidRPr="003B5668" w:rsidTr="004F49B4">
        <w:tc>
          <w:tcPr>
            <w:tcW w:w="3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Total length of hospital stay, days, median (IQR)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13 (9–16)</w:t>
            </w:r>
          </w:p>
        </w:tc>
        <w:tc>
          <w:tcPr>
            <w:tcW w:w="20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13 (9–18)</w:t>
            </w:r>
          </w:p>
        </w:tc>
        <w:tc>
          <w:tcPr>
            <w:tcW w:w="18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0.358</w:t>
            </w:r>
          </w:p>
        </w:tc>
      </w:tr>
    </w:tbl>
    <w:p w:rsidR="003B5668" w:rsidRPr="003B5668" w:rsidRDefault="003B5668" w:rsidP="003B5668">
      <w:pPr>
        <w:spacing w:before="100" w:after="400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Values are median (IQR) or n (%) IQR – interquartile range; min – minutes; mL –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milliliters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; CD –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Clavien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–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Dindo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classification;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early cholecystectomy;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delayed cholecystectomy; RBE – recurrent biliary event Note: Patients with acute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cholecystitis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at initial presentation were excluded (n = 82)</w:t>
      </w:r>
    </w:p>
    <w:p w:rsidR="003B5668" w:rsidRPr="003B5668" w:rsidRDefault="003B5668" w:rsidP="003B5668">
      <w:pPr>
        <w:spacing w:before="100" w:after="400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</w:p>
    <w:p w:rsidR="003B5668" w:rsidRPr="003B5668" w:rsidRDefault="003B5668" w:rsidP="003B5668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Supplementary Table S5- Multivariable logistic regression analysis for recurrent biliary events, excluding patients with acute </w:t>
      </w:r>
      <w:proofErr w:type="spellStart"/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cholecystitis</w:t>
      </w:r>
      <w:proofErr w:type="spellEnd"/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 xml:space="preserve"> at presentation</w:t>
      </w:r>
    </w:p>
    <w:tbl>
      <w:tblPr>
        <w:tblW w:w="9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326"/>
        <w:gridCol w:w="1400"/>
        <w:gridCol w:w="2200"/>
        <w:gridCol w:w="1100"/>
      </w:tblGrid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Variable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OR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95% CI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p-value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Timing of cholecystectomy (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eCCY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vs.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dCCY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1.71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0.81–3.63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0.159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Age (per year)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0.96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0.94–0.98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&lt;0.001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Cholangitis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1.58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0.72–3.44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0.254</w:t>
            </w:r>
          </w:p>
        </w:tc>
      </w:tr>
      <w:tr w:rsidR="003B5668" w:rsidRPr="003B5668" w:rsidTr="004F49B4">
        <w:tc>
          <w:tcPr>
            <w:tcW w:w="4326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Biliary pancreatitis</w:t>
            </w:r>
          </w:p>
        </w:tc>
        <w:tc>
          <w:tcPr>
            <w:tcW w:w="14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0.39</w:t>
            </w:r>
          </w:p>
        </w:tc>
        <w:tc>
          <w:tcPr>
            <w:tcW w:w="2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0.14–1.06</w:t>
            </w:r>
          </w:p>
        </w:tc>
        <w:tc>
          <w:tcPr>
            <w:tcW w:w="11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0.065</w:t>
            </w:r>
          </w:p>
        </w:tc>
      </w:tr>
    </w:tbl>
    <w:p w:rsidR="003B5668" w:rsidRPr="003B5668" w:rsidRDefault="003B5668" w:rsidP="003B5668">
      <w:pPr>
        <w:spacing w:before="100" w:after="400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OR – odds ratio; CI – confidence interval;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early cholecystectomy;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delayed cholecystectomy Note: Patients with acute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cholecystitis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at initial presentation were excluded (n = 82). Acute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cholecystitis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was not included as a covariate. Bold p-values indicate statistical significance (p &lt; 0.05)</w:t>
      </w:r>
    </w:p>
    <w:p w:rsidR="003B5668" w:rsidRPr="003B5668" w:rsidRDefault="003B5668" w:rsidP="003B5668">
      <w:pPr>
        <w:rPr>
          <w:noProof/>
          <w:color w:val="000000" w:themeColor="text1"/>
        </w:rPr>
      </w:pPr>
    </w:p>
    <w:p w:rsidR="003B5668" w:rsidRPr="003B5668" w:rsidRDefault="003B5668" w:rsidP="003B5668">
      <w:pPr>
        <w:rPr>
          <w:noProof/>
          <w:color w:val="000000" w:themeColor="text1"/>
        </w:rPr>
      </w:pPr>
    </w:p>
    <w:p w:rsidR="003B5668" w:rsidRPr="003B5668" w:rsidRDefault="003B5668" w:rsidP="003B5668">
      <w:pPr>
        <w:rPr>
          <w:noProof/>
          <w:color w:val="000000" w:themeColor="text1"/>
        </w:rPr>
      </w:pPr>
    </w:p>
    <w:p w:rsidR="003B5668" w:rsidRPr="003B5668" w:rsidRDefault="003B5668" w:rsidP="003B5668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</w:rPr>
      </w:pPr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lastRenderedPageBreak/>
        <w:t>Supplementary Table S6 – Sensitivity analysis using objective RBE definition</w:t>
      </w:r>
    </w:p>
    <w:tbl>
      <w:tblPr>
        <w:tblW w:w="82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1453"/>
        <w:gridCol w:w="1417"/>
        <w:gridCol w:w="1418"/>
        <w:gridCol w:w="142"/>
        <w:gridCol w:w="992"/>
      </w:tblGrid>
      <w:tr w:rsidR="003B5668" w:rsidRPr="003B5668" w:rsidTr="004F49B4">
        <w:tc>
          <w:tcPr>
            <w:tcW w:w="2800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Analysis</w:t>
            </w:r>
          </w:p>
        </w:tc>
        <w:tc>
          <w:tcPr>
            <w:tcW w:w="1453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proofErr w:type="spellStart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eCCY</w:t>
            </w:r>
            <w:proofErr w:type="spellEnd"/>
          </w:p>
        </w:tc>
        <w:tc>
          <w:tcPr>
            <w:tcW w:w="1417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proofErr w:type="spellStart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dCCY</w:t>
            </w:r>
            <w:proofErr w:type="spellEnd"/>
          </w:p>
        </w:tc>
        <w:tc>
          <w:tcPr>
            <w:tcW w:w="1418" w:type="dxa"/>
            <w:shd w:val="clear" w:color="auto" w:fill="D9D9D9" w:themeFill="background1" w:themeFillShade="D9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OR (95% CI)</w:t>
            </w:r>
          </w:p>
        </w:tc>
        <w:tc>
          <w:tcPr>
            <w:tcW w:w="1134" w:type="dxa"/>
            <w:gridSpan w:val="2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p-value</w:t>
            </w: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Full cohort (n = 338)</w:t>
            </w:r>
          </w:p>
        </w:tc>
        <w:tc>
          <w:tcPr>
            <w:tcW w:w="14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1560" w:type="dxa"/>
            <w:gridSpan w:val="2"/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Unweighted</w:t>
            </w:r>
            <w:proofErr w:type="spellEnd"/>
          </w:p>
        </w:tc>
        <w:tc>
          <w:tcPr>
            <w:tcW w:w="14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13/85 (15.3)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38/253 (15.0)</w:t>
            </w:r>
          </w:p>
        </w:tc>
        <w:tc>
          <w:tcPr>
            <w:tcW w:w="1560" w:type="dxa"/>
            <w:gridSpan w:val="2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1.02 (0.52–2.02)</w:t>
            </w: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0.951</w:t>
            </w: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IPTW-weighted</w:t>
            </w:r>
          </w:p>
        </w:tc>
        <w:tc>
          <w:tcPr>
            <w:tcW w:w="14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12/86 (14.0)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40/253 (15.8)</w:t>
            </w:r>
          </w:p>
        </w:tc>
        <w:tc>
          <w:tcPr>
            <w:tcW w:w="1560" w:type="dxa"/>
            <w:gridSpan w:val="2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1.13 (0.57–2.27)</w:t>
            </w: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0.680</w:t>
            </w: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Excluding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cholecystitis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(n = 256)</w:t>
            </w:r>
          </w:p>
        </w:tc>
        <w:tc>
          <w:tcPr>
            <w:tcW w:w="14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1560" w:type="dxa"/>
            <w:gridSpan w:val="2"/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</w:tr>
      <w:tr w:rsidR="003B5668" w:rsidRPr="003B5668" w:rsidTr="004F49B4">
        <w:tc>
          <w:tcPr>
            <w:tcW w:w="28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Unweighted</w:t>
            </w:r>
            <w:proofErr w:type="spellEnd"/>
          </w:p>
        </w:tc>
        <w:tc>
          <w:tcPr>
            <w:tcW w:w="14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10/52 (19.2)</w:t>
            </w:r>
          </w:p>
        </w:tc>
        <w:tc>
          <w:tcPr>
            <w:tcW w:w="1417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33/204 (16.2)</w:t>
            </w:r>
          </w:p>
        </w:tc>
        <w:tc>
          <w:tcPr>
            <w:tcW w:w="1560" w:type="dxa"/>
            <w:gridSpan w:val="2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1.23 (0.56–2.70)</w:t>
            </w:r>
          </w:p>
        </w:tc>
        <w:tc>
          <w:tcPr>
            <w:tcW w:w="99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0.599</w:t>
            </w:r>
          </w:p>
        </w:tc>
      </w:tr>
    </w:tbl>
    <w:p w:rsidR="003B5668" w:rsidRPr="003B5668" w:rsidRDefault="003B5668" w:rsidP="003B5668">
      <w:pPr>
        <w:spacing w:before="100" w:after="400"/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</w:pPr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RBE – recurrent biliary event; OR – odds ratio; CI – confidence interval;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early cholecystectomy;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delayed cholecystectomy; IPTW – inverse probability of treatment</w:t>
      </w:r>
    </w:p>
    <w:p w:rsidR="003B5668" w:rsidRPr="003B5668" w:rsidRDefault="003B5668" w:rsidP="003B5668">
      <w:pPr>
        <w:spacing w:before="100" w:after="400"/>
        <w:rPr>
          <w:color w:val="000000" w:themeColor="text1"/>
        </w:rPr>
      </w:pPr>
    </w:p>
    <w:p w:rsidR="003B5668" w:rsidRPr="003B5668" w:rsidRDefault="003B5668" w:rsidP="003B5668">
      <w:pPr>
        <w:pStyle w:val="Caption"/>
        <w:keepNext/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</w:pPr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Supplementary Table S7 – Multi</w:t>
      </w:r>
      <w:bookmarkStart w:id="0" w:name="_GoBack"/>
      <w:bookmarkEnd w:id="0"/>
      <w:r w:rsidRPr="003B5668">
        <w:rPr>
          <w:rFonts w:ascii="Times New Roman" w:hAnsi="Times New Roman" w:cs="Times New Roman"/>
          <w:color w:val="000000" w:themeColor="text1"/>
          <w:sz w:val="22"/>
          <w:szCs w:val="22"/>
          <w:lang w:val="en-GB"/>
        </w:rPr>
        <w:t>variable logistic regression for objective RBE</w:t>
      </w:r>
    </w:p>
    <w:tbl>
      <w:tblPr>
        <w:tblW w:w="120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81"/>
        <w:gridCol w:w="3032"/>
        <w:gridCol w:w="760"/>
        <w:gridCol w:w="1200"/>
        <w:gridCol w:w="1072"/>
        <w:gridCol w:w="760"/>
        <w:gridCol w:w="1200"/>
        <w:gridCol w:w="1053"/>
      </w:tblGrid>
      <w:tr w:rsidR="003B5668" w:rsidRPr="003B5668" w:rsidTr="003B5668">
        <w:tc>
          <w:tcPr>
            <w:tcW w:w="2981" w:type="dxa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</w:p>
        </w:tc>
        <w:tc>
          <w:tcPr>
            <w:tcW w:w="3032" w:type="dxa"/>
            <w:shd w:val="clear" w:color="auto" w:fill="D9D9D9" w:themeFill="background1" w:themeFillShade="D9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3032" w:type="dxa"/>
            <w:gridSpan w:val="3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Full cohort (n = 338)</w:t>
            </w:r>
          </w:p>
        </w:tc>
        <w:tc>
          <w:tcPr>
            <w:tcW w:w="3013" w:type="dxa"/>
            <w:gridSpan w:val="3"/>
            <w:shd w:val="clear" w:color="auto" w:fill="D9D9D9" w:themeFill="background1" w:themeFillShade="D9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Excl.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cholecystitis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 xml:space="preserve"> (n = 256)</w:t>
            </w:r>
          </w:p>
        </w:tc>
      </w:tr>
      <w:tr w:rsidR="003B5668" w:rsidRPr="003B5668" w:rsidTr="003B5668">
        <w:tc>
          <w:tcPr>
            <w:tcW w:w="298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Variable</w:t>
            </w:r>
          </w:p>
        </w:tc>
        <w:tc>
          <w:tcPr>
            <w:tcW w:w="3032" w:type="dxa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</w:rPr>
            </w:pP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OR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95% CI</w:t>
            </w:r>
          </w:p>
        </w:tc>
        <w:tc>
          <w:tcPr>
            <w:tcW w:w="10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</w:t>
            </w: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OR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95% CI</w:t>
            </w:r>
          </w:p>
        </w:tc>
        <w:tc>
          <w:tcPr>
            <w:tcW w:w="10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Cs/>
                <w:color w:val="000000" w:themeColor="text1"/>
              </w:rPr>
              <w:t>p</w:t>
            </w:r>
          </w:p>
        </w:tc>
      </w:tr>
      <w:tr w:rsidR="003B5668" w:rsidRPr="003B5668" w:rsidTr="003B5668">
        <w:tc>
          <w:tcPr>
            <w:tcW w:w="298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Timing of cholecystectomy (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eCCY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vs.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dCCY</w:t>
            </w:r>
            <w:proofErr w:type="spellEnd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)</w:t>
            </w:r>
          </w:p>
        </w:tc>
        <w:tc>
          <w:tcPr>
            <w:tcW w:w="3032" w:type="dxa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0.98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0.47–2.02</w:t>
            </w:r>
          </w:p>
        </w:tc>
        <w:tc>
          <w:tcPr>
            <w:tcW w:w="10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0.955</w:t>
            </w: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0.86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0.38–1.93</w:t>
            </w:r>
          </w:p>
        </w:tc>
        <w:tc>
          <w:tcPr>
            <w:tcW w:w="10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0.715</w:t>
            </w:r>
          </w:p>
        </w:tc>
      </w:tr>
      <w:tr w:rsidR="003B5668" w:rsidRPr="003B5668" w:rsidTr="003B5668">
        <w:tc>
          <w:tcPr>
            <w:tcW w:w="298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Age (per year)</w:t>
            </w:r>
          </w:p>
        </w:tc>
        <w:tc>
          <w:tcPr>
            <w:tcW w:w="3032" w:type="dxa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0.95–0.99</w:t>
            </w:r>
          </w:p>
        </w:tc>
        <w:tc>
          <w:tcPr>
            <w:tcW w:w="10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&lt;0.001</w:t>
            </w: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0.97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0.95–0.99</w:t>
            </w:r>
          </w:p>
        </w:tc>
        <w:tc>
          <w:tcPr>
            <w:tcW w:w="10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</w:rPr>
              <w:t>0.001</w:t>
            </w:r>
          </w:p>
        </w:tc>
      </w:tr>
      <w:tr w:rsidR="003B5668" w:rsidRPr="003B5668" w:rsidTr="003B5668">
        <w:tc>
          <w:tcPr>
            <w:tcW w:w="298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Acute </w:t>
            </w:r>
            <w:proofErr w:type="spellStart"/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cholecystitis</w:t>
            </w:r>
            <w:proofErr w:type="spellEnd"/>
          </w:p>
        </w:tc>
        <w:tc>
          <w:tcPr>
            <w:tcW w:w="3032" w:type="dxa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0.56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0.24–1.29</w:t>
            </w:r>
          </w:p>
        </w:tc>
        <w:tc>
          <w:tcPr>
            <w:tcW w:w="10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0.170</w:t>
            </w: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  <w:tc>
          <w:tcPr>
            <w:tcW w:w="10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–</w:t>
            </w:r>
          </w:p>
        </w:tc>
      </w:tr>
      <w:tr w:rsidR="003B5668" w:rsidRPr="003B5668" w:rsidTr="003B5668">
        <w:tc>
          <w:tcPr>
            <w:tcW w:w="298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Cholangitis</w:t>
            </w:r>
          </w:p>
        </w:tc>
        <w:tc>
          <w:tcPr>
            <w:tcW w:w="3032" w:type="dxa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1.35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0.66–2.78</w:t>
            </w:r>
          </w:p>
        </w:tc>
        <w:tc>
          <w:tcPr>
            <w:tcW w:w="10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0.408</w:t>
            </w: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1.55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0.70–3.43</w:t>
            </w:r>
          </w:p>
        </w:tc>
        <w:tc>
          <w:tcPr>
            <w:tcW w:w="10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0.277</w:t>
            </w:r>
          </w:p>
        </w:tc>
      </w:tr>
      <w:tr w:rsidR="003B5668" w:rsidRPr="003B5668" w:rsidTr="003B5668">
        <w:tc>
          <w:tcPr>
            <w:tcW w:w="2981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Biliary pancreatitis</w:t>
            </w:r>
          </w:p>
        </w:tc>
        <w:tc>
          <w:tcPr>
            <w:tcW w:w="3032" w:type="dxa"/>
          </w:tcPr>
          <w:p w:rsidR="003B5668" w:rsidRPr="003B5668" w:rsidRDefault="003B5668" w:rsidP="004F49B4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</w:rPr>
            </w:pP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0.18–1.14</w:t>
            </w:r>
          </w:p>
        </w:tc>
        <w:tc>
          <w:tcPr>
            <w:tcW w:w="1072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0.093</w:t>
            </w:r>
          </w:p>
        </w:tc>
        <w:tc>
          <w:tcPr>
            <w:tcW w:w="76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0.46</w:t>
            </w:r>
          </w:p>
        </w:tc>
        <w:tc>
          <w:tcPr>
            <w:tcW w:w="1200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0.17–1.26</w:t>
            </w:r>
          </w:p>
        </w:tc>
        <w:tc>
          <w:tcPr>
            <w:tcW w:w="1053" w:type="dxa"/>
            <w:tcMar>
              <w:top w:w="40" w:type="dxa"/>
              <w:left w:w="80" w:type="dxa"/>
              <w:bottom w:w="40" w:type="dxa"/>
              <w:right w:w="80" w:type="dxa"/>
            </w:tcMar>
          </w:tcPr>
          <w:p w:rsidR="003B5668" w:rsidRPr="003B5668" w:rsidRDefault="003B5668" w:rsidP="004F49B4">
            <w:pPr>
              <w:jc w:val="center"/>
              <w:rPr>
                <w:color w:val="000000" w:themeColor="text1"/>
              </w:rPr>
            </w:pPr>
            <w:r w:rsidRPr="003B5668">
              <w:rPr>
                <w:rFonts w:ascii="Times New Roman" w:eastAsia="Times New Roman" w:hAnsi="Times New Roman" w:cs="Times New Roman"/>
                <w:color w:val="000000" w:themeColor="text1"/>
              </w:rPr>
              <w:t>0.133</w:t>
            </w:r>
          </w:p>
        </w:tc>
      </w:tr>
    </w:tbl>
    <w:p w:rsidR="003B5668" w:rsidRPr="003B5668" w:rsidRDefault="003B5668" w:rsidP="003B5668">
      <w:pPr>
        <w:spacing w:before="100"/>
        <w:rPr>
          <w:color w:val="000000" w:themeColor="text1"/>
        </w:rPr>
      </w:pPr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OR – odds ratio; CI – confidence interval;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eCCY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early cholecystectomy; </w:t>
      </w:r>
      <w:proofErr w:type="spellStart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>dCCY</w:t>
      </w:r>
      <w:proofErr w:type="spellEnd"/>
      <w:r w:rsidRPr="003B5668">
        <w:rPr>
          <w:rFonts w:ascii="Times New Roman" w:eastAsia="Times New Roman" w:hAnsi="Times New Roman" w:cs="Times New Roman"/>
          <w:i/>
          <w:iCs/>
          <w:color w:val="000000" w:themeColor="text1"/>
          <w:sz w:val="20"/>
          <w:szCs w:val="20"/>
        </w:rPr>
        <w:t xml:space="preserve"> – delayed cholecystectomy Bold p-values indicate statistical significance (p &lt; 0.05)</w:t>
      </w:r>
    </w:p>
    <w:p w:rsidR="00616281" w:rsidRPr="003B5668" w:rsidRDefault="00616281">
      <w:pPr>
        <w:rPr>
          <w:color w:val="000000" w:themeColor="text1"/>
        </w:rPr>
      </w:pPr>
    </w:p>
    <w:sectPr w:rsidR="00616281" w:rsidRPr="003B5668" w:rsidSect="003B566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668"/>
    <w:rsid w:val="00145765"/>
    <w:rsid w:val="003B5668"/>
    <w:rsid w:val="004776EF"/>
    <w:rsid w:val="00616281"/>
    <w:rsid w:val="006C0047"/>
    <w:rsid w:val="0076275E"/>
    <w:rsid w:val="009B6015"/>
    <w:rsid w:val="009E3CD9"/>
    <w:rsid w:val="00C5481F"/>
    <w:rsid w:val="00C6141C"/>
    <w:rsid w:val="00D348C9"/>
    <w:rsid w:val="00D6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22D523B-E7E4-48D8-8C03-85FFC014D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3B566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B5668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:lang w:val="en-GB"/>
      <w14:ligatures w14:val="standardContextual"/>
    </w:rPr>
  </w:style>
  <w:style w:type="paragraph" w:styleId="Caption">
    <w:name w:val="caption"/>
    <w:basedOn w:val="Normal"/>
    <w:next w:val="Normal"/>
    <w:uiPriority w:val="35"/>
    <w:unhideWhenUsed/>
    <w:qFormat/>
    <w:rsid w:val="003B5668"/>
    <w:pPr>
      <w:spacing w:after="200" w:line="240" w:lineRule="auto"/>
    </w:pPr>
    <w:rPr>
      <w:i/>
      <w:iCs/>
      <w:color w:val="44546A" w:themeColor="text2"/>
      <w:kern w:val="2"/>
      <w:sz w:val="18"/>
      <w:szCs w:val="18"/>
      <w:lang w:val="de-DE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755</Words>
  <Characters>4308</Characters>
  <Application>Microsoft Office Word</Application>
  <DocSecurity>0</DocSecurity>
  <Lines>35</Lines>
  <Paragraphs>10</Paragraphs>
  <ScaleCrop>false</ScaleCrop>
  <Company/>
  <LinksUpToDate>false</LinksUpToDate>
  <CharactersWithSpaces>5053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Dhivya G</dc:creator>
  <cp:keywords/>
  <dc:description/>
  <cp:lastModifiedBy>Dhivya G</cp:lastModifiedBy>
  <cp:revision>1</cp:revision>
  <dcterms:created xsi:type="dcterms:W3CDTF">2026-07-28T04:51:00Z</dcterms:created>
  <dcterms:modified xsi:type="dcterms:W3CDTF">2026-07-28T04:53:00Z</dcterms:modified>
</cp:coreProperties>
</file>