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line="480" w:lineRule="auto"/>
        <w:jc w:val="left"/>
      </w:pPr>
      <w:r>
        <w:rPr>
          <w:rFonts w:ascii="Times New Roman" w:hAnsi="Times New Roman"/>
          <w:b/>
          <w:i w:val="0"/>
          <w:sz w:val="28"/>
        </w:rPr>
        <w:t>SUPPLEMENTARY MATERIAL</w:t>
      </w:r>
    </w:p>
    <w:p>
      <w:pPr>
        <w:spacing w:before="0" w:after="120" w:line="480" w:lineRule="auto"/>
        <w:jc w:val="left"/>
      </w:pPr>
      <w:r>
        <w:rPr>
          <w:rFonts w:ascii="Times New Roman" w:hAnsi="Times New Roman"/>
          <w:b/>
          <w:i w:val="0"/>
          <w:sz w:val="24"/>
        </w:rPr>
        <w:t>Manuscript:</w:t>
      </w:r>
      <w:r>
        <w:rPr>
          <w:rFonts w:ascii="Times New Roman" w:hAnsi="Times New Roman"/>
          <w:b w:val="0"/>
          <w:i w:val="0"/>
          <w:sz w:val="24"/>
        </w:rPr>
        <w:t xml:space="preserve"> Do Structural ICU Requirements Reflect Critical Care Demand in Elective Metabolic and Bariatric Surgery? A Retrospective Cohort Study</w:t>
      </w:r>
    </w:p>
    <w:p>
      <w:pPr>
        <w:spacing w:before="0" w:after="120" w:line="480" w:lineRule="auto"/>
        <w:jc w:val="left"/>
      </w:pPr>
      <w:r>
        <w:rPr>
          <w:rFonts w:ascii="Times New Roman" w:hAnsi="Times New Roman"/>
          <w:b w:val="0"/>
          <w:i w:val="0"/>
          <w:sz w:val="24"/>
        </w:rPr>
        <w:t>These exploratory sensitivity analyses are provided in support of the primary descriptive results reported in the main text. Because the number of outcome events was small, all effect estimates carry wide confidence intervals and are interpreted as hypothesis-generating; they are not used to support claims of equivalence between groups.</w:t>
      </w:r>
    </w:p>
    <w:p>
      <w:pPr>
        <w:spacing w:before="240" w:after="120" w:line="480" w:lineRule="auto"/>
        <w:jc w:val="left"/>
      </w:pPr>
      <w:r>
        <w:rPr>
          <w:rFonts w:ascii="Times New Roman" w:hAnsi="Times New Roman"/>
          <w:b/>
          <w:i w:val="0"/>
          <w:sz w:val="24"/>
        </w:rPr>
        <w:t>Supplementary Methods</w:t>
      </w:r>
    </w:p>
    <w:p>
      <w:pPr>
        <w:spacing w:before="0" w:after="120" w:line="480" w:lineRule="auto"/>
        <w:jc w:val="left"/>
      </w:pPr>
      <w:r>
        <w:rPr>
          <w:rFonts w:ascii="Times New Roman" w:hAnsi="Times New Roman"/>
          <w:b/>
          <w:i w:val="0"/>
          <w:sz w:val="24"/>
        </w:rPr>
        <w:t>Multivariable logistic regression.</w:t>
      </w:r>
      <w:r>
        <w:rPr>
          <w:rFonts w:ascii="Times New Roman" w:hAnsi="Times New Roman"/>
          <w:b w:val="0"/>
          <w:i w:val="0"/>
          <w:sz w:val="24"/>
        </w:rPr>
        <w:t xml:space="preserve"> The association between procedure type (MBS vs LC) and the 30-day complication rate was assessed by multivariable logistic regression, adjusting for age, sex, body mass index (BMI), and operative time. Results are reported as adjusted odds ratios (aOR) with 95% confidence intervals (CIs). Model calibration was assessed with the Hosmer–Lemeshow goodness-of-fit test. A post-hoc power analysis indicated 13% power to detect the observed 0.63-percentage-point inter-group difference in complication rates, with 80% power reached only for differences ≥3.5% — underscoring that the study was not designed to detect small differences in these low-frequency outcomes.</w:t>
      </w:r>
    </w:p>
    <w:p>
      <w:pPr>
        <w:spacing w:before="0" w:after="120" w:line="480" w:lineRule="auto"/>
        <w:jc w:val="left"/>
      </w:pPr>
      <w:r>
        <w:rPr>
          <w:rFonts w:ascii="Times New Roman" w:hAnsi="Times New Roman"/>
          <w:b/>
          <w:i w:val="0"/>
          <w:sz w:val="24"/>
        </w:rPr>
        <w:t>Propensity-score matching.</w:t>
      </w:r>
      <w:r>
        <w:rPr>
          <w:rFonts w:ascii="Times New Roman" w:hAnsi="Times New Roman"/>
          <w:b w:val="0"/>
          <w:i w:val="0"/>
          <w:sz w:val="24"/>
        </w:rPr>
        <w:t xml:space="preserve"> To address baseline imbalance, we performed a prespecified sensitivity analysis using 1:1 propensity-score matching. Propensity scores were estimated by logistic regression with the treatment indicator (MBS vs LC) as the dependent variable and age, sex, BMI, and operative time as covariates. We performed greedy nearest-neighbor matching on the logit of the propensity score, using a caliper of 0.2 standard deviations and restricting to the region of common support. Covariate balance was evaluated using standardized mean differences (SMD), with values &lt;0.1 considered well balanced. Outcomes in the matched cohort were compared using McNemar's test and conditional logistic regression. Analyses used PROC PSMATCH and PROC LOGISTIC in SAS OnDemand for Academics (SAS Institute, Cary, NC).</w:t>
      </w:r>
    </w:p>
    <w:p>
      <w:pPr>
        <w:spacing w:before="240" w:after="120" w:line="480" w:lineRule="auto"/>
        <w:jc w:val="left"/>
      </w:pPr>
      <w:r>
        <w:rPr>
          <w:rFonts w:ascii="Times New Roman" w:hAnsi="Times New Roman"/>
          <w:b/>
          <w:i w:val="0"/>
          <w:sz w:val="24"/>
        </w:rPr>
        <w:t>Supplementary Results</w:t>
      </w:r>
    </w:p>
    <w:p>
      <w:pPr>
        <w:spacing w:before="0" w:after="120" w:line="480" w:lineRule="auto"/>
        <w:jc w:val="left"/>
      </w:pPr>
      <w:r>
        <w:rPr>
          <w:rFonts w:ascii="Times New Roman" w:hAnsi="Times New Roman"/>
          <w:b w:val="0"/>
          <w:i w:val="0"/>
          <w:sz w:val="24"/>
        </w:rPr>
        <w:t>After adjusting for age, sex, BMI, and operative time, procedure type was not independently associated with 30-day complications (aOR 0.72; 95% CI 0.36–1.45; p=0.49). Operative time was the only significant predictor (aOR 1.01 per minute; 95% CI 1.00–1.02; p=0.008). The Hosmer–Lemeshow test indicated adequate calibration (p=0.82).</w:t>
      </w:r>
    </w:p>
    <w:p>
      <w:pPr>
        <w:spacing w:before="0" w:after="120" w:line="480" w:lineRule="auto"/>
        <w:jc w:val="left"/>
      </w:pPr>
      <w:r>
        <w:rPr>
          <w:rFonts w:ascii="Times New Roman" w:hAnsi="Times New Roman"/>
          <w:b w:val="0"/>
          <w:i w:val="0"/>
          <w:sz w:val="24"/>
        </w:rPr>
        <w:t>Propensity-score matching produced 122 matched pairs and markedly improved covariate balance (all post-matching SMD &lt;0.16; Supplementary Table S2, Panel A). In the matched cohort, no safety outcome differed significantly between MBS and LC (Supplementary Table S2, Panel B), and no matched MBS patient was admitted to intensive care (0/122 vs 1/122 in LC). Only 122 of 348 MBS patients with complete covariate data could be matched, reflecting limited overlap between the populations: the youngest, highest-BMI MBS patients had no comparable LC counterpart. The consistency of the matched-cohort results with the full-cohort descriptive findings is reassuring but, given the small number of events, cannot establish equivalence.</w:t>
      </w:r>
    </w:p>
    <w:p>
      <w:pPr>
        <w:spacing w:before="240" w:after="120" w:line="480" w:lineRule="auto"/>
        <w:jc w:val="left"/>
      </w:pPr>
      <w:r>
        <w:rPr>
          <w:rFonts w:ascii="Times New Roman" w:hAnsi="Times New Roman"/>
          <w:b/>
          <w:i w:val="0"/>
          <w:sz w:val="24"/>
        </w:rPr>
        <w:t>Supplementary Tables</w:t>
      </w:r>
    </w:p>
    <w:p>
      <w:pPr>
        <w:spacing w:before="0" w:after="120" w:line="480" w:lineRule="auto"/>
        <w:jc w:val="left"/>
      </w:pPr>
      <w:r>
        <w:rPr>
          <w:rFonts w:ascii="Times New Roman" w:hAnsi="Times New Roman"/>
          <w:b/>
          <w:i w:val="0"/>
          <w:sz w:val="24"/>
        </w:rPr>
        <w:t>Supplementary Table S1. Multivariable logistic regression for 30-day complications.</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D9D9D9"/>
          </w:tcPr>
          <w:p>
            <w:pPr>
              <w:spacing w:line="240" w:lineRule="auto" w:before="20" w:after="20"/>
            </w:pPr>
            <w:r>
              <w:rPr>
                <w:rFonts w:ascii="Times New Roman" w:hAnsi="Times New Roman"/>
                <w:b/>
                <w:i w:val="0"/>
                <w:sz w:val="18"/>
              </w:rPr>
              <w:t>Variable</w:t>
            </w:r>
          </w:p>
        </w:tc>
        <w:tc>
          <w:tcPr>
            <w:tcW w:type="dxa" w:w="3120"/>
            <w:shd w:val="clear" w:color="auto" w:fill="D9D9D9"/>
          </w:tcPr>
          <w:p>
            <w:pPr>
              <w:spacing w:line="240" w:lineRule="auto" w:before="20" w:after="20"/>
            </w:pPr>
            <w:r>
              <w:rPr>
                <w:rFonts w:ascii="Times New Roman" w:hAnsi="Times New Roman"/>
                <w:b/>
                <w:i w:val="0"/>
                <w:sz w:val="18"/>
              </w:rPr>
              <w:t>Adjusted OR (95% CI)</w:t>
            </w:r>
          </w:p>
        </w:tc>
        <w:tc>
          <w:tcPr>
            <w:tcW w:type="dxa" w:w="3120"/>
            <w:shd w:val="clear" w:color="auto" w:fill="D9D9D9"/>
          </w:tcPr>
          <w:p>
            <w:pPr>
              <w:spacing w:line="240" w:lineRule="auto" w:before="20" w:after="20"/>
            </w:pPr>
            <w:r>
              <w:rPr>
                <w:rFonts w:ascii="Times New Roman" w:hAnsi="Times New Roman"/>
                <w:b/>
                <w:i w:val="0"/>
                <w:sz w:val="18"/>
              </w:rPr>
              <w:t>p value</w:t>
            </w:r>
          </w:p>
        </w:tc>
      </w:tr>
      <w:tr>
        <w:tc>
          <w:tcPr>
            <w:tcW w:type="dxa" w:w="3120"/>
          </w:tcPr>
          <w:p>
            <w:pPr>
              <w:spacing w:line="240" w:lineRule="auto" w:before="20" w:after="20"/>
            </w:pPr>
            <w:r>
              <w:rPr>
                <w:rFonts w:ascii="Times New Roman" w:hAnsi="Times New Roman"/>
                <w:b w:val="0"/>
                <w:i w:val="0"/>
                <w:sz w:val="18"/>
              </w:rPr>
              <w:t>Procedure type (MBS vs LC)</w:t>
            </w:r>
          </w:p>
        </w:tc>
        <w:tc>
          <w:tcPr>
            <w:tcW w:type="dxa" w:w="3120"/>
          </w:tcPr>
          <w:p>
            <w:pPr>
              <w:spacing w:line="240" w:lineRule="auto" w:before="20" w:after="20"/>
            </w:pPr>
            <w:r>
              <w:rPr>
                <w:rFonts w:ascii="Times New Roman" w:hAnsi="Times New Roman"/>
                <w:b w:val="0"/>
                <w:i w:val="0"/>
                <w:sz w:val="18"/>
              </w:rPr>
              <w:t>0.72 (0.36–1.45)</w:t>
            </w:r>
          </w:p>
        </w:tc>
        <w:tc>
          <w:tcPr>
            <w:tcW w:type="dxa" w:w="3120"/>
          </w:tcPr>
          <w:p>
            <w:pPr>
              <w:spacing w:line="240" w:lineRule="auto" w:before="20" w:after="20"/>
            </w:pPr>
            <w:r>
              <w:rPr>
                <w:rFonts w:ascii="Times New Roman" w:hAnsi="Times New Roman"/>
                <w:b w:val="0"/>
                <w:i w:val="0"/>
                <w:sz w:val="18"/>
              </w:rPr>
              <w:t>0.49</w:t>
            </w:r>
          </w:p>
        </w:tc>
      </w:tr>
      <w:tr>
        <w:tc>
          <w:tcPr>
            <w:tcW w:type="dxa" w:w="3120"/>
          </w:tcPr>
          <w:p>
            <w:pPr>
              <w:spacing w:line="240" w:lineRule="auto" w:before="20" w:after="20"/>
            </w:pPr>
            <w:r>
              <w:rPr>
                <w:rFonts w:ascii="Times New Roman" w:hAnsi="Times New Roman"/>
                <w:b w:val="0"/>
                <w:i w:val="0"/>
                <w:sz w:val="18"/>
              </w:rPr>
              <w:t>Age (per year)</w:t>
            </w:r>
          </w:p>
        </w:tc>
        <w:tc>
          <w:tcPr>
            <w:tcW w:type="dxa" w:w="3120"/>
          </w:tcPr>
          <w:p>
            <w:pPr>
              <w:spacing w:line="240" w:lineRule="auto" w:before="20" w:after="20"/>
            </w:pPr>
            <w:r>
              <w:rPr>
                <w:rFonts w:ascii="Times New Roman" w:hAnsi="Times New Roman"/>
                <w:b w:val="0"/>
                <w:i w:val="0"/>
                <w:sz w:val="18"/>
              </w:rPr>
              <w:t>0.99 (0.97–1.01)</w:t>
            </w:r>
          </w:p>
        </w:tc>
        <w:tc>
          <w:tcPr>
            <w:tcW w:type="dxa" w:w="3120"/>
          </w:tcPr>
          <w:p>
            <w:pPr>
              <w:spacing w:line="240" w:lineRule="auto" w:before="20" w:after="20"/>
            </w:pPr>
            <w:r>
              <w:rPr>
                <w:rFonts w:ascii="Times New Roman" w:hAnsi="Times New Roman"/>
                <w:b w:val="0"/>
                <w:i w:val="0"/>
                <w:sz w:val="18"/>
              </w:rPr>
              <w:t>0.33</w:t>
            </w:r>
          </w:p>
        </w:tc>
      </w:tr>
      <w:tr>
        <w:tc>
          <w:tcPr>
            <w:tcW w:type="dxa" w:w="3120"/>
          </w:tcPr>
          <w:p>
            <w:pPr>
              <w:spacing w:line="240" w:lineRule="auto" w:before="20" w:after="20"/>
            </w:pPr>
            <w:r>
              <w:rPr>
                <w:rFonts w:ascii="Times New Roman" w:hAnsi="Times New Roman"/>
                <w:b w:val="0"/>
                <w:i w:val="0"/>
                <w:sz w:val="18"/>
              </w:rPr>
              <w:t>Female sex</w:t>
            </w:r>
          </w:p>
        </w:tc>
        <w:tc>
          <w:tcPr>
            <w:tcW w:type="dxa" w:w="3120"/>
          </w:tcPr>
          <w:p>
            <w:pPr>
              <w:spacing w:line="240" w:lineRule="auto" w:before="20" w:after="20"/>
            </w:pPr>
            <w:r>
              <w:rPr>
                <w:rFonts w:ascii="Times New Roman" w:hAnsi="Times New Roman"/>
                <w:b w:val="0"/>
                <w:i w:val="0"/>
                <w:sz w:val="18"/>
              </w:rPr>
              <w:t>0.53 (0.27–1.02)</w:t>
            </w:r>
          </w:p>
        </w:tc>
        <w:tc>
          <w:tcPr>
            <w:tcW w:type="dxa" w:w="3120"/>
          </w:tcPr>
          <w:p>
            <w:pPr>
              <w:spacing w:line="240" w:lineRule="auto" w:before="20" w:after="20"/>
            </w:pPr>
            <w:r>
              <w:rPr>
                <w:rFonts w:ascii="Times New Roman" w:hAnsi="Times New Roman"/>
                <w:b w:val="0"/>
                <w:i w:val="0"/>
                <w:sz w:val="18"/>
              </w:rPr>
              <w:t>0.06</w:t>
            </w:r>
          </w:p>
        </w:tc>
      </w:tr>
      <w:tr>
        <w:tc>
          <w:tcPr>
            <w:tcW w:type="dxa" w:w="3120"/>
          </w:tcPr>
          <w:p>
            <w:pPr>
              <w:spacing w:line="240" w:lineRule="auto" w:before="20" w:after="20"/>
            </w:pPr>
            <w:r>
              <w:rPr>
                <w:rFonts w:ascii="Times New Roman" w:hAnsi="Times New Roman"/>
                <w:b w:val="0"/>
                <w:i w:val="0"/>
                <w:sz w:val="18"/>
              </w:rPr>
              <w:t>BMI (per kg/m²)</w:t>
            </w:r>
          </w:p>
        </w:tc>
        <w:tc>
          <w:tcPr>
            <w:tcW w:type="dxa" w:w="3120"/>
          </w:tcPr>
          <w:p>
            <w:pPr>
              <w:spacing w:line="240" w:lineRule="auto" w:before="20" w:after="20"/>
            </w:pPr>
            <w:r>
              <w:rPr>
                <w:rFonts w:ascii="Times New Roman" w:hAnsi="Times New Roman"/>
                <w:b w:val="0"/>
                <w:i w:val="0"/>
                <w:sz w:val="18"/>
              </w:rPr>
              <w:t>1.01 (0.96–1.05)</w:t>
            </w:r>
          </w:p>
        </w:tc>
        <w:tc>
          <w:tcPr>
            <w:tcW w:type="dxa" w:w="3120"/>
          </w:tcPr>
          <w:p>
            <w:pPr>
              <w:spacing w:line="240" w:lineRule="auto" w:before="20" w:after="20"/>
            </w:pPr>
            <w:r>
              <w:rPr>
                <w:rFonts w:ascii="Times New Roman" w:hAnsi="Times New Roman"/>
                <w:b w:val="0"/>
                <w:i w:val="0"/>
                <w:sz w:val="18"/>
              </w:rPr>
              <w:t>0.77</w:t>
            </w:r>
          </w:p>
        </w:tc>
      </w:tr>
      <w:tr>
        <w:tc>
          <w:tcPr>
            <w:tcW w:type="dxa" w:w="3120"/>
          </w:tcPr>
          <w:p>
            <w:pPr>
              <w:spacing w:line="240" w:lineRule="auto" w:before="20" w:after="20"/>
            </w:pPr>
            <w:r>
              <w:rPr>
                <w:rFonts w:ascii="Times New Roman" w:hAnsi="Times New Roman"/>
                <w:b w:val="0"/>
                <w:i w:val="0"/>
                <w:sz w:val="18"/>
              </w:rPr>
              <w:t>Operative time (per minute)</w:t>
            </w:r>
          </w:p>
        </w:tc>
        <w:tc>
          <w:tcPr>
            <w:tcW w:type="dxa" w:w="3120"/>
          </w:tcPr>
          <w:p>
            <w:pPr>
              <w:spacing w:line="240" w:lineRule="auto" w:before="20" w:after="20"/>
            </w:pPr>
            <w:r>
              <w:rPr>
                <w:rFonts w:ascii="Times New Roman" w:hAnsi="Times New Roman"/>
                <w:b w:val="0"/>
                <w:i w:val="0"/>
                <w:sz w:val="18"/>
              </w:rPr>
              <w:t>1.01 (1.00–1.02)</w:t>
            </w:r>
          </w:p>
        </w:tc>
        <w:tc>
          <w:tcPr>
            <w:tcW w:type="dxa" w:w="3120"/>
          </w:tcPr>
          <w:p>
            <w:pPr>
              <w:spacing w:line="240" w:lineRule="auto" w:before="20" w:after="20"/>
            </w:pPr>
            <w:r>
              <w:rPr>
                <w:rFonts w:ascii="Times New Roman" w:hAnsi="Times New Roman"/>
                <w:b w:val="0"/>
                <w:i w:val="0"/>
                <w:sz w:val="18"/>
              </w:rPr>
              <w:t>0.008</w:t>
            </w:r>
          </w:p>
        </w:tc>
      </w:tr>
    </w:tbl>
    <w:p/>
    <w:p>
      <w:pPr>
        <w:spacing w:before="0" w:after="120" w:line="480" w:lineRule="auto"/>
        <w:jc w:val="left"/>
      </w:pPr>
      <w:r>
        <w:rPr>
          <w:rFonts w:ascii="Times New Roman" w:hAnsi="Times New Roman"/>
          <w:b w:val="0"/>
          <w:i w:val="0"/>
          <w:sz w:val="24"/>
        </w:rPr>
        <w:t>Hosmer–Lemeshow goodness-of-fit p=0.82. OR, odds ratio; CI, confidence interval; BMI, body mass index; MBS, metabolic and bariatric surgery; LC, laparoscopic cholecystectomy.</w:t>
      </w:r>
    </w:p>
    <w:p>
      <w:pPr>
        <w:spacing w:before="0" w:after="120" w:line="480" w:lineRule="auto"/>
        <w:jc w:val="left"/>
      </w:pPr>
      <w:r>
        <w:rPr>
          <w:rFonts w:ascii="Times New Roman" w:hAnsi="Times New Roman"/>
          <w:b/>
          <w:i w:val="0"/>
          <w:sz w:val="24"/>
        </w:rPr>
        <w:t>Supplementary Table S2. Propensity-score-matched sensitivity analysis (122 matched pairs).</w:t>
      </w:r>
    </w:p>
    <w:p>
      <w:pPr>
        <w:spacing w:before="0" w:after="120" w:line="480" w:lineRule="auto"/>
        <w:jc w:val="left"/>
      </w:pPr>
      <w:r>
        <w:rPr>
          <w:rFonts w:ascii="Times New Roman" w:hAnsi="Times New Roman"/>
          <w:b w:val="0"/>
          <w:i/>
          <w:sz w:val="24"/>
        </w:rPr>
        <w:t>Panel A — Covariate balance (standardized mean differences, SMD):</w:t>
      </w:r>
    </w:p>
    <w:tbl>
      <w:tblPr>
        <w:tblStyle w:val="TableGrid"/>
        <w:tblW w:type="auto" w:w="0"/>
        <w:tblLook w:firstColumn="1" w:firstRow="1" w:lastColumn="0" w:lastRow="0" w:noHBand="0" w:noVBand="1" w:val="04A0"/>
      </w:tblPr>
      <w:tblGrid>
        <w:gridCol w:w="2340"/>
        <w:gridCol w:w="2340"/>
        <w:gridCol w:w="2340"/>
        <w:gridCol w:w="2340"/>
      </w:tblGrid>
      <w:tr>
        <w:tc>
          <w:tcPr>
            <w:tcW w:type="dxa" w:w="2340"/>
            <w:shd w:val="clear" w:color="auto" w:fill="D9D9D9"/>
          </w:tcPr>
          <w:p>
            <w:pPr>
              <w:spacing w:line="240" w:lineRule="auto" w:before="20" w:after="20"/>
            </w:pPr>
            <w:r>
              <w:rPr>
                <w:rFonts w:ascii="Times New Roman" w:hAnsi="Times New Roman"/>
                <w:b/>
                <w:i w:val="0"/>
                <w:sz w:val="18"/>
              </w:rPr>
              <w:t>Covariate</w:t>
            </w:r>
          </w:p>
        </w:tc>
        <w:tc>
          <w:tcPr>
            <w:tcW w:type="dxa" w:w="2340"/>
            <w:shd w:val="clear" w:color="auto" w:fill="D9D9D9"/>
          </w:tcPr>
          <w:p>
            <w:pPr>
              <w:spacing w:line="240" w:lineRule="auto" w:before="20" w:after="20"/>
            </w:pPr>
            <w:r>
              <w:rPr>
                <w:rFonts w:ascii="Times New Roman" w:hAnsi="Times New Roman"/>
                <w:b/>
                <w:i w:val="0"/>
                <w:sz w:val="18"/>
              </w:rPr>
              <w:t>SMD before matching</w:t>
            </w:r>
          </w:p>
        </w:tc>
        <w:tc>
          <w:tcPr>
            <w:tcW w:type="dxa" w:w="2340"/>
            <w:shd w:val="clear" w:color="auto" w:fill="D9D9D9"/>
          </w:tcPr>
          <w:p>
            <w:pPr>
              <w:spacing w:line="240" w:lineRule="auto" w:before="20" w:after="20"/>
            </w:pPr>
            <w:r>
              <w:rPr>
                <w:rFonts w:ascii="Times New Roman" w:hAnsi="Times New Roman"/>
                <w:b/>
                <w:i w:val="0"/>
                <w:sz w:val="18"/>
              </w:rPr>
              <w:t>SMD after matching</w:t>
            </w:r>
          </w:p>
        </w:tc>
        <w:tc>
          <w:tcPr>
            <w:tcW w:type="dxa" w:w="2340"/>
            <w:shd w:val="clear" w:color="auto" w:fill="D9D9D9"/>
          </w:tcPr>
          <w:p>
            <w:pPr>
              <w:spacing w:line="240" w:lineRule="auto" w:before="20" w:after="20"/>
            </w:pPr>
            <w:r>
              <w:rPr>
                <w:rFonts w:ascii="Times New Roman" w:hAnsi="Times New Roman"/>
                <w:b/>
                <w:i w:val="0"/>
                <w:sz w:val="18"/>
              </w:rPr>
              <w:t>Reduction</w:t>
            </w:r>
          </w:p>
        </w:tc>
      </w:tr>
      <w:tr>
        <w:tc>
          <w:tcPr>
            <w:tcW w:type="dxa" w:w="2340"/>
          </w:tcPr>
          <w:p>
            <w:pPr>
              <w:spacing w:line="240" w:lineRule="auto" w:before="20" w:after="20"/>
            </w:pPr>
            <w:r>
              <w:rPr>
                <w:rFonts w:ascii="Times New Roman" w:hAnsi="Times New Roman"/>
                <w:b w:val="0"/>
                <w:i w:val="0"/>
                <w:sz w:val="18"/>
              </w:rPr>
              <w:t>Age</w:t>
            </w:r>
          </w:p>
        </w:tc>
        <w:tc>
          <w:tcPr>
            <w:tcW w:type="dxa" w:w="2340"/>
          </w:tcPr>
          <w:p>
            <w:pPr>
              <w:spacing w:line="240" w:lineRule="auto" w:before="20" w:after="20"/>
            </w:pPr>
            <w:r>
              <w:rPr>
                <w:rFonts w:ascii="Times New Roman" w:hAnsi="Times New Roman"/>
                <w:b w:val="0"/>
                <w:i w:val="0"/>
                <w:sz w:val="18"/>
              </w:rPr>
              <w:t>−1.18</w:t>
            </w:r>
          </w:p>
        </w:tc>
        <w:tc>
          <w:tcPr>
            <w:tcW w:type="dxa" w:w="2340"/>
          </w:tcPr>
          <w:p>
            <w:pPr>
              <w:spacing w:line="240" w:lineRule="auto" w:before="20" w:after="20"/>
            </w:pPr>
            <w:r>
              <w:rPr>
                <w:rFonts w:ascii="Times New Roman" w:hAnsi="Times New Roman"/>
                <w:b w:val="0"/>
                <w:i w:val="0"/>
                <w:sz w:val="18"/>
              </w:rPr>
              <w:t>0.07</w:t>
            </w:r>
          </w:p>
        </w:tc>
        <w:tc>
          <w:tcPr>
            <w:tcW w:type="dxa" w:w="2340"/>
          </w:tcPr>
          <w:p>
            <w:pPr>
              <w:spacing w:line="240" w:lineRule="auto" w:before="20" w:after="20"/>
            </w:pPr>
            <w:r>
              <w:rPr>
                <w:rFonts w:ascii="Times New Roman" w:hAnsi="Times New Roman"/>
                <w:b w:val="0"/>
                <w:i w:val="0"/>
                <w:sz w:val="18"/>
              </w:rPr>
              <w:t>94%</w:t>
            </w:r>
          </w:p>
        </w:tc>
      </w:tr>
      <w:tr>
        <w:tc>
          <w:tcPr>
            <w:tcW w:type="dxa" w:w="2340"/>
          </w:tcPr>
          <w:p>
            <w:pPr>
              <w:spacing w:line="240" w:lineRule="auto" w:before="20" w:after="20"/>
            </w:pPr>
            <w:r>
              <w:rPr>
                <w:rFonts w:ascii="Times New Roman" w:hAnsi="Times New Roman"/>
                <w:b w:val="0"/>
                <w:i w:val="0"/>
                <w:sz w:val="18"/>
              </w:rPr>
              <w:t>BMI</w:t>
            </w:r>
          </w:p>
        </w:tc>
        <w:tc>
          <w:tcPr>
            <w:tcW w:type="dxa" w:w="2340"/>
          </w:tcPr>
          <w:p>
            <w:pPr>
              <w:spacing w:line="240" w:lineRule="auto" w:before="20" w:after="20"/>
            </w:pPr>
            <w:r>
              <w:rPr>
                <w:rFonts w:ascii="Times New Roman" w:hAnsi="Times New Roman"/>
                <w:b w:val="0"/>
                <w:i w:val="0"/>
                <w:sz w:val="18"/>
              </w:rPr>
              <w:t>1.39</w:t>
            </w:r>
          </w:p>
        </w:tc>
        <w:tc>
          <w:tcPr>
            <w:tcW w:type="dxa" w:w="2340"/>
          </w:tcPr>
          <w:p>
            <w:pPr>
              <w:spacing w:line="240" w:lineRule="auto" w:before="20" w:after="20"/>
            </w:pPr>
            <w:r>
              <w:rPr>
                <w:rFonts w:ascii="Times New Roman" w:hAnsi="Times New Roman"/>
                <w:b w:val="0"/>
                <w:i w:val="0"/>
                <w:sz w:val="18"/>
              </w:rPr>
              <w:t>0.16</w:t>
            </w:r>
          </w:p>
        </w:tc>
        <w:tc>
          <w:tcPr>
            <w:tcW w:type="dxa" w:w="2340"/>
          </w:tcPr>
          <w:p>
            <w:pPr>
              <w:spacing w:line="240" w:lineRule="auto" w:before="20" w:after="20"/>
            </w:pPr>
            <w:r>
              <w:rPr>
                <w:rFonts w:ascii="Times New Roman" w:hAnsi="Times New Roman"/>
                <w:b w:val="0"/>
                <w:i w:val="0"/>
                <w:sz w:val="18"/>
              </w:rPr>
              <w:t>88%</w:t>
            </w:r>
          </w:p>
        </w:tc>
      </w:tr>
      <w:tr>
        <w:tc>
          <w:tcPr>
            <w:tcW w:type="dxa" w:w="2340"/>
          </w:tcPr>
          <w:p>
            <w:pPr>
              <w:spacing w:line="240" w:lineRule="auto" w:before="20" w:after="20"/>
            </w:pPr>
            <w:r>
              <w:rPr>
                <w:rFonts w:ascii="Times New Roman" w:hAnsi="Times New Roman"/>
                <w:b w:val="0"/>
                <w:i w:val="0"/>
                <w:sz w:val="18"/>
              </w:rPr>
              <w:t>Operative time</w:t>
            </w:r>
          </w:p>
        </w:tc>
        <w:tc>
          <w:tcPr>
            <w:tcW w:type="dxa" w:w="2340"/>
          </w:tcPr>
          <w:p>
            <w:pPr>
              <w:spacing w:line="240" w:lineRule="auto" w:before="20" w:after="20"/>
            </w:pPr>
            <w:r>
              <w:rPr>
                <w:rFonts w:ascii="Times New Roman" w:hAnsi="Times New Roman"/>
                <w:b w:val="0"/>
                <w:i w:val="0"/>
                <w:sz w:val="18"/>
              </w:rPr>
              <w:t>0.92</w:t>
            </w:r>
          </w:p>
        </w:tc>
        <w:tc>
          <w:tcPr>
            <w:tcW w:type="dxa" w:w="2340"/>
          </w:tcPr>
          <w:p>
            <w:pPr>
              <w:spacing w:line="240" w:lineRule="auto" w:before="20" w:after="20"/>
            </w:pPr>
            <w:r>
              <w:rPr>
                <w:rFonts w:ascii="Times New Roman" w:hAnsi="Times New Roman"/>
                <w:b w:val="0"/>
                <w:i w:val="0"/>
                <w:sz w:val="18"/>
              </w:rPr>
              <w:t>0.08</w:t>
            </w:r>
          </w:p>
        </w:tc>
        <w:tc>
          <w:tcPr>
            <w:tcW w:type="dxa" w:w="2340"/>
          </w:tcPr>
          <w:p>
            <w:pPr>
              <w:spacing w:line="240" w:lineRule="auto" w:before="20" w:after="20"/>
            </w:pPr>
            <w:r>
              <w:rPr>
                <w:rFonts w:ascii="Times New Roman" w:hAnsi="Times New Roman"/>
                <w:b w:val="0"/>
                <w:i w:val="0"/>
                <w:sz w:val="18"/>
              </w:rPr>
              <w:t>91%</w:t>
            </w:r>
          </w:p>
        </w:tc>
      </w:tr>
    </w:tbl>
    <w:p/>
    <w:p>
      <w:pPr>
        <w:spacing w:before="0" w:after="120" w:line="480" w:lineRule="auto"/>
        <w:jc w:val="left"/>
      </w:pPr>
      <w:r>
        <w:rPr>
          <w:rFonts w:ascii="Times New Roman" w:hAnsi="Times New Roman"/>
          <w:b w:val="0"/>
          <w:i/>
          <w:sz w:val="24"/>
        </w:rPr>
        <w:t>Panel B — Outcomes in the matched cohort (122 MBS vs 122 LC):</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D9D9D9"/>
          </w:tcPr>
          <w:p>
            <w:pPr>
              <w:spacing w:line="240" w:lineRule="auto" w:before="20" w:after="20"/>
            </w:pPr>
            <w:r>
              <w:rPr>
                <w:rFonts w:ascii="Times New Roman" w:hAnsi="Times New Roman"/>
                <w:b/>
                <w:i w:val="0"/>
                <w:sz w:val="18"/>
              </w:rPr>
              <w:t>Outcome</w:t>
            </w:r>
          </w:p>
        </w:tc>
        <w:tc>
          <w:tcPr>
            <w:tcW w:type="dxa" w:w="3120"/>
            <w:shd w:val="clear" w:color="auto" w:fill="D9D9D9"/>
          </w:tcPr>
          <w:p>
            <w:pPr>
              <w:spacing w:line="240" w:lineRule="auto" w:before="20" w:after="20"/>
            </w:pPr>
            <w:r>
              <w:rPr>
                <w:rFonts w:ascii="Times New Roman" w:hAnsi="Times New Roman"/>
                <w:b/>
                <w:i w:val="0"/>
                <w:sz w:val="18"/>
              </w:rPr>
              <w:t>OR (95% CI)</w:t>
            </w:r>
          </w:p>
        </w:tc>
        <w:tc>
          <w:tcPr>
            <w:tcW w:type="dxa" w:w="3120"/>
            <w:shd w:val="clear" w:color="auto" w:fill="D9D9D9"/>
          </w:tcPr>
          <w:p>
            <w:pPr>
              <w:spacing w:line="240" w:lineRule="auto" w:before="20" w:after="20"/>
            </w:pPr>
            <w:r>
              <w:rPr>
                <w:rFonts w:ascii="Times New Roman" w:hAnsi="Times New Roman"/>
                <w:b/>
                <w:i w:val="0"/>
                <w:sz w:val="18"/>
              </w:rPr>
              <w:t>p value</w:t>
            </w:r>
          </w:p>
        </w:tc>
      </w:tr>
      <w:tr>
        <w:tc>
          <w:tcPr>
            <w:tcW w:type="dxa" w:w="3120"/>
          </w:tcPr>
          <w:p>
            <w:pPr>
              <w:spacing w:line="240" w:lineRule="auto" w:before="20" w:after="20"/>
            </w:pPr>
            <w:r>
              <w:rPr>
                <w:rFonts w:ascii="Times New Roman" w:hAnsi="Times New Roman"/>
                <w:b w:val="0"/>
                <w:i w:val="0"/>
                <w:sz w:val="18"/>
              </w:rPr>
              <w:t>Overall complications (Clavien–Dindo ≥I)</w:t>
            </w:r>
          </w:p>
        </w:tc>
        <w:tc>
          <w:tcPr>
            <w:tcW w:type="dxa" w:w="3120"/>
          </w:tcPr>
          <w:p>
            <w:pPr>
              <w:spacing w:line="240" w:lineRule="auto" w:before="20" w:after="20"/>
            </w:pPr>
            <w:r>
              <w:rPr>
                <w:rFonts w:ascii="Times New Roman" w:hAnsi="Times New Roman"/>
                <w:b w:val="0"/>
                <w:i w:val="0"/>
                <w:sz w:val="18"/>
              </w:rPr>
              <w:t>0.50 (0.15–1.66)</w:t>
            </w:r>
          </w:p>
        </w:tc>
        <w:tc>
          <w:tcPr>
            <w:tcW w:type="dxa" w:w="3120"/>
          </w:tcPr>
          <w:p>
            <w:pPr>
              <w:spacing w:line="240" w:lineRule="auto" w:before="20" w:after="20"/>
            </w:pPr>
            <w:r>
              <w:rPr>
                <w:rFonts w:ascii="Times New Roman" w:hAnsi="Times New Roman"/>
                <w:b w:val="0"/>
                <w:i w:val="0"/>
                <w:sz w:val="18"/>
              </w:rPr>
              <w:t>0.26</w:t>
            </w:r>
          </w:p>
        </w:tc>
      </w:tr>
      <w:tr>
        <w:tc>
          <w:tcPr>
            <w:tcW w:type="dxa" w:w="3120"/>
          </w:tcPr>
          <w:p>
            <w:pPr>
              <w:spacing w:line="240" w:lineRule="auto" w:before="20" w:after="20"/>
            </w:pPr>
            <w:r>
              <w:rPr>
                <w:rFonts w:ascii="Times New Roman" w:hAnsi="Times New Roman"/>
                <w:b w:val="0"/>
                <w:i w:val="0"/>
                <w:sz w:val="18"/>
              </w:rPr>
              <w:t>Severe complications (Clavien–Dindo ≥III)</w:t>
            </w:r>
          </w:p>
        </w:tc>
        <w:tc>
          <w:tcPr>
            <w:tcW w:type="dxa" w:w="3120"/>
          </w:tcPr>
          <w:p>
            <w:pPr>
              <w:spacing w:line="240" w:lineRule="auto" w:before="20" w:after="20"/>
            </w:pPr>
            <w:r>
              <w:rPr>
                <w:rFonts w:ascii="Times New Roman" w:hAnsi="Times New Roman"/>
                <w:b w:val="0"/>
                <w:i w:val="0"/>
                <w:sz w:val="18"/>
              </w:rPr>
              <w:t>0.67 (0.11–3.99)</w:t>
            </w:r>
          </w:p>
        </w:tc>
        <w:tc>
          <w:tcPr>
            <w:tcW w:type="dxa" w:w="3120"/>
          </w:tcPr>
          <w:p>
            <w:pPr>
              <w:spacing w:line="240" w:lineRule="auto" w:before="20" w:after="20"/>
            </w:pPr>
            <w:r>
              <w:rPr>
                <w:rFonts w:ascii="Times New Roman" w:hAnsi="Times New Roman"/>
                <w:b w:val="0"/>
                <w:i w:val="0"/>
                <w:sz w:val="18"/>
              </w:rPr>
              <w:t>0.66</w:t>
            </w:r>
          </w:p>
        </w:tc>
      </w:tr>
      <w:tr>
        <w:tc>
          <w:tcPr>
            <w:tcW w:type="dxa" w:w="3120"/>
          </w:tcPr>
          <w:p>
            <w:pPr>
              <w:spacing w:line="240" w:lineRule="auto" w:before="20" w:after="20"/>
            </w:pPr>
            <w:r>
              <w:rPr>
                <w:rFonts w:ascii="Times New Roman" w:hAnsi="Times New Roman"/>
                <w:b w:val="0"/>
                <w:i w:val="0"/>
                <w:sz w:val="18"/>
              </w:rPr>
              <w:t>30-day reoperation</w:t>
            </w:r>
          </w:p>
        </w:tc>
        <w:tc>
          <w:tcPr>
            <w:tcW w:type="dxa" w:w="3120"/>
          </w:tcPr>
          <w:p>
            <w:pPr>
              <w:spacing w:line="240" w:lineRule="auto" w:before="20" w:after="20"/>
            </w:pPr>
            <w:r>
              <w:rPr>
                <w:rFonts w:ascii="Times New Roman" w:hAnsi="Times New Roman"/>
                <w:b w:val="0"/>
                <w:i w:val="0"/>
                <w:sz w:val="18"/>
              </w:rPr>
              <w:t>2.00 (0.18–22.06)</w:t>
            </w:r>
          </w:p>
        </w:tc>
        <w:tc>
          <w:tcPr>
            <w:tcW w:type="dxa" w:w="3120"/>
          </w:tcPr>
          <w:p>
            <w:pPr>
              <w:spacing w:line="240" w:lineRule="auto" w:before="20" w:after="20"/>
            </w:pPr>
            <w:r>
              <w:rPr>
                <w:rFonts w:ascii="Times New Roman" w:hAnsi="Times New Roman"/>
                <w:b w:val="0"/>
                <w:i w:val="0"/>
                <w:sz w:val="18"/>
              </w:rPr>
              <w:t>0.57</w:t>
            </w:r>
          </w:p>
        </w:tc>
      </w:tr>
      <w:tr>
        <w:tc>
          <w:tcPr>
            <w:tcW w:type="dxa" w:w="3120"/>
          </w:tcPr>
          <w:p>
            <w:pPr>
              <w:spacing w:line="240" w:lineRule="auto" w:before="20" w:after="20"/>
            </w:pPr>
            <w:r>
              <w:rPr>
                <w:rFonts w:ascii="Times New Roman" w:hAnsi="Times New Roman"/>
                <w:b w:val="0"/>
                <w:i w:val="0"/>
                <w:sz w:val="18"/>
              </w:rPr>
              <w:t>30-day readmission</w:t>
            </w:r>
          </w:p>
        </w:tc>
        <w:tc>
          <w:tcPr>
            <w:tcW w:type="dxa" w:w="3120"/>
          </w:tcPr>
          <w:p>
            <w:pPr>
              <w:spacing w:line="240" w:lineRule="auto" w:before="20" w:after="20"/>
            </w:pPr>
            <w:r>
              <w:rPr>
                <w:rFonts w:ascii="Times New Roman" w:hAnsi="Times New Roman"/>
                <w:b w:val="0"/>
                <w:i w:val="0"/>
                <w:sz w:val="18"/>
              </w:rPr>
              <w:t>1.00 (0.06–15.99)</w:t>
            </w:r>
          </w:p>
        </w:tc>
        <w:tc>
          <w:tcPr>
            <w:tcW w:type="dxa" w:w="3120"/>
          </w:tcPr>
          <w:p>
            <w:pPr>
              <w:spacing w:line="240" w:lineRule="auto" w:before="20" w:after="20"/>
            </w:pPr>
            <w:r>
              <w:rPr>
                <w:rFonts w:ascii="Times New Roman" w:hAnsi="Times New Roman"/>
                <w:b w:val="0"/>
                <w:i w:val="0"/>
                <w:sz w:val="18"/>
              </w:rPr>
              <w:t>1.00</w:t>
            </w:r>
          </w:p>
        </w:tc>
      </w:tr>
      <w:tr>
        <w:tc>
          <w:tcPr>
            <w:tcW w:type="dxa" w:w="3120"/>
          </w:tcPr>
          <w:p>
            <w:pPr>
              <w:spacing w:line="240" w:lineRule="auto" w:before="20" w:after="20"/>
            </w:pPr>
            <w:r>
              <w:rPr>
                <w:rFonts w:ascii="Times New Roman" w:hAnsi="Times New Roman"/>
                <w:b w:val="0"/>
                <w:i w:val="0"/>
                <w:sz w:val="18"/>
              </w:rPr>
              <w:t>ICU admission (MBS vs LC), n/N</w:t>
            </w:r>
          </w:p>
        </w:tc>
        <w:tc>
          <w:tcPr>
            <w:tcW w:type="dxa" w:w="3120"/>
          </w:tcPr>
          <w:p>
            <w:pPr>
              <w:spacing w:line="240" w:lineRule="auto" w:before="20" w:after="20"/>
            </w:pPr>
            <w:r>
              <w:rPr>
                <w:rFonts w:ascii="Times New Roman" w:hAnsi="Times New Roman"/>
                <w:b w:val="0"/>
                <w:i w:val="0"/>
                <w:sz w:val="18"/>
              </w:rPr>
              <w:t>0/122 vs 1/122</w:t>
            </w:r>
          </w:p>
        </w:tc>
        <w:tc>
          <w:tcPr>
            <w:tcW w:type="dxa" w:w="3120"/>
          </w:tcPr>
          <w:p>
            <w:pPr>
              <w:spacing w:line="240" w:lineRule="auto" w:before="20" w:after="20"/>
            </w:pPr>
            <w:r>
              <w:rPr>
                <w:rFonts w:ascii="Times New Roman" w:hAnsi="Times New Roman"/>
                <w:b w:val="0"/>
                <w:i w:val="0"/>
                <w:sz w:val="18"/>
              </w:rPr>
              <w:t>RD −0.8% (−2.4% to +0.8%)</w:t>
            </w:r>
          </w:p>
        </w:tc>
      </w:tr>
    </w:tbl>
    <w:p/>
    <w:p>
      <w:pPr>
        <w:spacing w:before="0" w:after="120" w:line="480" w:lineRule="auto"/>
        <w:jc w:val="left"/>
      </w:pPr>
      <w:r>
        <w:rPr>
          <w:rFonts w:ascii="Times New Roman" w:hAnsi="Times New Roman"/>
          <w:b w:val="0"/>
          <w:i w:val="0"/>
          <w:sz w:val="24"/>
        </w:rPr>
        <w:t>SMD, standardized mean difference; OR, odds ratio; CI, confidence interval; BMI, body mass index; ICU, intensive care unit; RD, risk difference; MBS, metabolic and bariatric surgery; LC, laparoscopic cholecystectomy. Sex was also included as a matching covariate. The ICU outcome is reported descriptively because the very low event rate precluded inferential modeling. Only 122 of 348 MBS patients with complete covariate data could be matched, reflecting limited overlap (the youngest, highest-BMI MBS patients had no comparable LC counterpart). Wide confidence intervals reflect the small number of events; these estimates are hypothesis-generating and do not establish equivalence.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