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08D5BA" w14:textId="309611AB" w:rsidR="00ED3174" w:rsidRPr="00E967E7" w:rsidRDefault="001D30A7">
      <w:pPr>
        <w:spacing w:after="40"/>
        <w:jc w:val="center"/>
        <w:rPr>
          <w:color w:val="000000" w:themeColor="text1"/>
        </w:rPr>
      </w:pPr>
      <w:bookmarkStart w:id="0" w:name="_GoBack"/>
      <w:r w:rsidRPr="00E967E7">
        <w:rPr>
          <w:noProof/>
          <w:color w:val="000000" w:themeColor="text1"/>
          <w:lang w:val="en-IN" w:eastAsia="en-IN"/>
        </w:rPr>
        <w:drawing>
          <wp:inline distT="0" distB="0" distL="0" distR="0" wp14:anchorId="08308DCA" wp14:editId="08CBAA44">
            <wp:extent cx="6766560" cy="8839200"/>
            <wp:effectExtent l="0" t="0" r="0" b="0"/>
            <wp:docPr id="17225198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519811" name="Picture 172251981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883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3F96CAF0" w14:textId="77777777" w:rsidR="00ED3174" w:rsidRPr="00E967E7" w:rsidRDefault="00E967E7">
      <w:pPr>
        <w:rPr>
          <w:color w:val="000000" w:themeColor="text1"/>
        </w:rPr>
      </w:pPr>
      <w:r w:rsidRPr="00E967E7">
        <w:rPr>
          <w:color w:val="000000" w:themeColor="text1"/>
        </w:rPr>
        <w:br w:type="page"/>
      </w:r>
    </w:p>
    <w:p w14:paraId="16F43BB9" w14:textId="77777777" w:rsidR="00ED3174" w:rsidRPr="00E967E7" w:rsidRDefault="00E967E7">
      <w:pPr>
        <w:keepNext/>
        <w:spacing w:after="100"/>
        <w:rPr>
          <w:color w:val="000000" w:themeColor="text1"/>
          <w:sz w:val="24"/>
          <w:szCs w:val="24"/>
        </w:rPr>
      </w:pPr>
      <w:r w:rsidRPr="00E967E7">
        <w:rPr>
          <w:b/>
          <w:color w:val="000000" w:themeColor="text1"/>
          <w:sz w:val="24"/>
          <w:szCs w:val="24"/>
        </w:rPr>
        <w:lastRenderedPageBreak/>
        <w:t>Supplemental Table 1. Comparison of demographics and preoperative clinical characteristics between included and excluded patients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44"/>
        <w:gridCol w:w="1728"/>
        <w:gridCol w:w="1728"/>
        <w:gridCol w:w="1440"/>
      </w:tblGrid>
      <w:tr w:rsidR="00E967E7" w:rsidRPr="00E967E7" w14:paraId="3700A7B5" w14:textId="77777777">
        <w:trPr>
          <w:jc w:val="center"/>
        </w:trPr>
        <w:tc>
          <w:tcPr>
            <w:tcW w:w="5544" w:type="dxa"/>
            <w:tcBorders>
              <w:top w:val="single" w:sz="8" w:space="0" w:color="7F7F7F"/>
              <w:left w:val="nil"/>
              <w:bottom w:val="single" w:sz="6" w:space="0" w:color="A6A6A6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2A3D637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Demographics</w:t>
            </w:r>
          </w:p>
        </w:tc>
        <w:tc>
          <w:tcPr>
            <w:tcW w:w="1728" w:type="dxa"/>
            <w:tcBorders>
              <w:top w:val="single" w:sz="8" w:space="0" w:color="7F7F7F"/>
              <w:left w:val="nil"/>
              <w:bottom w:val="single" w:sz="6" w:space="0" w:color="A6A6A6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25DC3B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 xml:space="preserve">Included </w:t>
            </w:r>
            <w:r w:rsidRPr="00E967E7">
              <w:rPr>
                <w:b/>
                <w:color w:val="000000" w:themeColor="text1"/>
                <w:sz w:val="24"/>
                <w:szCs w:val="24"/>
              </w:rPr>
              <w:br/>
              <w:t>(n=258)</w:t>
            </w:r>
          </w:p>
        </w:tc>
        <w:tc>
          <w:tcPr>
            <w:tcW w:w="1728" w:type="dxa"/>
            <w:tcBorders>
              <w:top w:val="single" w:sz="8" w:space="0" w:color="7F7F7F"/>
              <w:left w:val="nil"/>
              <w:bottom w:val="single" w:sz="6" w:space="0" w:color="A6A6A6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2290A41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 xml:space="preserve">Excluded </w:t>
            </w:r>
            <w:r w:rsidRPr="00E967E7">
              <w:rPr>
                <w:b/>
                <w:color w:val="000000" w:themeColor="text1"/>
                <w:sz w:val="24"/>
                <w:szCs w:val="24"/>
              </w:rPr>
              <w:br/>
              <w:t>(n=56)</w:t>
            </w:r>
          </w:p>
        </w:tc>
        <w:tc>
          <w:tcPr>
            <w:tcW w:w="1440" w:type="dxa"/>
            <w:tcBorders>
              <w:top w:val="single" w:sz="8" w:space="0" w:color="7F7F7F"/>
              <w:left w:val="nil"/>
              <w:bottom w:val="single" w:sz="6" w:space="0" w:color="A6A6A6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B7B5F38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i/>
                <w:color w:val="000000" w:themeColor="text1"/>
                <w:sz w:val="24"/>
                <w:szCs w:val="24"/>
              </w:rPr>
              <w:t>p-value</w:t>
            </w:r>
          </w:p>
        </w:tc>
      </w:tr>
      <w:tr w:rsidR="00E967E7" w:rsidRPr="00E967E7" w14:paraId="6C0E7553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F2EA5B8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Age, years, mean (SD)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B984AF4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61.6 (10.9)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C803495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59.4 (12.4)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D6DE59D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0.194</w:t>
            </w:r>
          </w:p>
        </w:tc>
      </w:tr>
      <w:tr w:rsidR="00E967E7" w:rsidRPr="00E967E7" w14:paraId="66C65A8D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1B7E153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Sex, n (%)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64BDD7C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77C9799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1D07FDE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67E7" w:rsidRPr="00E967E7" w14:paraId="77E3399D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28CAEDC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Male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A1D0D61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103 (39.9)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7972BD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16 (28.6)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D78A1C7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0.130</w:t>
            </w:r>
          </w:p>
        </w:tc>
      </w:tr>
      <w:tr w:rsidR="00E967E7" w:rsidRPr="00E967E7" w14:paraId="02742162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3263292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Female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B6EF2AA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155 (60.1)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A60459C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40 (71.4)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A5B7A6A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67E7" w:rsidRPr="00E967E7" w14:paraId="4ABBF812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C315D28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BMI, kg/m2, mean (SD)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CCF95FC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29.0 (4.4)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2B9B5D8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28.4 (4.6)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981FC61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0.424</w:t>
            </w:r>
          </w:p>
        </w:tc>
      </w:tr>
      <w:tr w:rsidR="00E967E7" w:rsidRPr="00E967E7" w14:paraId="1472574C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828946C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Reflux symptoms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7D2AA75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7E21F53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8D87E4F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67E7" w:rsidRPr="00E967E7" w14:paraId="0951DB12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18BB3BD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GERD-HRQL total score, mean (SD)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77B04D1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18.0 (11.8)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574B7BD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20.8 (13.4)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9B9D5F5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0.235</w:t>
            </w:r>
          </w:p>
        </w:tc>
      </w:tr>
      <w:tr w:rsidR="00E967E7" w:rsidRPr="00E967E7" w14:paraId="6B34066A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44DE475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GERD-HRQL dysphagia score, mean (SD)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B4228B4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2.2 (2.7)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420772E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 xml:space="preserve">3.2 </w:t>
            </w:r>
            <w:r w:rsidRPr="00E967E7">
              <w:rPr>
                <w:color w:val="000000" w:themeColor="text1"/>
                <w:sz w:val="24"/>
                <w:szCs w:val="24"/>
              </w:rPr>
              <w:t>(3.1)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C88E7DE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0.056</w:t>
            </w:r>
          </w:p>
        </w:tc>
      </w:tr>
      <w:tr w:rsidR="00E967E7" w:rsidRPr="00E967E7" w14:paraId="6E6222C3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5E6F762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GERD-HRQL bloating score, mean (SD)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8AD5393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1.7 (1.6)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C6C1A99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2.2 (1.8)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A454483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0.090</w:t>
            </w:r>
          </w:p>
        </w:tc>
      </w:tr>
      <w:tr w:rsidR="00E967E7" w:rsidRPr="00E967E7" w14:paraId="0BA4CADC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5DC967D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Objective reflux-related findings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A8618CB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572065A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26A8608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67E7" w:rsidRPr="00E967E7" w14:paraId="58B54CB6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C070741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Axial length of hiatal hernia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4AE1E55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6CE74EC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9687DF8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67E7" w:rsidRPr="00E967E7" w14:paraId="56FEF07F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E4CD61B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3-5 cm, n (%)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4BEAA8B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100 (38.8)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1A15D14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20 (42.6)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67CA626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0.630</w:t>
            </w:r>
          </w:p>
        </w:tc>
      </w:tr>
      <w:tr w:rsidR="00E967E7" w:rsidRPr="00E967E7" w14:paraId="241C553A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D5D192C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&gt;5 cm, n (%)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79B6914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158 (61.2)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01AF1AB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27 (57.5)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4B5F8F4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67E7" w:rsidRPr="00E967E7" w14:paraId="432DA347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DFE4877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Grade C/D esophagitis, n (%)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F2EF87D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16 (9.6)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7FFA59B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3 (7.9)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5810F1E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1.000</w:t>
            </w:r>
          </w:p>
        </w:tc>
      </w:tr>
      <w:tr w:rsidR="00E967E7" w:rsidRPr="00E967E7" w14:paraId="70213D7F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8DDA92B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Barrett’s esophagus, n (%)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AAFB04F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26 (21.7)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10BB0CC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7 (31.8)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88A63BD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0.288</w:t>
            </w:r>
          </w:p>
        </w:tc>
      </w:tr>
      <w:tr w:rsidR="00E967E7" w:rsidRPr="00E967E7" w14:paraId="564681FB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6412A72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967E7">
              <w:rPr>
                <w:color w:val="000000" w:themeColor="text1"/>
                <w:sz w:val="24"/>
                <w:szCs w:val="24"/>
              </w:rPr>
              <w:t>DeMeester</w:t>
            </w:r>
            <w:proofErr w:type="spellEnd"/>
            <w:r w:rsidRPr="00E967E7">
              <w:rPr>
                <w:color w:val="000000" w:themeColor="text1"/>
                <w:sz w:val="24"/>
                <w:szCs w:val="24"/>
              </w:rPr>
              <w:t xml:space="preserve"> score, mean (SD)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D06344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50.8 (40.1)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20F571E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52.8 (49.5)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18DC18A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0.786</w:t>
            </w:r>
          </w:p>
        </w:tc>
      </w:tr>
      <w:tr w:rsidR="00E967E7" w:rsidRPr="00E967E7" w14:paraId="587DC47F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9F56986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967E7">
              <w:rPr>
                <w:color w:val="000000" w:themeColor="text1"/>
                <w:sz w:val="24"/>
                <w:szCs w:val="24"/>
              </w:rPr>
              <w:t>DeMeester</w:t>
            </w:r>
            <w:proofErr w:type="spellEnd"/>
            <w:r w:rsidRPr="00E967E7">
              <w:rPr>
                <w:color w:val="000000" w:themeColor="text1"/>
                <w:sz w:val="24"/>
                <w:szCs w:val="24"/>
              </w:rPr>
              <w:t xml:space="preserve"> score ≥50, n (%)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6DE36BD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42 (35.6)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5E6AA35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9 (37.5)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D1C79E9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1.000</w:t>
            </w:r>
          </w:p>
        </w:tc>
      </w:tr>
      <w:tr w:rsidR="00E967E7" w:rsidRPr="00E967E7" w14:paraId="3EF8280C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BE828B5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967E7">
              <w:rPr>
                <w:b/>
                <w:color w:val="000000" w:themeColor="text1"/>
                <w:sz w:val="24"/>
                <w:szCs w:val="24"/>
              </w:rPr>
              <w:t>Manometric</w:t>
            </w:r>
            <w:proofErr w:type="spellEnd"/>
            <w:r w:rsidRPr="00E967E7">
              <w:rPr>
                <w:b/>
                <w:color w:val="000000" w:themeColor="text1"/>
                <w:sz w:val="24"/>
                <w:szCs w:val="24"/>
              </w:rPr>
              <w:t xml:space="preserve"> characteristics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46E8929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F90C8D4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0754C2D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67E7" w:rsidRPr="00E967E7" w14:paraId="47612E99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1253C0F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LES resting pressure, mmHg, mean (SD)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C7DF447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21.3 (15.0)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710FFB1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18.1 (10.9)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22DF01B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0.526</w:t>
            </w:r>
          </w:p>
        </w:tc>
      </w:tr>
      <w:tr w:rsidR="00E967E7" w:rsidRPr="00E967E7" w14:paraId="2488C376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64587E8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Integrated relaxation pressure, mmHg, mean (SD)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47BD7CC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7.5 (16.6)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E12AB83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9.1 (4.7)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D4AAAD7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0.035</w:t>
            </w:r>
          </w:p>
        </w:tc>
      </w:tr>
      <w:tr w:rsidR="00E967E7" w:rsidRPr="00E967E7" w14:paraId="744864A0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DBF590A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 xml:space="preserve">Distal contractile integral, </w:t>
            </w:r>
            <w:proofErr w:type="spellStart"/>
            <w:r w:rsidRPr="00E967E7">
              <w:rPr>
                <w:color w:val="000000" w:themeColor="text1"/>
                <w:sz w:val="24"/>
                <w:szCs w:val="24"/>
              </w:rPr>
              <w:t>mmHg∙cm∙s</w:t>
            </w:r>
            <w:proofErr w:type="spellEnd"/>
            <w:r w:rsidRPr="00E967E7">
              <w:rPr>
                <w:color w:val="000000" w:themeColor="text1"/>
                <w:sz w:val="24"/>
                <w:szCs w:val="24"/>
              </w:rPr>
              <w:t>, mean (SD)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0C79FF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1332.6 (1016.6)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54F82B8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1916.2 (2496.8)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656A016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0.797</w:t>
            </w:r>
          </w:p>
        </w:tc>
      </w:tr>
      <w:tr w:rsidR="00E967E7" w:rsidRPr="00E967E7" w14:paraId="700E70AE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849390D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Distal wave amplitude, mmHg, mean (SD)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C1E62FE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75.5 (29.4)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4C877C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 xml:space="preserve">95.7 </w:t>
            </w:r>
            <w:r w:rsidRPr="00E967E7">
              <w:rPr>
                <w:color w:val="000000" w:themeColor="text1"/>
                <w:sz w:val="24"/>
                <w:szCs w:val="24"/>
              </w:rPr>
              <w:t>(53.7)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9A6D38B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0.413</w:t>
            </w:r>
          </w:p>
        </w:tc>
      </w:tr>
      <w:tr w:rsidR="00E967E7" w:rsidRPr="00E967E7" w14:paraId="23231C70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505C6B5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Peristaltic swallows, %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9A5059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89.1 (18.7)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AD3503C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95.8 (10.0)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7B9EF6E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0.126</w:t>
            </w:r>
          </w:p>
        </w:tc>
      </w:tr>
      <w:tr w:rsidR="00E967E7" w:rsidRPr="00E967E7" w14:paraId="554C273A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506C77C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967E7">
              <w:rPr>
                <w:b/>
                <w:color w:val="000000" w:themeColor="text1"/>
                <w:sz w:val="24"/>
                <w:szCs w:val="24"/>
              </w:rPr>
              <w:t>Antireflux</w:t>
            </w:r>
            <w:proofErr w:type="spellEnd"/>
            <w:r w:rsidRPr="00E967E7">
              <w:rPr>
                <w:b/>
                <w:color w:val="000000" w:themeColor="text1"/>
                <w:sz w:val="24"/>
                <w:szCs w:val="24"/>
              </w:rPr>
              <w:t xml:space="preserve"> Procedure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01FAEDF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A847E26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7E8492D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67E7" w:rsidRPr="00E967E7" w14:paraId="266EFFB9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589BAC7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Fundoplication, n (%)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FCF54E8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62 (24.0)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FF948B4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18 (32.1)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9672E7C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0.236</w:t>
            </w:r>
          </w:p>
        </w:tc>
      </w:tr>
      <w:tr w:rsidR="00E967E7" w:rsidRPr="00E967E7" w14:paraId="00802D91" w14:textId="77777777">
        <w:trPr>
          <w:jc w:val="center"/>
        </w:trPr>
        <w:tc>
          <w:tcPr>
            <w:tcW w:w="5544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B552A49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Magnetic sphincter augmentation, n (%)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D43F055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196 (76.0)</w:t>
            </w:r>
          </w:p>
        </w:tc>
        <w:tc>
          <w:tcPr>
            <w:tcW w:w="1728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267E777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38 (67.9)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7277A00" w14:textId="77777777" w:rsidR="00ED3174" w:rsidRPr="00E967E7" w:rsidRDefault="00ED3174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5060C5CD" w14:textId="77777777" w:rsidR="00ED3174" w:rsidRPr="00E967E7" w:rsidRDefault="00E967E7">
      <w:pPr>
        <w:spacing w:before="80" w:after="0"/>
        <w:rPr>
          <w:color w:val="000000" w:themeColor="text1"/>
          <w:sz w:val="22"/>
        </w:rPr>
      </w:pPr>
      <w:r w:rsidRPr="00E967E7">
        <w:rPr>
          <w:color w:val="000000" w:themeColor="text1"/>
          <w:sz w:val="22"/>
        </w:rPr>
        <w:t xml:space="preserve">BMI, body mass index; GERD-HRQL, Gastroesophageal </w:t>
      </w:r>
      <w:r w:rsidRPr="00E967E7">
        <w:rPr>
          <w:color w:val="000000" w:themeColor="text1"/>
          <w:sz w:val="22"/>
        </w:rPr>
        <w:t>Reflux Disease–Health-Related Quality of Life; LES, lower esophageal sphincter; SD, standard deviation.</w:t>
      </w:r>
    </w:p>
    <w:p w14:paraId="2B91372C" w14:textId="77777777" w:rsidR="00ED3174" w:rsidRPr="00E967E7" w:rsidRDefault="00E967E7">
      <w:pPr>
        <w:rPr>
          <w:color w:val="000000" w:themeColor="text1"/>
          <w:sz w:val="24"/>
          <w:szCs w:val="24"/>
        </w:rPr>
      </w:pPr>
      <w:r w:rsidRPr="00E967E7">
        <w:rPr>
          <w:color w:val="000000" w:themeColor="text1"/>
          <w:sz w:val="24"/>
          <w:szCs w:val="24"/>
        </w:rPr>
        <w:br w:type="page"/>
      </w:r>
    </w:p>
    <w:p w14:paraId="7CFE4EEC" w14:textId="77777777" w:rsidR="00ED3174" w:rsidRPr="00E967E7" w:rsidRDefault="00E967E7">
      <w:pPr>
        <w:keepNext/>
        <w:spacing w:after="100"/>
        <w:rPr>
          <w:color w:val="000000" w:themeColor="text1"/>
          <w:sz w:val="24"/>
          <w:szCs w:val="24"/>
        </w:rPr>
      </w:pPr>
      <w:r w:rsidRPr="00E967E7">
        <w:rPr>
          <w:b/>
          <w:color w:val="000000" w:themeColor="text1"/>
          <w:sz w:val="24"/>
          <w:szCs w:val="24"/>
        </w:rPr>
        <w:lastRenderedPageBreak/>
        <w:t>Supplemental Table 2. Distribution of procedures and 3-year objective hiatal hernia recurrence by study center and operative year</w:t>
      </w:r>
    </w:p>
    <w:p w14:paraId="4326BFED" w14:textId="77777777" w:rsidR="00ED3174" w:rsidRPr="00E967E7" w:rsidRDefault="00E967E7">
      <w:pPr>
        <w:spacing w:after="60"/>
        <w:rPr>
          <w:color w:val="000000" w:themeColor="text1"/>
          <w:sz w:val="24"/>
          <w:szCs w:val="24"/>
        </w:rPr>
      </w:pPr>
      <w:r w:rsidRPr="00E967E7">
        <w:rPr>
          <w:b/>
          <w:color w:val="000000" w:themeColor="text1"/>
          <w:sz w:val="24"/>
          <w:szCs w:val="24"/>
        </w:rPr>
        <w:t>A. Distribution by s</w:t>
      </w:r>
      <w:r w:rsidRPr="00E967E7">
        <w:rPr>
          <w:b/>
          <w:color w:val="000000" w:themeColor="text1"/>
          <w:sz w:val="24"/>
          <w:szCs w:val="24"/>
        </w:rPr>
        <w:t>tudy center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816"/>
        <w:gridCol w:w="1296"/>
        <w:gridCol w:w="2376"/>
        <w:gridCol w:w="1296"/>
        <w:gridCol w:w="2376"/>
      </w:tblGrid>
      <w:tr w:rsidR="00E967E7" w:rsidRPr="00E967E7" w14:paraId="0C178E0B" w14:textId="77777777">
        <w:trPr>
          <w:jc w:val="center"/>
        </w:trPr>
        <w:tc>
          <w:tcPr>
            <w:tcW w:w="3816" w:type="dxa"/>
            <w:vMerge w:val="restart"/>
            <w:tcBorders>
              <w:top w:val="single" w:sz="8" w:space="0" w:color="7F7F7F"/>
              <w:left w:val="nil"/>
              <w:bottom w:val="single" w:sz="6" w:space="0" w:color="A6A6A6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09DBB3E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Study center</w:t>
            </w:r>
          </w:p>
          <w:p w14:paraId="7E2512AF" w14:textId="77777777" w:rsidR="00ED3174" w:rsidRPr="00E967E7" w:rsidRDefault="00ED317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72" w:type="dxa"/>
            <w:gridSpan w:val="2"/>
            <w:tcBorders>
              <w:top w:val="single" w:sz="8" w:space="0" w:color="7F7F7F"/>
              <w:left w:val="nil"/>
              <w:bottom w:val="single" w:sz="6" w:space="0" w:color="A6A6A6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F4AC99E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MSA</w:t>
            </w:r>
          </w:p>
          <w:p w14:paraId="2325B0F4" w14:textId="77777777" w:rsidR="00ED3174" w:rsidRPr="00E967E7" w:rsidRDefault="00ED317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672" w:type="dxa"/>
            <w:gridSpan w:val="2"/>
            <w:tcBorders>
              <w:top w:val="single" w:sz="8" w:space="0" w:color="7F7F7F"/>
              <w:left w:val="nil"/>
              <w:bottom w:val="single" w:sz="6" w:space="0" w:color="A6A6A6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8025289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Fundoplication</w:t>
            </w:r>
          </w:p>
          <w:p w14:paraId="0C254011" w14:textId="77777777" w:rsidR="00ED3174" w:rsidRPr="00E967E7" w:rsidRDefault="00ED3174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967E7" w:rsidRPr="00E967E7" w14:paraId="2A759D6A" w14:textId="77777777">
        <w:trPr>
          <w:jc w:val="center"/>
        </w:trPr>
        <w:tc>
          <w:tcPr>
            <w:tcW w:w="3816" w:type="dxa"/>
            <w:vMerge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EB0E281" w14:textId="77777777" w:rsidR="00ED3174" w:rsidRPr="00E967E7" w:rsidRDefault="00ED317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2EE7D0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Patients, N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23E58DD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Recurrence, n/N (%)</w:t>
            </w: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CE41DC1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Patients, N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6565E8A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Recurrence, n/N (%)</w:t>
            </w:r>
          </w:p>
        </w:tc>
      </w:tr>
      <w:tr w:rsidR="00E967E7" w:rsidRPr="00E967E7" w14:paraId="7C1E7380" w14:textId="77777777">
        <w:trPr>
          <w:jc w:val="center"/>
        </w:trPr>
        <w:tc>
          <w:tcPr>
            <w:tcW w:w="381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D24B7B5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Allegheny Health Network</w:t>
            </w: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4A8908C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1BDECA7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0/35 (0.0)</w:t>
            </w: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E2C996E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0071E34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1/4 (25.0)</w:t>
            </w:r>
          </w:p>
        </w:tc>
      </w:tr>
      <w:tr w:rsidR="00E967E7" w:rsidRPr="00E967E7" w14:paraId="0419A890" w14:textId="77777777">
        <w:trPr>
          <w:jc w:val="center"/>
        </w:trPr>
        <w:tc>
          <w:tcPr>
            <w:tcW w:w="381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741E1B3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East Carolina University</w:t>
            </w: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57C4E97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CDFEA65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0/28 (0.0)</w:t>
            </w: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530022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DCE72DF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1/2 (50.0)</w:t>
            </w:r>
          </w:p>
        </w:tc>
      </w:tr>
      <w:tr w:rsidR="00E967E7" w:rsidRPr="00E967E7" w14:paraId="1CD92E90" w14:textId="77777777">
        <w:trPr>
          <w:jc w:val="center"/>
        </w:trPr>
        <w:tc>
          <w:tcPr>
            <w:tcW w:w="381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7643DBA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E967E7">
              <w:rPr>
                <w:color w:val="000000" w:themeColor="text1"/>
                <w:sz w:val="24"/>
                <w:szCs w:val="24"/>
              </w:rPr>
              <w:t>SoFi</w:t>
            </w:r>
            <w:proofErr w:type="spellEnd"/>
            <w:r w:rsidRPr="00E967E7">
              <w:rPr>
                <w:color w:val="000000" w:themeColor="text1"/>
                <w:sz w:val="24"/>
                <w:szCs w:val="24"/>
              </w:rPr>
              <w:t xml:space="preserve"> Research</w:t>
            </w: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BA1093A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109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BEBA4D3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8/109 (7.3)</w:t>
            </w: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A1F19AD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628F8AE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7/25 (28.0)</w:t>
            </w:r>
          </w:p>
        </w:tc>
      </w:tr>
      <w:tr w:rsidR="00E967E7" w:rsidRPr="00E967E7" w14:paraId="702E2EFD" w14:textId="77777777">
        <w:trPr>
          <w:jc w:val="center"/>
        </w:trPr>
        <w:tc>
          <w:tcPr>
            <w:tcW w:w="381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2DC0DD2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South Florida Surgical Specialists</w:t>
            </w: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F0B2461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97F7714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0/4 (0.0)</w:t>
            </w: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A080BF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1BECF93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0/11 (0.0)</w:t>
            </w:r>
          </w:p>
        </w:tc>
      </w:tr>
      <w:tr w:rsidR="00E967E7" w:rsidRPr="00E967E7" w14:paraId="278C30D0" w14:textId="77777777">
        <w:trPr>
          <w:jc w:val="center"/>
        </w:trPr>
        <w:tc>
          <w:tcPr>
            <w:tcW w:w="381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6CD9207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University of Southern California</w:t>
            </w: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767E299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76CC912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2/12 (16.7)</w:t>
            </w: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36A87EF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8EDD835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1/3 (33.3)</w:t>
            </w:r>
          </w:p>
        </w:tc>
      </w:tr>
      <w:tr w:rsidR="00E967E7" w:rsidRPr="00E967E7" w14:paraId="2ABCCFC6" w14:textId="77777777">
        <w:trPr>
          <w:jc w:val="center"/>
        </w:trPr>
        <w:tc>
          <w:tcPr>
            <w:tcW w:w="381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83960F2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University of Texas</w:t>
            </w: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C490565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860D997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2/8 (25.0)</w:t>
            </w: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6887742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17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C53ED21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3/17 (17.6)</w:t>
            </w:r>
          </w:p>
        </w:tc>
      </w:tr>
      <w:tr w:rsidR="00E967E7" w:rsidRPr="00E967E7" w14:paraId="0A8EB58D" w14:textId="77777777">
        <w:trPr>
          <w:jc w:val="center"/>
        </w:trPr>
        <w:tc>
          <w:tcPr>
            <w:tcW w:w="381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87BAF08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Overall</w:t>
            </w: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BF6800D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196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A9B4AC4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12/196 (6.1)</w:t>
            </w:r>
          </w:p>
        </w:tc>
        <w:tc>
          <w:tcPr>
            <w:tcW w:w="129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2900517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2376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A200C9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13/62 (21.0)</w:t>
            </w:r>
          </w:p>
        </w:tc>
      </w:tr>
    </w:tbl>
    <w:p w14:paraId="1FD78F68" w14:textId="77777777" w:rsidR="00ED3174" w:rsidRPr="00E967E7" w:rsidRDefault="00E967E7">
      <w:pPr>
        <w:spacing w:before="100" w:after="60"/>
        <w:rPr>
          <w:color w:val="000000" w:themeColor="text1"/>
          <w:sz w:val="24"/>
          <w:szCs w:val="24"/>
        </w:rPr>
      </w:pPr>
      <w:r w:rsidRPr="00E967E7">
        <w:rPr>
          <w:b/>
          <w:color w:val="000000" w:themeColor="text1"/>
          <w:sz w:val="24"/>
          <w:szCs w:val="24"/>
        </w:rPr>
        <w:t xml:space="preserve">B. Distribution by </w:t>
      </w:r>
      <w:r w:rsidRPr="00E967E7">
        <w:rPr>
          <w:b/>
          <w:color w:val="000000" w:themeColor="text1"/>
          <w:sz w:val="24"/>
          <w:szCs w:val="24"/>
        </w:rPr>
        <w:t>operative year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1440"/>
        <w:gridCol w:w="2520"/>
        <w:gridCol w:w="1440"/>
        <w:gridCol w:w="2520"/>
      </w:tblGrid>
      <w:tr w:rsidR="00E967E7" w:rsidRPr="00E967E7" w14:paraId="62CDD71A" w14:textId="77777777">
        <w:trPr>
          <w:jc w:val="center"/>
        </w:trPr>
        <w:tc>
          <w:tcPr>
            <w:tcW w:w="2880" w:type="dxa"/>
            <w:vMerge w:val="restart"/>
            <w:tcBorders>
              <w:top w:val="single" w:sz="8" w:space="0" w:color="7F7F7F"/>
              <w:left w:val="nil"/>
              <w:bottom w:val="single" w:sz="6" w:space="0" w:color="A6A6A6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BA5509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Operative year</w:t>
            </w:r>
          </w:p>
          <w:p w14:paraId="00107E9B" w14:textId="77777777" w:rsidR="00ED3174" w:rsidRPr="00E967E7" w:rsidRDefault="00ED317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  <w:gridSpan w:val="2"/>
            <w:tcBorders>
              <w:top w:val="single" w:sz="8" w:space="0" w:color="7F7F7F"/>
              <w:left w:val="nil"/>
              <w:bottom w:val="single" w:sz="6" w:space="0" w:color="A6A6A6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3D5AF11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MSA</w:t>
            </w:r>
          </w:p>
          <w:p w14:paraId="07A9DFD8" w14:textId="77777777" w:rsidR="00ED3174" w:rsidRPr="00E967E7" w:rsidRDefault="00ED317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960" w:type="dxa"/>
            <w:gridSpan w:val="2"/>
            <w:tcBorders>
              <w:top w:val="single" w:sz="8" w:space="0" w:color="7F7F7F"/>
              <w:left w:val="nil"/>
              <w:bottom w:val="single" w:sz="6" w:space="0" w:color="A6A6A6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AFD193D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Fundoplication</w:t>
            </w:r>
          </w:p>
          <w:p w14:paraId="7ABDEA2E" w14:textId="77777777" w:rsidR="00ED3174" w:rsidRPr="00E967E7" w:rsidRDefault="00ED3174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E967E7" w:rsidRPr="00E967E7" w14:paraId="1B045496" w14:textId="77777777">
        <w:trPr>
          <w:jc w:val="center"/>
        </w:trPr>
        <w:tc>
          <w:tcPr>
            <w:tcW w:w="2880" w:type="dxa"/>
            <w:vMerge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DC1EBF9" w14:textId="77777777" w:rsidR="00ED3174" w:rsidRPr="00E967E7" w:rsidRDefault="00ED3174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38655AB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Patients, N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3917363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Recurrence, n/N (%)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E0476E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Patients, N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E7E6E6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C516E61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Recurrence, n/N (%)</w:t>
            </w:r>
          </w:p>
        </w:tc>
      </w:tr>
      <w:tr w:rsidR="00E967E7" w:rsidRPr="00E967E7" w14:paraId="3626F215" w14:textId="77777777">
        <w:trPr>
          <w:jc w:val="center"/>
        </w:trPr>
        <w:tc>
          <w:tcPr>
            <w:tcW w:w="288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02DADB3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2012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36D7023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873CCD3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D8599E2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96D6E22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0/2 (0.0)</w:t>
            </w:r>
          </w:p>
        </w:tc>
      </w:tr>
      <w:tr w:rsidR="00E967E7" w:rsidRPr="00E967E7" w14:paraId="366F996C" w14:textId="77777777">
        <w:trPr>
          <w:jc w:val="center"/>
        </w:trPr>
        <w:tc>
          <w:tcPr>
            <w:tcW w:w="288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F21E068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2013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1AAA1EB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A126753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F12A269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8ED6605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0/1 (0.0)</w:t>
            </w:r>
          </w:p>
        </w:tc>
      </w:tr>
      <w:tr w:rsidR="00E967E7" w:rsidRPr="00E967E7" w14:paraId="59209A82" w14:textId="77777777">
        <w:trPr>
          <w:jc w:val="center"/>
        </w:trPr>
        <w:tc>
          <w:tcPr>
            <w:tcW w:w="288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25D8246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2015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85BA08F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E2B3B6E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B93CE9E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06A4D35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0/2 (0.0)</w:t>
            </w:r>
          </w:p>
        </w:tc>
      </w:tr>
      <w:tr w:rsidR="00E967E7" w:rsidRPr="00E967E7" w14:paraId="29D518DF" w14:textId="77777777">
        <w:trPr>
          <w:jc w:val="center"/>
        </w:trPr>
        <w:tc>
          <w:tcPr>
            <w:tcW w:w="288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2D4462A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2016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494AA67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659EF89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0/8 (0.0)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3472481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B501226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1/1 (100.0)</w:t>
            </w:r>
          </w:p>
        </w:tc>
      </w:tr>
      <w:tr w:rsidR="00E967E7" w:rsidRPr="00E967E7" w14:paraId="2061C839" w14:textId="77777777">
        <w:trPr>
          <w:jc w:val="center"/>
        </w:trPr>
        <w:tc>
          <w:tcPr>
            <w:tcW w:w="288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F27DE0D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2017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77E9E05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F81050C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1/19 (5.3)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3AB9865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902180F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0/1 (0.0)</w:t>
            </w:r>
          </w:p>
        </w:tc>
      </w:tr>
      <w:tr w:rsidR="00E967E7" w:rsidRPr="00E967E7" w14:paraId="44562FAC" w14:textId="77777777">
        <w:trPr>
          <w:jc w:val="center"/>
        </w:trPr>
        <w:tc>
          <w:tcPr>
            <w:tcW w:w="288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24B0534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2018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3137534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C843983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1/50 (2.0)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79F268B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F964EB3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1/7 (14.3)</w:t>
            </w:r>
          </w:p>
        </w:tc>
      </w:tr>
      <w:tr w:rsidR="00E967E7" w:rsidRPr="00E967E7" w14:paraId="6AC2CF32" w14:textId="77777777">
        <w:trPr>
          <w:jc w:val="center"/>
        </w:trPr>
        <w:tc>
          <w:tcPr>
            <w:tcW w:w="288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96FC30F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2019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F9AEDAB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59C7D15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3/51 (5.9)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F775ECE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17CC5F3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2/9 (22.2)</w:t>
            </w:r>
          </w:p>
        </w:tc>
      </w:tr>
      <w:tr w:rsidR="00E967E7" w:rsidRPr="00E967E7" w14:paraId="0B30EBFA" w14:textId="77777777">
        <w:trPr>
          <w:jc w:val="center"/>
        </w:trPr>
        <w:tc>
          <w:tcPr>
            <w:tcW w:w="288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4E939BC9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2020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FCC5A12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43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DA8152B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6/43 (14.0)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440E80B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27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912A42B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6/27 (22.2)</w:t>
            </w:r>
          </w:p>
        </w:tc>
      </w:tr>
      <w:tr w:rsidR="00E967E7" w:rsidRPr="00E967E7" w14:paraId="640014A3" w14:textId="77777777">
        <w:trPr>
          <w:jc w:val="center"/>
        </w:trPr>
        <w:tc>
          <w:tcPr>
            <w:tcW w:w="288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ED98DF0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2021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2B273244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19C01AC5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1/25 (4.0)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9CFB6A7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09F22A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3/11 (27.3)</w:t>
            </w:r>
          </w:p>
        </w:tc>
      </w:tr>
      <w:tr w:rsidR="00E967E7" w:rsidRPr="00E967E7" w14:paraId="4E230DA0" w14:textId="77777777">
        <w:trPr>
          <w:jc w:val="center"/>
        </w:trPr>
        <w:tc>
          <w:tcPr>
            <w:tcW w:w="288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2249A1D" w14:textId="77777777" w:rsidR="00ED3174" w:rsidRPr="00E967E7" w:rsidRDefault="00E967E7">
            <w:pPr>
              <w:spacing w:after="0" w:line="240" w:lineRule="auto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2022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1392FC4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9EA34F8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—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8FEBB8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F6C05B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color w:val="000000" w:themeColor="text1"/>
                <w:sz w:val="24"/>
                <w:szCs w:val="24"/>
              </w:rPr>
              <w:t>0/1 (0.0)</w:t>
            </w:r>
          </w:p>
        </w:tc>
      </w:tr>
      <w:tr w:rsidR="00E967E7" w:rsidRPr="00E967E7" w14:paraId="387B2B6C" w14:textId="77777777">
        <w:trPr>
          <w:jc w:val="center"/>
        </w:trPr>
        <w:tc>
          <w:tcPr>
            <w:tcW w:w="288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31CE810D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Overall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5A39A5F7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196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70A0D130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12/196 (6.1)</w:t>
            </w:r>
          </w:p>
        </w:tc>
        <w:tc>
          <w:tcPr>
            <w:tcW w:w="144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6486242F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62</w:t>
            </w:r>
          </w:p>
        </w:tc>
        <w:tc>
          <w:tcPr>
            <w:tcW w:w="2520" w:type="dxa"/>
            <w:tcBorders>
              <w:top w:val="single" w:sz="3" w:space="0" w:color="D9D9D9"/>
              <w:left w:val="nil"/>
              <w:bottom w:val="single" w:sz="3" w:space="0" w:color="D9D9D9"/>
              <w:right w:val="nil"/>
            </w:tcBorders>
            <w:shd w:val="clear" w:color="auto" w:fill="F2F2F2"/>
            <w:tcMar>
              <w:top w:w="35" w:type="dxa"/>
              <w:left w:w="55" w:type="dxa"/>
              <w:bottom w:w="35" w:type="dxa"/>
              <w:right w:w="55" w:type="dxa"/>
            </w:tcMar>
            <w:vAlign w:val="center"/>
          </w:tcPr>
          <w:p w14:paraId="092701C2" w14:textId="77777777" w:rsidR="00ED3174" w:rsidRPr="00E967E7" w:rsidRDefault="00E967E7">
            <w:pPr>
              <w:spacing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 w:rsidRPr="00E967E7">
              <w:rPr>
                <w:b/>
                <w:color w:val="000000" w:themeColor="text1"/>
                <w:sz w:val="24"/>
                <w:szCs w:val="24"/>
              </w:rPr>
              <w:t>13/62 (21.0)</w:t>
            </w:r>
          </w:p>
        </w:tc>
      </w:tr>
    </w:tbl>
    <w:p w14:paraId="683D8DB2" w14:textId="77777777" w:rsidR="00ED3174" w:rsidRPr="00E967E7" w:rsidRDefault="00E967E7">
      <w:pPr>
        <w:spacing w:before="80" w:after="40"/>
        <w:rPr>
          <w:color w:val="000000" w:themeColor="text1"/>
          <w:sz w:val="22"/>
        </w:rPr>
      </w:pPr>
      <w:r w:rsidRPr="00E967E7">
        <w:rPr>
          <w:color w:val="000000" w:themeColor="text1"/>
          <w:sz w:val="22"/>
        </w:rPr>
        <w:t xml:space="preserve">MSA, magnetic sphincter augmentation. Center- and </w:t>
      </w:r>
      <w:r w:rsidRPr="00E967E7">
        <w:rPr>
          <w:color w:val="000000" w:themeColor="text1"/>
          <w:sz w:val="22"/>
        </w:rPr>
        <w:t>year-specific P values are not reported because of sparse cells and multiple comparisons.</w:t>
      </w:r>
    </w:p>
    <w:p w14:paraId="1C71E019" w14:textId="77777777" w:rsidR="00ED3174" w:rsidRPr="00E967E7" w:rsidRDefault="00E967E7">
      <w:pPr>
        <w:spacing w:after="0"/>
        <w:rPr>
          <w:color w:val="000000" w:themeColor="text1"/>
          <w:sz w:val="22"/>
        </w:rPr>
      </w:pPr>
      <w:r w:rsidRPr="00E967E7">
        <w:rPr>
          <w:b/>
          <w:color w:val="000000" w:themeColor="text1"/>
          <w:sz w:val="22"/>
        </w:rPr>
        <w:t xml:space="preserve">Post hoc operative-era sensitivity: </w:t>
      </w:r>
      <w:r w:rsidRPr="00E967E7">
        <w:rPr>
          <w:color w:val="000000" w:themeColor="text1"/>
          <w:sz w:val="22"/>
        </w:rPr>
        <w:t>When the analysis was restricted to 2016–2021, the years in which both procedures were represented, recurrence was 12/196 (6.1%) a</w:t>
      </w:r>
      <w:r w:rsidRPr="00E967E7">
        <w:rPr>
          <w:color w:val="000000" w:themeColor="text1"/>
          <w:sz w:val="22"/>
        </w:rPr>
        <w:t>fter MSA and 13/56 (23.2%) after fundoplication (P&lt;.001).</w:t>
      </w:r>
    </w:p>
    <w:sectPr w:rsidR="00ED3174" w:rsidRPr="00E967E7" w:rsidSect="00E967E7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367EA"/>
    <w:rsid w:val="0006063C"/>
    <w:rsid w:val="00126E1F"/>
    <w:rsid w:val="0015074B"/>
    <w:rsid w:val="001D30A7"/>
    <w:rsid w:val="00254084"/>
    <w:rsid w:val="0029639D"/>
    <w:rsid w:val="00326F90"/>
    <w:rsid w:val="00651337"/>
    <w:rsid w:val="007B2A8F"/>
    <w:rsid w:val="008D2C77"/>
    <w:rsid w:val="00AA1D8D"/>
    <w:rsid w:val="00B47730"/>
    <w:rsid w:val="00BE0710"/>
    <w:rsid w:val="00CB0664"/>
    <w:rsid w:val="00E236CD"/>
    <w:rsid w:val="00E66B82"/>
    <w:rsid w:val="00E967E7"/>
    <w:rsid w:val="00ED31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BC02FE44-0278-4077-B4E6-50A00F938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mbria" w:eastAsia="Cambria" w:hAnsi="Cambria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9836ED-3C5B-4325-9209-76C8FF8DA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88f0574-adf0-4820-ab8e-62198bfae84d}" enabled="1" method="Privileged" siteId="{c57d1a73-0e5c-464b-afb7-086dc67f3d4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Supplemental Figure and Tables</dc:title>
  <dc:subject>Surgical Endoscopy resubmission supplement</dc:subject>
  <dc:creator>python-docx</dc:creator>
  <cp:keywords/>
  <dc:description>generated by python-docx</dc:description>
  <cp:lastModifiedBy>Sivaranjini P</cp:lastModifiedBy>
  <cp:revision>3</cp:revision>
  <dcterms:created xsi:type="dcterms:W3CDTF">2026-09-15T02:36:00Z</dcterms:created>
  <dcterms:modified xsi:type="dcterms:W3CDTF">2026-10-05T12:33:00Z</dcterms:modified>
  <cp:category/>
</cp:coreProperties>
</file>