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9B" w:rsidRPr="00E45010" w:rsidRDefault="00ED669B" w:rsidP="00ED669B">
      <w:pPr>
        <w:pStyle w:val="Default"/>
        <w:spacing w:line="480" w:lineRule="auto"/>
        <w:rPr>
          <w:rFonts w:ascii="Arial" w:hAnsi="Arial" w:cs="Arial"/>
          <w:b/>
        </w:rPr>
      </w:pPr>
      <w:r w:rsidRPr="00E45010">
        <w:rPr>
          <w:rFonts w:ascii="Arial" w:hAnsi="Arial" w:cs="Arial"/>
          <w:b/>
        </w:rPr>
        <w:t>The effect of everolimus on renal angiomyolipoma in pediatric patients with tuberous sclerosis being treated for subependymal giant cell astrocytoma</w:t>
      </w:r>
    </w:p>
    <w:p w:rsidR="00ED669B" w:rsidRPr="00E45010" w:rsidRDefault="00ED669B" w:rsidP="00ED669B">
      <w:pPr>
        <w:pStyle w:val="Default"/>
        <w:spacing w:line="480" w:lineRule="auto"/>
        <w:rPr>
          <w:rFonts w:ascii="Arial" w:hAnsi="Arial" w:cs="Arial"/>
          <w:b/>
        </w:rPr>
      </w:pPr>
    </w:p>
    <w:p w:rsidR="00ED669B" w:rsidRPr="00E45010" w:rsidRDefault="00ED669B" w:rsidP="00ED669B">
      <w:pPr>
        <w:pStyle w:val="Default"/>
        <w:spacing w:line="480" w:lineRule="auto"/>
        <w:rPr>
          <w:rFonts w:ascii="Arial" w:hAnsi="Arial" w:cs="Arial"/>
          <w:b/>
        </w:rPr>
      </w:pPr>
      <w:r w:rsidRPr="00E45010">
        <w:rPr>
          <w:rFonts w:ascii="Arial" w:hAnsi="Arial" w:cs="Arial"/>
          <w:b/>
        </w:rPr>
        <w:t>Journal</w:t>
      </w:r>
      <w:r w:rsidRPr="00E45010">
        <w:rPr>
          <w:rFonts w:ascii="Arial" w:hAnsi="Arial" w:cs="Arial"/>
        </w:rPr>
        <w:t xml:space="preserve">: </w:t>
      </w:r>
      <w:r w:rsidRPr="00E45010">
        <w:rPr>
          <w:rFonts w:ascii="Arial" w:hAnsi="Arial" w:cs="Arial"/>
          <w:i/>
        </w:rPr>
        <w:t>Pediatric Nephrology</w:t>
      </w:r>
    </w:p>
    <w:p w:rsidR="00ED669B" w:rsidRPr="00E45010" w:rsidRDefault="00ED669B" w:rsidP="00ED669B">
      <w:pPr>
        <w:spacing w:after="0" w:line="48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ED669B" w:rsidRPr="00E45010" w:rsidRDefault="00ED669B" w:rsidP="00ED669B">
      <w:pPr>
        <w:spacing w:after="0" w:line="480" w:lineRule="auto"/>
        <w:rPr>
          <w:rFonts w:ascii="Arial" w:hAnsi="Arial" w:cs="Arial"/>
          <w:bCs/>
          <w:sz w:val="24"/>
          <w:szCs w:val="24"/>
          <w:vertAlign w:val="superscript"/>
        </w:rPr>
      </w:pPr>
      <w:r w:rsidRPr="00E45010">
        <w:rPr>
          <w:rFonts w:ascii="Arial" w:hAnsi="Arial" w:cs="Arial"/>
          <w:bCs/>
          <w:color w:val="000000"/>
          <w:sz w:val="24"/>
          <w:szCs w:val="24"/>
        </w:rPr>
        <w:t xml:space="preserve">John J. Bissler, David N. Franz, Michael D. Frost, Elena Belousova, </w:t>
      </w:r>
      <w:r w:rsidRPr="00E45010">
        <w:rPr>
          <w:rFonts w:ascii="Arial" w:eastAsia="Times New Roman" w:hAnsi="Arial" w:cs="Arial"/>
          <w:bCs/>
          <w:sz w:val="24"/>
          <w:szCs w:val="24"/>
        </w:rPr>
        <w:t>E. Martina Bebin,</w:t>
      </w:r>
      <w:r w:rsidRPr="00E45010">
        <w:rPr>
          <w:rFonts w:ascii="Arial" w:eastAsia="Times New Roman" w:hAnsi="Arial" w:cs="Arial"/>
          <w:bCs/>
          <w:sz w:val="24"/>
          <w:szCs w:val="24"/>
          <w:vertAlign w:val="superscript"/>
        </w:rPr>
        <w:t xml:space="preserve"> </w:t>
      </w:r>
      <w:r w:rsidRPr="00E45010">
        <w:rPr>
          <w:rFonts w:ascii="Arial" w:eastAsia="Times New Roman" w:hAnsi="Arial" w:cs="Arial"/>
          <w:bCs/>
          <w:sz w:val="24"/>
          <w:szCs w:val="24"/>
        </w:rPr>
        <w:t>Steven Sparagana,</w:t>
      </w:r>
      <w:r w:rsidRPr="00E45010">
        <w:rPr>
          <w:rFonts w:ascii="Arial" w:hAnsi="Arial" w:cs="Arial"/>
          <w:bCs/>
          <w:color w:val="000000"/>
          <w:sz w:val="24"/>
          <w:szCs w:val="24"/>
        </w:rPr>
        <w:t xml:space="preserve"> Noah Berkowitz, Antonia Ridolfi, J. Christopher Kingswood</w:t>
      </w:r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bCs/>
          <w:sz w:val="24"/>
          <w:szCs w:val="24"/>
          <w:vertAlign w:val="superscript"/>
        </w:rPr>
      </w:pPr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45010">
        <w:rPr>
          <w:rFonts w:ascii="Arial" w:hAnsi="Arial" w:cs="Arial"/>
          <w:b/>
          <w:sz w:val="24"/>
          <w:szCs w:val="24"/>
        </w:rPr>
        <w:t>Corresponding author:</w:t>
      </w:r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5010">
        <w:rPr>
          <w:rFonts w:ascii="Arial" w:hAnsi="Arial" w:cs="Arial"/>
          <w:sz w:val="24"/>
          <w:szCs w:val="24"/>
        </w:rPr>
        <w:t>(J. Chris Kingswood)</w:t>
      </w:r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E45010">
        <w:rPr>
          <w:rFonts w:ascii="Arial" w:hAnsi="Arial" w:cs="Arial"/>
          <w:bCs/>
          <w:sz w:val="24"/>
          <w:szCs w:val="24"/>
        </w:rPr>
        <w:t>Royal Sussex County Hospital, Brighton, UK</w:t>
      </w:r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sz w:val="24"/>
          <w:szCs w:val="24"/>
          <w:lang w:val="it-IT"/>
        </w:rPr>
      </w:pPr>
      <w:r w:rsidRPr="00E45010">
        <w:rPr>
          <w:rFonts w:ascii="Arial" w:hAnsi="Arial" w:cs="Arial"/>
          <w:sz w:val="24"/>
          <w:szCs w:val="24"/>
          <w:lang w:val="it-IT"/>
        </w:rPr>
        <w:t xml:space="preserve">E-mail: </w:t>
      </w:r>
      <w:hyperlink r:id="rId7" w:history="1">
        <w:r w:rsidRPr="00E45010">
          <w:rPr>
            <w:rStyle w:val="Hyperlink"/>
            <w:rFonts w:ascii="Arial" w:hAnsi="Arial" w:cs="Arial"/>
            <w:sz w:val="24"/>
            <w:szCs w:val="24"/>
            <w:lang w:val="it-IT"/>
          </w:rPr>
          <w:t>Chris.Kingswood@bsuh.nhs.uk</w:t>
        </w:r>
      </w:hyperlink>
    </w:p>
    <w:p w:rsidR="00ED669B" w:rsidRPr="00E45010" w:rsidRDefault="00ED669B" w:rsidP="00ED669B">
      <w:pPr>
        <w:spacing w:after="0" w:line="360" w:lineRule="auto"/>
        <w:rPr>
          <w:rFonts w:ascii="Arial" w:hAnsi="Arial" w:cs="Arial"/>
          <w:b/>
          <w:sz w:val="24"/>
          <w:szCs w:val="24"/>
          <w:lang w:val="it-IT"/>
        </w:rPr>
      </w:pPr>
    </w:p>
    <w:p w:rsidR="00ED669B" w:rsidRPr="00E45010" w:rsidRDefault="00ED669B" w:rsidP="00ED669B">
      <w:pPr>
        <w:pStyle w:val="ListParagraph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E45010">
        <w:rPr>
          <w:rFonts w:ascii="Arial" w:hAnsi="Arial" w:cs="Arial"/>
          <w:b/>
          <w:sz w:val="24"/>
          <w:szCs w:val="24"/>
        </w:rPr>
        <w:t>Electronic Supplementary Material</w:t>
      </w:r>
    </w:p>
    <w:p w:rsidR="00ED669B" w:rsidRPr="00E45010" w:rsidRDefault="00ED669B" w:rsidP="00ED669B">
      <w:pPr>
        <w:pStyle w:val="ListParagraph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:rsidR="00ED669B" w:rsidRDefault="00ED669B" w:rsidP="00ED669B">
      <w:pPr>
        <w:pStyle w:val="ListParagraph"/>
        <w:keepNext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E45010">
        <w:rPr>
          <w:rFonts w:ascii="Arial" w:hAnsi="Arial" w:cs="Arial"/>
          <w:b/>
          <w:sz w:val="24"/>
          <w:szCs w:val="24"/>
        </w:rPr>
        <w:lastRenderedPageBreak/>
        <w:t xml:space="preserve">Online Resource 1 </w:t>
      </w:r>
      <w:r w:rsidRPr="00E45010">
        <w:rPr>
          <w:rFonts w:ascii="Arial" w:hAnsi="Arial" w:cs="Arial"/>
          <w:sz w:val="24"/>
          <w:szCs w:val="24"/>
        </w:rPr>
        <w:t>Mean (standard deviation [SD]) glomerular filtration rate (GFR) over time in the pediatric renal angiomyolipoma population</w:t>
      </w:r>
    </w:p>
    <w:p w:rsidR="00ED669B" w:rsidRPr="00E45010" w:rsidRDefault="00ED669B" w:rsidP="00ED669B">
      <w:pPr>
        <w:pStyle w:val="ListParagraph"/>
        <w:keepNext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BD31640" wp14:editId="5C0951F1">
            <wp:extent cx="5457825" cy="314728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14" cy="314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669B" w:rsidRPr="00E45010" w:rsidRDefault="00ED669B" w:rsidP="00ED669B">
      <w:pPr>
        <w:pStyle w:val="ListParagraph"/>
        <w:keepNext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ED669B" w:rsidRPr="00E45010" w:rsidRDefault="00ED669B" w:rsidP="00ED669B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:rsidR="00ED669B" w:rsidRPr="00E45010" w:rsidRDefault="00ED669B" w:rsidP="00ED669B">
      <w:pPr>
        <w:rPr>
          <w:rFonts w:ascii="Arial" w:hAnsi="Arial" w:cs="Arial"/>
          <w:sz w:val="24"/>
          <w:szCs w:val="24"/>
        </w:rPr>
      </w:pPr>
      <w:r w:rsidRPr="00E45010">
        <w:rPr>
          <w:rFonts w:ascii="Arial" w:hAnsi="Arial" w:cs="Arial"/>
          <w:sz w:val="24"/>
          <w:szCs w:val="24"/>
        </w:rPr>
        <w:br w:type="page"/>
      </w:r>
    </w:p>
    <w:p w:rsidR="00ED669B" w:rsidRPr="004A5212" w:rsidRDefault="00ED669B" w:rsidP="00ED669B">
      <w:r>
        <w:rPr>
          <w:rFonts w:ascii="Arial" w:hAnsi="Arial" w:cs="Arial"/>
          <w:b/>
        </w:rPr>
        <w:lastRenderedPageBreak/>
        <w:t xml:space="preserve">Online Resource </w:t>
      </w:r>
      <w:r w:rsidR="00265028">
        <w:rPr>
          <w:rFonts w:ascii="Arial" w:hAnsi="Arial" w:cs="Arial"/>
          <w:b/>
        </w:rPr>
        <w:t>2</w:t>
      </w:r>
      <w:r>
        <w:rPr>
          <w:rFonts w:ascii="Arial" w:hAnsi="Arial" w:cs="Arial"/>
        </w:rPr>
        <w:t>.</w:t>
      </w:r>
      <w:r w:rsidRPr="00666F61">
        <w:rPr>
          <w:rFonts w:ascii="Arial" w:hAnsi="Arial" w:cs="Arial"/>
        </w:rPr>
        <w:t xml:space="preserve"> List of </w:t>
      </w:r>
      <w:r w:rsidR="00FB0645">
        <w:rPr>
          <w:rFonts w:ascii="Arial" w:hAnsi="Arial" w:cs="Arial"/>
        </w:rPr>
        <w:t>i</w:t>
      </w:r>
      <w:r w:rsidR="00FB0645" w:rsidRPr="00666F61">
        <w:rPr>
          <w:rFonts w:ascii="Arial" w:hAnsi="Arial" w:cs="Arial"/>
        </w:rPr>
        <w:t xml:space="preserve">ndependent </w:t>
      </w:r>
      <w:r w:rsidR="00FB0645">
        <w:rPr>
          <w:rFonts w:ascii="Arial" w:hAnsi="Arial" w:cs="Arial"/>
        </w:rPr>
        <w:t>e</w:t>
      </w:r>
      <w:r w:rsidR="00FB0645" w:rsidRPr="00666F61">
        <w:rPr>
          <w:rFonts w:ascii="Arial" w:hAnsi="Arial" w:cs="Arial"/>
        </w:rPr>
        <w:t xml:space="preserve">thics </w:t>
      </w:r>
      <w:r w:rsidR="00FB0645">
        <w:rPr>
          <w:rFonts w:ascii="Arial" w:hAnsi="Arial" w:cs="Arial"/>
        </w:rPr>
        <w:t>c</w:t>
      </w:r>
      <w:r w:rsidR="00FB0645" w:rsidRPr="00666F61">
        <w:rPr>
          <w:rFonts w:ascii="Arial" w:hAnsi="Arial" w:cs="Arial"/>
        </w:rPr>
        <w:t xml:space="preserve">ommittees </w:t>
      </w:r>
      <w:r w:rsidRPr="00666F61">
        <w:rPr>
          <w:rFonts w:ascii="Arial" w:hAnsi="Arial" w:cs="Arial"/>
        </w:rPr>
        <w:t xml:space="preserve">(IEC) or </w:t>
      </w:r>
      <w:r w:rsidR="00FB0645">
        <w:rPr>
          <w:rFonts w:ascii="Arial" w:hAnsi="Arial" w:cs="Arial"/>
        </w:rPr>
        <w:t>i</w:t>
      </w:r>
      <w:r w:rsidR="00FB0645" w:rsidRPr="00666F61">
        <w:rPr>
          <w:rFonts w:ascii="Arial" w:hAnsi="Arial" w:cs="Arial"/>
        </w:rPr>
        <w:t xml:space="preserve">nstitutional </w:t>
      </w:r>
      <w:r w:rsidR="00FB0645">
        <w:rPr>
          <w:rFonts w:ascii="Arial" w:hAnsi="Arial" w:cs="Arial"/>
        </w:rPr>
        <w:t>r</w:t>
      </w:r>
      <w:r w:rsidR="00FB0645" w:rsidRPr="00666F61">
        <w:rPr>
          <w:rFonts w:ascii="Arial" w:hAnsi="Arial" w:cs="Arial"/>
        </w:rPr>
        <w:t>eview</w:t>
      </w:r>
      <w:r w:rsidR="00FB0645">
        <w:rPr>
          <w:rFonts w:ascii="Arial" w:hAnsi="Arial" w:cs="Arial"/>
        </w:rPr>
        <w:t xml:space="preserve"> </w:t>
      </w:r>
      <w:bookmarkStart w:id="0" w:name="_GoBack"/>
      <w:r w:rsidR="00FB0645">
        <w:rPr>
          <w:rFonts w:ascii="Arial,Bold" w:hAnsi="Arial,Bold" w:cs="Arial,Bold"/>
          <w:bCs/>
          <w:sz w:val="21"/>
          <w:szCs w:val="21"/>
        </w:rPr>
        <w:t>b</w:t>
      </w:r>
      <w:r w:rsidR="00FB0645" w:rsidRPr="004A5212">
        <w:rPr>
          <w:rFonts w:ascii="Arial,Bold" w:hAnsi="Arial,Bold" w:cs="Arial,Bold"/>
          <w:bCs/>
          <w:sz w:val="21"/>
          <w:szCs w:val="21"/>
        </w:rPr>
        <w:t xml:space="preserve">oards </w:t>
      </w:r>
      <w:bookmarkEnd w:id="0"/>
      <w:r w:rsidRPr="004A5212">
        <w:rPr>
          <w:rFonts w:ascii="Arial,Bold" w:hAnsi="Arial,Bold" w:cs="Arial,Bold"/>
          <w:bCs/>
          <w:sz w:val="21"/>
          <w:szCs w:val="21"/>
        </w:rPr>
        <w:t>(IRB) by study center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3510"/>
        <w:gridCol w:w="2427"/>
        <w:gridCol w:w="2338"/>
      </w:tblGrid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Center No. 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Ethics Committee or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Department /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Organization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City, State/Province, </w:t>
            </w:r>
          </w:p>
          <w:p w:rsidR="00ED669B" w:rsidRPr="00F167A6" w:rsidRDefault="00ED669B" w:rsidP="006A45BF">
            <w:pPr>
              <w:spacing w:after="35"/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Postal Code </w:t>
            </w:r>
          </w:p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b/>
                <w:sz w:val="19"/>
                <w:szCs w:val="19"/>
              </w:rPr>
              <w:t xml:space="preserve">Country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0100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ind w:firstLine="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SESIAHS Human Research</w:t>
            </w:r>
          </w:p>
          <w:p w:rsidR="00ED669B" w:rsidRPr="00F167A6" w:rsidRDefault="00ED669B" w:rsidP="006A45BF">
            <w:pPr>
              <w:ind w:firstLine="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Ethics Committee</w:t>
            </w:r>
          </w:p>
        </w:tc>
        <w:tc>
          <w:tcPr>
            <w:tcW w:w="2427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SESIAHS Northern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Hospital Network - 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Research Office 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Randwick NSW 2130, </w:t>
            </w:r>
          </w:p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Australia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0150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Commissie voor Medische Ethiek </w:t>
            </w:r>
          </w:p>
        </w:tc>
        <w:tc>
          <w:tcPr>
            <w:tcW w:w="2427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Universitair Ziekenhuis Brussel 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ind w:left="2" w:right="13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Brussel  1090, Belgium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0250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Research Ethics Board  </w:t>
            </w:r>
          </w:p>
        </w:tc>
        <w:tc>
          <w:tcPr>
            <w:tcW w:w="2427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The Sick Childrens Hospital 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Toronto M5G 1X8, Canada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0251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Comité d'éthique de recherche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ind w:left="-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Hôpital Saint Justine 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Montreal Quebec H3T, </w:t>
            </w:r>
          </w:p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IC5 </w:t>
            </w:r>
          </w:p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Canada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ind w:left="104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0352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Ethik-Kommission  </w:t>
            </w:r>
          </w:p>
        </w:tc>
        <w:tc>
          <w:tcPr>
            <w:tcW w:w="2427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Medizinischen Falultät Heidelberg 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Heidelberg  69115, </w:t>
            </w:r>
          </w:p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Germany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   </w:t>
            </w:r>
            <w:r w:rsidRPr="00F167A6">
              <w:rPr>
                <w:rFonts w:ascii="Arial" w:hAnsi="Arial" w:cs="Arial"/>
                <w:sz w:val="19"/>
                <w:szCs w:val="19"/>
              </w:rPr>
              <w:t>0353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Geschäftsstelle</w:t>
            </w:r>
            <w:r>
              <w:rPr>
                <w:rFonts w:ascii="Arial" w:hAnsi="Arial" w:cs="Arial"/>
                <w:sz w:val="19"/>
                <w:szCs w:val="19"/>
              </w:rPr>
              <w:t xml:space="preserve"> der EthikKommission des Landes</w:t>
            </w:r>
            <w:r w:rsidRPr="00F167A6">
              <w:rPr>
                <w:rFonts w:ascii="Arial" w:hAnsi="Arial" w:cs="Arial"/>
                <w:sz w:val="19"/>
                <w:szCs w:val="19"/>
              </w:rPr>
              <w:t xml:space="preserve"> Berlin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Landesamt für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Gesundheit und Soziales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ind w:left="2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Berlin  10707,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Germany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   </w:t>
            </w:r>
            <w:r w:rsidRPr="00F167A6">
              <w:rPr>
                <w:rFonts w:ascii="Arial" w:hAnsi="Arial" w:cs="Arial"/>
                <w:sz w:val="19"/>
                <w:szCs w:val="19"/>
              </w:rPr>
              <w:t>0400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Comitato Etico Indipendente</w:t>
            </w:r>
          </w:p>
        </w:tc>
        <w:tc>
          <w:tcPr>
            <w:tcW w:w="2427" w:type="dxa"/>
            <w:vAlign w:val="center"/>
          </w:tcPr>
          <w:p w:rsidR="00ED669B" w:rsidRPr="00F167A6" w:rsidRDefault="00ED669B" w:rsidP="006A45BF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Azienda Ospedaliera</w:t>
            </w:r>
          </w:p>
          <w:p w:rsidR="00ED669B" w:rsidRPr="00F167A6" w:rsidRDefault="00ED669B" w:rsidP="006A45BF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Universitaria Policlinico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Tor Vergata di Roma</w:t>
            </w:r>
          </w:p>
        </w:tc>
        <w:tc>
          <w:tcPr>
            <w:tcW w:w="2338" w:type="dxa"/>
            <w:vAlign w:val="center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Roma 00133,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Italy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0403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Comitato Di Etica                       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IRCSS Istituto Giannina Gaslini di Genova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Genova GE 16147,  Italy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0450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Medische Ethische Toetsingscommissie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Universitair Medisch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Centrum Utrecht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Utrecht 3508 GA,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Netherlands</w:t>
            </w:r>
          </w:p>
        </w:tc>
      </w:tr>
      <w:tr w:rsidR="00ED669B" w:rsidRPr="00F167A6" w:rsidTr="006A45BF">
        <w:tc>
          <w:tcPr>
            <w:tcW w:w="1075" w:type="dxa"/>
            <w:tcBorders>
              <w:bottom w:val="single" w:sz="4" w:space="0" w:color="auto"/>
            </w:tcBorders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0600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Komisja Bioetyczna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Instytucie "Pomnik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Zdrowia Dziecka"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Warszawa 04-730,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Poland</w:t>
            </w:r>
          </w:p>
        </w:tc>
      </w:tr>
      <w:tr w:rsidR="00ED669B" w:rsidRPr="00F167A6" w:rsidTr="006A45BF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17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0700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Ethics Committee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Moscow research institute of pediatrics and children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lastRenderedPageBreak/>
              <w:t xml:space="preserve">surgery, Ministry of Health of Russia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lastRenderedPageBreak/>
              <w:t xml:space="preserve">Moscow NA 125412, Russia </w:t>
            </w:r>
          </w:p>
        </w:tc>
      </w:tr>
      <w:tr w:rsidR="00ED669B" w:rsidRPr="00F167A6" w:rsidTr="006A45BF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17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0753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spacing w:after="9" w:line="234" w:lineRule="auto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Southampton and South West Hampshire Research Ethics 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Committee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NHS - Health Research Authority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Southampton Hampshire </w:t>
            </w:r>
          </w:p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SO16 4RJ, </w:t>
            </w:r>
          </w:p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United Kingdom </w:t>
            </w:r>
          </w:p>
        </w:tc>
      </w:tr>
      <w:tr w:rsidR="00ED669B" w:rsidRPr="00F167A6" w:rsidTr="006A45BF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17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  </w:t>
            </w:r>
            <w:r w:rsidRPr="00F167A6">
              <w:rPr>
                <w:rFonts w:ascii="Arial" w:eastAsia="Arial" w:hAnsi="Arial" w:cs="Arial"/>
                <w:sz w:val="19"/>
                <w:szCs w:val="19"/>
              </w:rPr>
              <w:t>0500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Cincinnati Children's </w:t>
            </w:r>
          </w:p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Hospital Medical center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9B" w:rsidRPr="00F167A6" w:rsidRDefault="00ED669B" w:rsidP="006A45BF">
            <w:pPr>
              <w:ind w:left="1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 xml:space="preserve">Cincinnati MLC 5020, United States </w:t>
            </w:r>
          </w:p>
        </w:tc>
      </w:tr>
      <w:tr w:rsidR="00ED669B" w:rsidRPr="00F167A6" w:rsidTr="006A45BF">
        <w:tc>
          <w:tcPr>
            <w:tcW w:w="1075" w:type="dxa"/>
            <w:tcBorders>
              <w:top w:val="single" w:sz="4" w:space="0" w:color="auto"/>
            </w:tcBorders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0501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Western Institutional Review Board 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 WIRB - Copernicus Group 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Olympia WA 98502,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0502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Western 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  WIRB - Copernicus Group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Olympia WA 98502,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0503</w:t>
            </w:r>
          </w:p>
        </w:tc>
        <w:tc>
          <w:tcPr>
            <w:tcW w:w="3510" w:type="dxa"/>
          </w:tcPr>
          <w:p w:rsidR="00ED669B" w:rsidRDefault="00ED669B" w:rsidP="00ED669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Adult consent: Institutional Review Board </w:t>
            </w:r>
          </w:p>
          <w:p w:rsidR="00ED669B" w:rsidRPr="00F167A6" w:rsidRDefault="00ED669B" w:rsidP="006A45B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9"/>
                <w:szCs w:val="19"/>
              </w:rPr>
            </w:pPr>
          </w:p>
          <w:p w:rsidR="00ED669B" w:rsidRPr="00F167A6" w:rsidRDefault="00ED669B" w:rsidP="00ED669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Children consent: Institutional Review Board</w:t>
            </w:r>
          </w:p>
        </w:tc>
        <w:tc>
          <w:tcPr>
            <w:tcW w:w="2427" w:type="dxa"/>
          </w:tcPr>
          <w:p w:rsidR="00ED669B" w:rsidRDefault="00ED669B" w:rsidP="00ED669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Allina Health System</w:t>
            </w:r>
          </w:p>
          <w:p w:rsidR="00ED669B" w:rsidRPr="00F167A6" w:rsidRDefault="00ED669B" w:rsidP="006A45B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9"/>
                <w:szCs w:val="19"/>
              </w:rPr>
            </w:pPr>
          </w:p>
          <w:p w:rsidR="00ED669B" w:rsidRPr="00F167A6" w:rsidRDefault="00ED669B" w:rsidP="00ED669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Children's Hospitals and Clinics of Minnesota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Minneapolis MN 55404, United States</w:t>
            </w:r>
          </w:p>
          <w:p w:rsidR="00ED669B" w:rsidRPr="00F167A6" w:rsidRDefault="00ED669B" w:rsidP="006A45BF">
            <w:pPr>
              <w:rPr>
                <w:rFonts w:ascii="Arial" w:eastAsia="Arial" w:hAnsi="Arial" w:cs="Arial"/>
                <w:sz w:val="19"/>
                <w:szCs w:val="19"/>
              </w:rPr>
            </w:pP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eastAsia="Arial" w:hAnsi="Arial" w:cs="Arial"/>
                <w:sz w:val="19"/>
                <w:szCs w:val="19"/>
              </w:rPr>
              <w:t>Minneapolis MN 55404, United States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0504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Partners Human Research office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Partners HealthCare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Boston MA 02116,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0509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The University of Chicago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Chicago IL 60637,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0510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The University of Texas, Southwestern medical center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Dallas TX 75390-8843,</w:t>
            </w:r>
          </w:p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United States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0511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Western 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WIRB - Copernicus Group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Olympia WA 98502,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0512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Office of Human Research Studies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Dana Farber Cancer  Institute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Boston MA 02115, United States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0514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Internal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St. Joseph's Hospital and Medical Center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Phoenix AZ 85013,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0515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Children's Hospital and Research Center Oakland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Oakland CA 94609 United States </w:t>
            </w:r>
          </w:p>
        </w:tc>
      </w:tr>
      <w:tr w:rsidR="00ED669B" w:rsidRPr="00F167A6" w:rsidTr="006A45BF">
        <w:tc>
          <w:tcPr>
            <w:tcW w:w="1075" w:type="dxa"/>
          </w:tcPr>
          <w:p w:rsidR="00ED669B" w:rsidRPr="00F167A6" w:rsidRDefault="00ED669B" w:rsidP="006A45B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>0516</w:t>
            </w:r>
          </w:p>
        </w:tc>
        <w:tc>
          <w:tcPr>
            <w:tcW w:w="3510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Institutional Review Board </w:t>
            </w:r>
          </w:p>
        </w:tc>
        <w:tc>
          <w:tcPr>
            <w:tcW w:w="2427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Children's Healthcare of Atlanta </w:t>
            </w:r>
          </w:p>
        </w:tc>
        <w:tc>
          <w:tcPr>
            <w:tcW w:w="2338" w:type="dxa"/>
          </w:tcPr>
          <w:p w:rsidR="00ED669B" w:rsidRPr="00F167A6" w:rsidRDefault="00ED669B" w:rsidP="006A45BF">
            <w:pPr>
              <w:rPr>
                <w:rFonts w:ascii="Arial" w:hAnsi="Arial" w:cs="Arial"/>
                <w:sz w:val="19"/>
                <w:szCs w:val="19"/>
              </w:rPr>
            </w:pPr>
            <w:r w:rsidRPr="00F167A6">
              <w:rPr>
                <w:rFonts w:ascii="Arial" w:hAnsi="Arial" w:cs="Arial"/>
                <w:sz w:val="19"/>
                <w:szCs w:val="19"/>
              </w:rPr>
              <w:t xml:space="preserve">Atlanta GA 30329, United States </w:t>
            </w:r>
          </w:p>
        </w:tc>
      </w:tr>
    </w:tbl>
    <w:p w:rsidR="003145B5" w:rsidRDefault="00C66003"/>
    <w:sectPr w:rsidR="003145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BBF" w:rsidRDefault="00EA77F5">
      <w:pPr>
        <w:spacing w:after="0" w:line="240" w:lineRule="auto"/>
      </w:pPr>
      <w:r>
        <w:separator/>
      </w:r>
    </w:p>
  </w:endnote>
  <w:endnote w:type="continuationSeparator" w:id="0">
    <w:p w:rsidR="002D5BBF" w:rsidRDefault="00EA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55 Roman"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F5" w:rsidRDefault="00EA77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1B6" w:rsidRDefault="00ED669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6003">
      <w:rPr>
        <w:noProof/>
      </w:rPr>
      <w:t>3</w:t>
    </w:r>
    <w:r>
      <w:rPr>
        <w:noProof/>
      </w:rPr>
      <w:fldChar w:fldCharType="end"/>
    </w:r>
  </w:p>
  <w:p w:rsidR="00B221B6" w:rsidRDefault="00C660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F5" w:rsidRDefault="00EA77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BBF" w:rsidRDefault="00EA77F5">
      <w:pPr>
        <w:spacing w:after="0" w:line="240" w:lineRule="auto"/>
      </w:pPr>
      <w:r>
        <w:separator/>
      </w:r>
    </w:p>
  </w:footnote>
  <w:footnote w:type="continuationSeparator" w:id="0">
    <w:p w:rsidR="002D5BBF" w:rsidRDefault="00EA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F5" w:rsidRDefault="00EA77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1B6" w:rsidRDefault="00C660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F5" w:rsidRDefault="00EA77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767B"/>
    <w:multiLevelType w:val="hybridMultilevel"/>
    <w:tmpl w:val="4C1AF490"/>
    <w:lvl w:ilvl="0" w:tplc="319A52BC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5F04FD"/>
    <w:multiLevelType w:val="hybridMultilevel"/>
    <w:tmpl w:val="7E68EFF8"/>
    <w:lvl w:ilvl="0" w:tplc="319A52BC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9B"/>
    <w:rsid w:val="00091E56"/>
    <w:rsid w:val="00265028"/>
    <w:rsid w:val="002D5BBF"/>
    <w:rsid w:val="00AE06D4"/>
    <w:rsid w:val="00C66003"/>
    <w:rsid w:val="00EA77F5"/>
    <w:rsid w:val="00ED669B"/>
    <w:rsid w:val="00F109D2"/>
    <w:rsid w:val="00FB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669B"/>
    <w:pPr>
      <w:autoSpaceDE w:val="0"/>
      <w:autoSpaceDN w:val="0"/>
      <w:adjustRightInd w:val="0"/>
      <w:spacing w:after="0" w:line="240" w:lineRule="auto"/>
    </w:pPr>
    <w:rPr>
      <w:rFonts w:ascii="Helvetica 55 Roman" w:eastAsia="Calibri" w:hAnsi="Helvetica 55 Roman" w:cs="Helvetica 55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6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6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69B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D66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669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6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69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D6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69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69B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D6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hris.Kingswood@bsuh.nhs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2017-08-04T13:10:00Z</dcterms:created>
  <dcterms:modified xsi:type="dcterms:W3CDTF">2017-08-04T13:10:00Z</dcterms:modified>
</cp:coreProperties>
</file>