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68D" w:rsidRDefault="00F77B70">
      <w:bookmarkStart w:id="0" w:name="_GoBack"/>
      <w:bookmarkEnd w:id="0"/>
      <w:r>
        <w:t>Isolation of Urinary Exosomes</w:t>
      </w:r>
    </w:p>
    <w:p w:rsidR="00F77B70" w:rsidRDefault="00E660CC">
      <w:r>
        <w:t>Approximately 1-10 mL of u</w:t>
      </w:r>
      <w:r w:rsidR="00F77B70">
        <w:t xml:space="preserve">rine was collected and treated with 1 </w:t>
      </w:r>
      <w:proofErr w:type="spellStart"/>
      <w:r w:rsidR="00F77B70">
        <w:t>cOmplete</w:t>
      </w:r>
      <w:proofErr w:type="spellEnd"/>
      <w:r w:rsidR="00F77B70">
        <w:t xml:space="preserve"> Mini Protease Inhibitor Cocktail tablet (Sigma) and 1 </w:t>
      </w:r>
      <w:proofErr w:type="spellStart"/>
      <w:r w:rsidR="00F77B70">
        <w:t>PhosSTOP</w:t>
      </w:r>
      <w:proofErr w:type="spellEnd"/>
      <w:r w:rsidR="00F77B70">
        <w:t xml:space="preserve"> Phosphatase Inhibitor (Ro</w:t>
      </w:r>
      <w:r>
        <w:t>che).  Samples were frozen at -8</w:t>
      </w:r>
      <w:r w:rsidR="00F77B70">
        <w:t xml:space="preserve">0 degrees Celsius.  The isolation procedure described by Nils van der </w:t>
      </w:r>
      <w:proofErr w:type="spellStart"/>
      <w:r w:rsidR="00F77B70">
        <w:t>Lubbe</w:t>
      </w:r>
      <w:proofErr w:type="spellEnd"/>
      <w:r w:rsidR="00F77B70">
        <w:t xml:space="preserve"> et al (Hypertension. 2012 Sep; 60(3):741-8) was followed except that volumes of added reagents were scaled down to 1/3 of the volumes given.</w:t>
      </w:r>
    </w:p>
    <w:p w:rsidR="00F77B70" w:rsidRDefault="00F77B70">
      <w:r>
        <w:t>Western Analysis of Exosome Preps</w:t>
      </w:r>
    </w:p>
    <w:p w:rsidR="00F77B70" w:rsidRDefault="00F77B70">
      <w:r>
        <w:t>Exosome pellets were re</w:t>
      </w:r>
      <w:r w:rsidR="00E660CC">
        <w:t>-</w:t>
      </w:r>
      <w:r>
        <w:t xml:space="preserve">suspended in </w:t>
      </w:r>
      <w:r w:rsidR="00E660CC">
        <w:t>50</w:t>
      </w:r>
      <w:r w:rsidR="00FA1C95">
        <w:t xml:space="preserve">uL 1.5X </w:t>
      </w:r>
      <w:proofErr w:type="spellStart"/>
      <w:r w:rsidR="00FA1C95">
        <w:t>Laemmli</w:t>
      </w:r>
      <w:proofErr w:type="spellEnd"/>
      <w:r w:rsidR="00FA1C95">
        <w:t xml:space="preserve"> electrophoresis sample buffer and heated to 65 degrees </w:t>
      </w:r>
      <w:proofErr w:type="spellStart"/>
      <w:r w:rsidR="00FA1C95">
        <w:t>Celcius</w:t>
      </w:r>
      <w:proofErr w:type="spellEnd"/>
      <w:r w:rsidR="00FA1C95">
        <w:t xml:space="preserve"> for 15 minutes.  40uL of each sample was loaded on</w:t>
      </w:r>
      <w:r w:rsidR="00E660CC">
        <w:t xml:space="preserve">to </w:t>
      </w:r>
      <w:proofErr w:type="spellStart"/>
      <w:r w:rsidR="00E660CC">
        <w:t>BioRad</w:t>
      </w:r>
      <w:proofErr w:type="spellEnd"/>
      <w:r w:rsidR="00E660CC">
        <w:t xml:space="preserve"> 4-15% </w:t>
      </w:r>
      <w:proofErr w:type="spellStart"/>
      <w:r w:rsidR="00E660CC">
        <w:t>Tris</w:t>
      </w:r>
      <w:proofErr w:type="spellEnd"/>
      <w:r w:rsidR="00E660CC">
        <w:t>-glycine</w:t>
      </w:r>
      <w:r w:rsidR="00FA1C95">
        <w:t xml:space="preserve"> precast gels with 50uL wells.  After electrophoresis, samples were transferred to </w:t>
      </w:r>
      <w:proofErr w:type="spellStart"/>
      <w:r w:rsidR="00FA1C95">
        <w:t>Immun</w:t>
      </w:r>
      <w:proofErr w:type="spellEnd"/>
      <w:r w:rsidR="00FA1C95">
        <w:t>-Blot PVDF membrane (</w:t>
      </w:r>
      <w:proofErr w:type="spellStart"/>
      <w:r w:rsidR="00FA1C95">
        <w:t>BioRad</w:t>
      </w:r>
      <w:proofErr w:type="spellEnd"/>
      <w:r w:rsidR="00FA1C95">
        <w:t xml:space="preserve">) overnight at 4 degrees Celsius.  Membranes were blocked in </w:t>
      </w:r>
      <w:r w:rsidR="00E660CC">
        <w:t>1xPBS</w:t>
      </w:r>
      <w:r w:rsidR="00FA1C95">
        <w:t xml:space="preserve"> containing</w:t>
      </w:r>
      <w:r w:rsidR="00E660CC">
        <w:t xml:space="preserve"> 0.5% Tween 20 and</w:t>
      </w:r>
      <w:r w:rsidR="00FA1C95">
        <w:t xml:space="preserve"> 5% nonfat milk and were probed overnight </w:t>
      </w:r>
      <w:r w:rsidR="00E660CC">
        <w:t xml:space="preserve">at 4 degrees Celsius </w:t>
      </w:r>
      <w:r w:rsidR="00FA1C95">
        <w:t xml:space="preserve">first with </w:t>
      </w:r>
      <w:r w:rsidR="00761A8B">
        <w:t>rabbit polyclonal anti-</w:t>
      </w:r>
      <w:r w:rsidR="00FA1C95">
        <w:t>gamma ENaC (</w:t>
      </w:r>
      <w:proofErr w:type="spellStart"/>
      <w:r w:rsidR="00FA1C95">
        <w:t>Stressmarq</w:t>
      </w:r>
      <w:proofErr w:type="spellEnd"/>
      <w:r w:rsidR="00FA1C95">
        <w:t>, 1:1000 in block) followed by 3 washes with block.  The membrane</w:t>
      </w:r>
      <w:r w:rsidR="00E602D4">
        <w:t>s</w:t>
      </w:r>
      <w:r w:rsidR="00FA1C95">
        <w:t xml:space="preserve"> </w:t>
      </w:r>
      <w:r w:rsidR="00E602D4">
        <w:t>were</w:t>
      </w:r>
      <w:r w:rsidR="00FA1C95">
        <w:t xml:space="preserve"> then incubated in a 1:5000 </w:t>
      </w:r>
      <w:r w:rsidR="00761A8B">
        <w:t>dilution of goat</w:t>
      </w:r>
      <w:r w:rsidR="00E602D4">
        <w:t xml:space="preserve"> anti-</w:t>
      </w:r>
      <w:r w:rsidR="00FA1C95">
        <w:t xml:space="preserve">rabbit </w:t>
      </w:r>
      <w:proofErr w:type="spellStart"/>
      <w:r w:rsidR="00FA1C95">
        <w:t>IgG</w:t>
      </w:r>
      <w:proofErr w:type="gramStart"/>
      <w:r w:rsidR="00FA1C95">
        <w:t>:HRP</w:t>
      </w:r>
      <w:proofErr w:type="spellEnd"/>
      <w:proofErr w:type="gramEnd"/>
      <w:r w:rsidR="00FA1C95">
        <w:t xml:space="preserve"> secondary </w:t>
      </w:r>
      <w:r w:rsidR="00761A8B">
        <w:t xml:space="preserve">(Santa Cruz) </w:t>
      </w:r>
      <w:r w:rsidR="00FA1C95">
        <w:t>at room temperature</w:t>
      </w:r>
      <w:r w:rsidR="00761A8B">
        <w:t xml:space="preserve"> for 1 hour</w:t>
      </w:r>
      <w:r w:rsidR="00E602D4">
        <w:t>, followed by 3 washes in 1xPBS plus Tween</w:t>
      </w:r>
      <w:r w:rsidR="00761A8B">
        <w:t xml:space="preserve">.  Following detection with anti-gamma ENaC, the membrane was stripped with acidic membrane-stripping buffer (25mM glycine, 1% SDS pH 2.0) and re-probed </w:t>
      </w:r>
      <w:r w:rsidR="00E602D4">
        <w:t xml:space="preserve">overnight at 4 degrees Celsius </w:t>
      </w:r>
      <w:r w:rsidR="00761A8B">
        <w:t>with rabbit polyclonal anti-</w:t>
      </w:r>
      <w:proofErr w:type="spellStart"/>
      <w:r w:rsidR="00761A8B">
        <w:t>pNCC</w:t>
      </w:r>
      <w:proofErr w:type="spellEnd"/>
      <w:r w:rsidR="00761A8B">
        <w:t xml:space="preserve"> (1:2000 in block), courtesy of David Ellison.  Secondary antibody for the anti-</w:t>
      </w:r>
      <w:proofErr w:type="spellStart"/>
      <w:r w:rsidR="00761A8B">
        <w:t>pNCC</w:t>
      </w:r>
      <w:proofErr w:type="spellEnd"/>
      <w:r w:rsidR="00761A8B">
        <w:t xml:space="preserve"> Westerns was prepared and used as described for the anti ENaC Westerns.  Following detection with anti-</w:t>
      </w:r>
      <w:proofErr w:type="spellStart"/>
      <w:r w:rsidR="00761A8B">
        <w:t>pNCC</w:t>
      </w:r>
      <w:proofErr w:type="spellEnd"/>
      <w:r w:rsidR="00761A8B">
        <w:t xml:space="preserve">, the membranes were stripped as above and re-probed with </w:t>
      </w:r>
      <w:r w:rsidR="00E660CC">
        <w:t xml:space="preserve">rabbit monoclonal </w:t>
      </w:r>
      <w:r w:rsidR="00761A8B">
        <w:t xml:space="preserve">anti CD9 (D801A clone from Cell Signaling) at </w:t>
      </w:r>
      <w:r w:rsidR="00E660CC">
        <w:t xml:space="preserve">a 1:1000 dilution in block overnight at 4 degrees Celsius.  Secondary antibody for the anti-CD9 Westerns was prepared and used as described for the anti ENaC Westerns.  All Westerns were developed with Western Lightning Chemiluminescent kit (Perkin Elmer) and imaged on a </w:t>
      </w:r>
      <w:proofErr w:type="spellStart"/>
      <w:r w:rsidR="00E660CC">
        <w:t>Syngene</w:t>
      </w:r>
      <w:proofErr w:type="spellEnd"/>
      <w:r w:rsidR="00E660CC">
        <w:t xml:space="preserve"> </w:t>
      </w:r>
      <w:proofErr w:type="spellStart"/>
      <w:r w:rsidR="00E660CC">
        <w:t>Pxi</w:t>
      </w:r>
      <w:proofErr w:type="spellEnd"/>
      <w:r w:rsidR="00E660CC">
        <w:t xml:space="preserve"> imager.</w:t>
      </w:r>
      <w:r w:rsidR="00E602D4">
        <w:t xml:space="preserve">  </w:t>
      </w:r>
      <w:proofErr w:type="spellStart"/>
      <w:r w:rsidR="00E602D4">
        <w:t>Syngene</w:t>
      </w:r>
      <w:proofErr w:type="spellEnd"/>
      <w:r w:rsidR="00E602D4">
        <w:t xml:space="preserve"> software was used to call bands and generate densitometry data.</w:t>
      </w:r>
    </w:p>
    <w:sectPr w:rsidR="00F77B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B70"/>
    <w:rsid w:val="006856F2"/>
    <w:rsid w:val="00761A8B"/>
    <w:rsid w:val="00E602D4"/>
    <w:rsid w:val="00E660CC"/>
    <w:rsid w:val="00F77B70"/>
    <w:rsid w:val="00FA1C95"/>
    <w:rsid w:val="00FE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060579-CC19-49A9-9EC6-86BBED42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1803</Characters>
  <Application>Microsoft Office Word</Application>
  <DocSecurity>4</DocSecurity>
  <Lines>25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Cornwall</dc:creator>
  <cp:keywords/>
  <dc:description/>
  <cp:lastModifiedBy>Randall Jenkins</cp:lastModifiedBy>
  <cp:revision>2</cp:revision>
  <dcterms:created xsi:type="dcterms:W3CDTF">2018-11-25T16:23:00Z</dcterms:created>
  <dcterms:modified xsi:type="dcterms:W3CDTF">2018-11-25T16:23:00Z</dcterms:modified>
</cp:coreProperties>
</file>