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6DF8A" w14:textId="61F696A2" w:rsidR="00174495" w:rsidRDefault="00174495" w:rsidP="00174495">
      <w:pPr>
        <w:spacing w:line="480" w:lineRule="auto"/>
        <w:jc w:val="both"/>
        <w:rPr>
          <w:rFonts w:ascii="Arial" w:hAnsi="Arial" w:cs="Arial"/>
          <w:color w:val="000000" w:themeColor="text1"/>
          <w:sz w:val="20"/>
          <w:szCs w:val="20"/>
          <w:lang w:val="en-US"/>
        </w:rPr>
      </w:pPr>
      <w:r>
        <w:rPr>
          <w:rFonts w:ascii="Arial" w:hAnsi="Arial" w:cs="Arial"/>
          <w:b/>
          <w:bCs/>
          <w:color w:val="000000" w:themeColor="text1"/>
          <w:sz w:val="20"/>
          <w:szCs w:val="20"/>
          <w:lang w:val="en-US"/>
        </w:rPr>
        <w:t xml:space="preserve">Supplementary Information </w:t>
      </w:r>
      <w:r w:rsidR="00801E81">
        <w:rPr>
          <w:rFonts w:ascii="Arial" w:hAnsi="Arial" w:cs="Arial"/>
          <w:b/>
          <w:bCs/>
          <w:color w:val="000000" w:themeColor="text1"/>
          <w:sz w:val="20"/>
          <w:szCs w:val="20"/>
          <w:lang w:val="en-US"/>
        </w:rPr>
        <w:t>3</w:t>
      </w:r>
    </w:p>
    <w:p w14:paraId="092A776B" w14:textId="77777777" w:rsidR="00174495" w:rsidRDefault="00174495" w:rsidP="00174495">
      <w:pPr>
        <w:spacing w:line="276"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 xml:space="preserve">Article </w:t>
      </w:r>
    </w:p>
    <w:p w14:paraId="3D3405E2" w14:textId="77777777" w:rsidR="00174495" w:rsidRPr="00CF184E" w:rsidRDefault="00174495" w:rsidP="00174495">
      <w:pPr>
        <w:spacing w:after="100" w:afterAutospacing="1"/>
        <w:jc w:val="center"/>
        <w:rPr>
          <w:rFonts w:ascii="Arial" w:eastAsia="Times New Roman" w:hAnsi="Arial" w:cs="Arial"/>
          <w:b/>
          <w:bCs/>
          <w:color w:val="000000" w:themeColor="text1"/>
          <w:lang w:val="en-US" w:eastAsia="de-DE"/>
        </w:rPr>
      </w:pPr>
      <w:r w:rsidRPr="00CF184E">
        <w:rPr>
          <w:rFonts w:ascii="Arial" w:eastAsia="Times New Roman" w:hAnsi="Arial" w:cs="Arial"/>
          <w:b/>
          <w:bCs/>
          <w:color w:val="000000" w:themeColor="text1"/>
          <w:lang w:val="en-US" w:eastAsia="de-DE"/>
        </w:rPr>
        <w:t>Diagnostic accuracy of an interdisciplinary tertiary center evaluation in children referred for suspected congenital anomalies of the kidney and urinary tract on fetal ultrasound – a retrospective outcome analysis</w:t>
      </w:r>
    </w:p>
    <w:p w14:paraId="0FD289EB" w14:textId="77777777" w:rsidR="00174495" w:rsidRPr="00CF184E" w:rsidRDefault="00174495" w:rsidP="00174495">
      <w:pPr>
        <w:spacing w:before="100" w:beforeAutospacing="1" w:after="100" w:afterAutospacing="1"/>
        <w:jc w:val="center"/>
        <w:rPr>
          <w:rFonts w:ascii="Arial" w:eastAsia="Times New Roman" w:hAnsi="Arial" w:cs="Arial"/>
          <w:b/>
          <w:bCs/>
          <w:color w:val="000000" w:themeColor="text1"/>
          <w:sz w:val="20"/>
          <w:szCs w:val="20"/>
          <w:lang w:val="en-US" w:eastAsia="de-DE"/>
        </w:rPr>
      </w:pPr>
      <w:r w:rsidRPr="00CF184E">
        <w:rPr>
          <w:rFonts w:ascii="Arial" w:hAnsi="Arial" w:cs="Arial"/>
          <w:color w:val="000000" w:themeColor="text1"/>
          <w:sz w:val="20"/>
          <w:szCs w:val="20"/>
          <w:lang w:val="en-US"/>
        </w:rPr>
        <w:t>Barbara Schürch</w:t>
      </w:r>
      <w:r w:rsidRPr="00CF184E">
        <w:rPr>
          <w:rFonts w:ascii="Arial" w:hAnsi="Arial" w:cs="Arial"/>
          <w:color w:val="000000" w:themeColor="text1"/>
          <w:sz w:val="20"/>
          <w:szCs w:val="20"/>
          <w:vertAlign w:val="superscript"/>
          <w:lang w:val="en-US"/>
        </w:rPr>
        <w:t>1</w:t>
      </w:r>
      <w:r w:rsidRPr="00CF184E">
        <w:rPr>
          <w:rFonts w:ascii="Arial" w:hAnsi="Arial" w:cs="Arial"/>
          <w:color w:val="000000" w:themeColor="text1"/>
          <w:sz w:val="20"/>
          <w:szCs w:val="20"/>
          <w:lang w:val="en-US"/>
        </w:rPr>
        <w:t>, Gwendolin Manegold-Brauer</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Heidrun Schönberger</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Johanna Büchel</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Olav Lapaire</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Annkathrin Butenschön</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Evelyn A. Huhn</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Dorothy Huang</w:t>
      </w:r>
      <w:r w:rsidRPr="00CF184E">
        <w:rPr>
          <w:rFonts w:ascii="Arial" w:hAnsi="Arial" w:cs="Arial"/>
          <w:color w:val="000000" w:themeColor="text1"/>
          <w:sz w:val="20"/>
          <w:szCs w:val="20"/>
          <w:vertAlign w:val="superscript"/>
          <w:lang w:val="en-US"/>
        </w:rPr>
        <w:t>2</w:t>
      </w:r>
      <w:r w:rsidRPr="00CF184E">
        <w:rPr>
          <w:rFonts w:ascii="Arial" w:hAnsi="Arial" w:cs="Arial"/>
          <w:color w:val="000000" w:themeColor="text1"/>
          <w:sz w:val="20"/>
          <w:szCs w:val="20"/>
          <w:lang w:val="en-US"/>
        </w:rPr>
        <w:t>, Katrina S. Evers</w:t>
      </w:r>
      <w:r w:rsidRPr="00CF184E">
        <w:rPr>
          <w:rFonts w:ascii="Arial" w:hAnsi="Arial" w:cs="Arial"/>
          <w:color w:val="000000" w:themeColor="text1"/>
          <w:sz w:val="20"/>
          <w:szCs w:val="20"/>
          <w:vertAlign w:val="superscript"/>
          <w:lang w:val="en-US"/>
        </w:rPr>
        <w:t>3</w:t>
      </w:r>
      <w:r w:rsidRPr="00CF184E">
        <w:rPr>
          <w:rFonts w:ascii="Arial" w:hAnsi="Arial" w:cs="Arial"/>
          <w:color w:val="000000" w:themeColor="text1"/>
          <w:sz w:val="20"/>
          <w:szCs w:val="20"/>
          <w:lang w:val="en-US"/>
        </w:rPr>
        <w:t>, Alexandra Goischke</w:t>
      </w:r>
      <w:r w:rsidRPr="00CF184E">
        <w:rPr>
          <w:rFonts w:ascii="Arial" w:hAnsi="Arial" w:cs="Arial"/>
          <w:color w:val="000000" w:themeColor="text1"/>
          <w:sz w:val="20"/>
          <w:szCs w:val="20"/>
          <w:vertAlign w:val="superscript"/>
          <w:lang w:val="en-US"/>
        </w:rPr>
        <w:t>3</w:t>
      </w:r>
      <w:r w:rsidRPr="00CF184E">
        <w:rPr>
          <w:rFonts w:ascii="Arial" w:hAnsi="Arial" w:cs="Arial"/>
          <w:color w:val="000000" w:themeColor="text1"/>
          <w:sz w:val="20"/>
          <w:szCs w:val="20"/>
          <w:lang w:val="en-US"/>
        </w:rPr>
        <w:t>, Martina Frech-Dörfler</w:t>
      </w:r>
      <w:r w:rsidRPr="00CF184E">
        <w:rPr>
          <w:rFonts w:ascii="Arial" w:hAnsi="Arial" w:cs="Arial"/>
          <w:color w:val="000000" w:themeColor="text1"/>
          <w:sz w:val="20"/>
          <w:szCs w:val="20"/>
          <w:vertAlign w:val="superscript"/>
          <w:lang w:val="en-US"/>
        </w:rPr>
        <w:t>4</w:t>
      </w:r>
      <w:r w:rsidRPr="00CF184E">
        <w:rPr>
          <w:rFonts w:ascii="Arial" w:hAnsi="Arial" w:cs="Arial"/>
          <w:color w:val="000000" w:themeColor="text1"/>
          <w:sz w:val="20"/>
          <w:szCs w:val="20"/>
          <w:lang w:val="en-US"/>
        </w:rPr>
        <w:t>, Christoph Rudin</w:t>
      </w:r>
      <w:r w:rsidRPr="00CF184E">
        <w:rPr>
          <w:rFonts w:ascii="Arial" w:hAnsi="Arial" w:cs="Arial"/>
          <w:color w:val="000000" w:themeColor="text1"/>
          <w:sz w:val="20"/>
          <w:szCs w:val="20"/>
          <w:vertAlign w:val="superscript"/>
          <w:lang w:val="en-US"/>
        </w:rPr>
        <w:t>3</w:t>
      </w:r>
    </w:p>
    <w:p w14:paraId="1B01B58B" w14:textId="77777777" w:rsidR="00174495" w:rsidRPr="00CF184E" w:rsidRDefault="00174495" w:rsidP="00174495">
      <w:pPr>
        <w:outlineLvl w:val="3"/>
        <w:rPr>
          <w:rFonts w:ascii="Arial" w:eastAsia="Times New Roman" w:hAnsi="Arial" w:cs="Arial"/>
          <w:b/>
          <w:bCs/>
          <w:color w:val="000000" w:themeColor="text1"/>
          <w:sz w:val="20"/>
          <w:szCs w:val="20"/>
          <w:lang w:val="en-GB" w:eastAsia="de-DE"/>
        </w:rPr>
      </w:pPr>
      <w:r w:rsidRPr="00CF184E">
        <w:rPr>
          <w:rFonts w:ascii="Arial" w:eastAsia="Times New Roman" w:hAnsi="Arial" w:cs="Arial"/>
          <w:b/>
          <w:bCs/>
          <w:color w:val="000000" w:themeColor="text1"/>
          <w:sz w:val="20"/>
          <w:szCs w:val="20"/>
          <w:lang w:val="en-GB" w:eastAsia="de-DE"/>
        </w:rPr>
        <w:t>Affiliation</w:t>
      </w:r>
    </w:p>
    <w:p w14:paraId="2B9E5FAD" w14:textId="77777777" w:rsidR="00174495" w:rsidRPr="00CF184E" w:rsidRDefault="00174495" w:rsidP="00174495">
      <w:pPr>
        <w:outlineLvl w:val="3"/>
        <w:rPr>
          <w:rFonts w:ascii="Arial" w:eastAsia="Times New Roman" w:hAnsi="Arial" w:cs="Arial"/>
          <w:color w:val="000000" w:themeColor="text1"/>
          <w:sz w:val="20"/>
          <w:szCs w:val="20"/>
          <w:lang w:val="en-GB" w:eastAsia="de-DE"/>
        </w:rPr>
      </w:pPr>
      <w:r w:rsidRPr="00CF184E">
        <w:rPr>
          <w:rFonts w:ascii="Arial" w:eastAsia="Times New Roman" w:hAnsi="Arial" w:cs="Arial"/>
          <w:color w:val="000000" w:themeColor="text1"/>
          <w:sz w:val="20"/>
          <w:szCs w:val="20"/>
          <w:vertAlign w:val="superscript"/>
          <w:lang w:val="en-GB" w:eastAsia="de-DE"/>
        </w:rPr>
        <w:t xml:space="preserve">1 </w:t>
      </w:r>
      <w:r w:rsidRPr="00CF184E">
        <w:rPr>
          <w:rFonts w:ascii="Arial" w:eastAsia="Times New Roman" w:hAnsi="Arial" w:cs="Arial"/>
          <w:color w:val="000000" w:themeColor="text1"/>
          <w:sz w:val="20"/>
          <w:szCs w:val="20"/>
          <w:lang w:val="en-GB" w:eastAsia="de-DE"/>
        </w:rPr>
        <w:t>University of Basel, Basel, Switzerland</w:t>
      </w:r>
    </w:p>
    <w:p w14:paraId="75C942F1" w14:textId="77777777" w:rsidR="00174495" w:rsidRPr="00CF184E" w:rsidRDefault="00174495" w:rsidP="00174495">
      <w:pPr>
        <w:outlineLvl w:val="3"/>
        <w:rPr>
          <w:rFonts w:ascii="Arial" w:eastAsia="Times New Roman" w:hAnsi="Arial" w:cs="Arial"/>
          <w:color w:val="000000" w:themeColor="text1"/>
          <w:sz w:val="20"/>
          <w:szCs w:val="20"/>
          <w:lang w:val="en-GB" w:eastAsia="de-DE"/>
        </w:rPr>
      </w:pPr>
      <w:r w:rsidRPr="00CF184E">
        <w:rPr>
          <w:rFonts w:ascii="Arial" w:eastAsia="Times New Roman" w:hAnsi="Arial" w:cs="Arial"/>
          <w:color w:val="000000" w:themeColor="text1"/>
          <w:sz w:val="20"/>
          <w:szCs w:val="20"/>
          <w:vertAlign w:val="superscript"/>
          <w:lang w:val="en-GB" w:eastAsia="de-DE"/>
        </w:rPr>
        <w:t>2</w:t>
      </w:r>
      <w:r w:rsidRPr="00CF184E">
        <w:rPr>
          <w:rFonts w:ascii="Arial" w:eastAsia="Times New Roman" w:hAnsi="Arial" w:cs="Arial"/>
          <w:color w:val="000000" w:themeColor="text1"/>
          <w:sz w:val="20"/>
          <w:szCs w:val="20"/>
          <w:lang w:val="en-GB" w:eastAsia="de-DE"/>
        </w:rPr>
        <w:t xml:space="preserve"> University Women’s Hospital Basel, Basel, Switzerland</w:t>
      </w:r>
    </w:p>
    <w:p w14:paraId="451A0240" w14:textId="77777777" w:rsidR="00174495" w:rsidRPr="00CF184E" w:rsidRDefault="00174495" w:rsidP="00174495">
      <w:pPr>
        <w:outlineLvl w:val="3"/>
        <w:rPr>
          <w:rFonts w:ascii="Arial" w:eastAsia="Times New Roman" w:hAnsi="Arial" w:cs="Arial"/>
          <w:color w:val="000000" w:themeColor="text1"/>
          <w:sz w:val="20"/>
          <w:szCs w:val="20"/>
          <w:lang w:val="en-GB" w:eastAsia="de-DE"/>
        </w:rPr>
      </w:pPr>
      <w:r w:rsidRPr="00CF184E">
        <w:rPr>
          <w:rFonts w:ascii="Arial" w:eastAsia="Times New Roman" w:hAnsi="Arial" w:cs="Arial"/>
          <w:color w:val="000000" w:themeColor="text1"/>
          <w:sz w:val="20"/>
          <w:szCs w:val="20"/>
          <w:vertAlign w:val="superscript"/>
          <w:lang w:val="en-GB" w:eastAsia="de-DE"/>
        </w:rPr>
        <w:t xml:space="preserve">3 </w:t>
      </w:r>
      <w:r w:rsidRPr="00CF184E">
        <w:rPr>
          <w:rFonts w:ascii="Arial" w:eastAsia="Times New Roman" w:hAnsi="Arial" w:cs="Arial"/>
          <w:color w:val="000000" w:themeColor="text1"/>
          <w:sz w:val="20"/>
          <w:szCs w:val="20"/>
          <w:lang w:val="en-GB" w:eastAsia="de-DE"/>
        </w:rPr>
        <w:t>Department of Pediatric Nephrology, University Children's Hospital Basel, Basel, Switzerland</w:t>
      </w:r>
    </w:p>
    <w:p w14:paraId="11D51DE8" w14:textId="77777777" w:rsidR="00174495" w:rsidRPr="00CF184E" w:rsidRDefault="00174495" w:rsidP="00174495">
      <w:pPr>
        <w:outlineLvl w:val="3"/>
        <w:rPr>
          <w:rFonts w:ascii="Arial" w:eastAsia="Times New Roman" w:hAnsi="Arial" w:cs="Arial"/>
          <w:color w:val="000000" w:themeColor="text1"/>
          <w:sz w:val="20"/>
          <w:szCs w:val="20"/>
          <w:lang w:val="en-GB" w:eastAsia="de-DE"/>
        </w:rPr>
      </w:pPr>
      <w:r w:rsidRPr="00CF184E">
        <w:rPr>
          <w:rFonts w:ascii="Arial" w:eastAsia="Times New Roman" w:hAnsi="Arial" w:cs="Arial"/>
          <w:color w:val="000000" w:themeColor="text1"/>
          <w:sz w:val="20"/>
          <w:szCs w:val="20"/>
          <w:vertAlign w:val="superscript"/>
          <w:lang w:val="en-GB" w:eastAsia="de-DE"/>
        </w:rPr>
        <w:t xml:space="preserve">4 </w:t>
      </w:r>
      <w:r w:rsidRPr="00CF184E">
        <w:rPr>
          <w:rFonts w:ascii="Arial" w:eastAsia="Times New Roman" w:hAnsi="Arial" w:cs="Arial"/>
          <w:color w:val="000000" w:themeColor="text1"/>
          <w:sz w:val="20"/>
          <w:szCs w:val="20"/>
          <w:shd w:val="clear" w:color="auto" w:fill="FFFFFF"/>
          <w:lang w:val="en-GB" w:eastAsia="de-DE"/>
        </w:rPr>
        <w:t>Department of Pediatric Surgery, University Children's Hospital Basel, Basel, Switzerland</w:t>
      </w:r>
    </w:p>
    <w:p w14:paraId="37E8F9CA" w14:textId="77777777" w:rsidR="00174495" w:rsidRPr="00CF184E" w:rsidRDefault="00174495" w:rsidP="00174495">
      <w:pPr>
        <w:spacing w:line="480" w:lineRule="auto"/>
        <w:rPr>
          <w:rFonts w:ascii="Arial" w:eastAsia="Times New Roman" w:hAnsi="Arial" w:cs="Arial"/>
          <w:b/>
          <w:bCs/>
          <w:color w:val="333333"/>
          <w:sz w:val="20"/>
          <w:szCs w:val="20"/>
          <w:shd w:val="clear" w:color="auto" w:fill="FCFCFC"/>
          <w:lang w:val="en-GB" w:eastAsia="de-DE"/>
        </w:rPr>
      </w:pPr>
    </w:p>
    <w:p w14:paraId="7FC3902C" w14:textId="77777777" w:rsidR="00174495" w:rsidRPr="00CF184E" w:rsidRDefault="00174495" w:rsidP="00174495">
      <w:pPr>
        <w:rPr>
          <w:rFonts w:ascii="Arial" w:eastAsia="Times New Roman" w:hAnsi="Arial" w:cs="Arial"/>
          <w:b/>
          <w:bCs/>
          <w:color w:val="000000" w:themeColor="text1"/>
          <w:sz w:val="20"/>
          <w:szCs w:val="20"/>
          <w:shd w:val="clear" w:color="auto" w:fill="FCFCFC"/>
          <w:lang w:val="en-GB" w:eastAsia="de-DE"/>
        </w:rPr>
      </w:pPr>
      <w:r w:rsidRPr="00CF184E">
        <w:rPr>
          <w:rFonts w:ascii="Arial" w:eastAsia="Times New Roman" w:hAnsi="Arial" w:cs="Arial"/>
          <w:b/>
          <w:bCs/>
          <w:color w:val="333333"/>
          <w:sz w:val="20"/>
          <w:szCs w:val="20"/>
          <w:shd w:val="clear" w:color="auto" w:fill="FCFCFC"/>
          <w:lang w:val="en-GB" w:eastAsia="de-DE"/>
        </w:rPr>
        <w:t>E</w:t>
      </w:r>
      <w:r w:rsidRPr="00CF184E">
        <w:rPr>
          <w:rFonts w:ascii="Arial" w:eastAsia="Times New Roman" w:hAnsi="Arial" w:cs="Arial"/>
          <w:b/>
          <w:bCs/>
          <w:color w:val="000000" w:themeColor="text1"/>
          <w:sz w:val="20"/>
          <w:szCs w:val="20"/>
          <w:shd w:val="clear" w:color="auto" w:fill="FCFCFC"/>
          <w:lang w:val="en-GB" w:eastAsia="de-DE"/>
        </w:rPr>
        <w:t>-mail address of the corresponding author:</w:t>
      </w:r>
    </w:p>
    <w:p w14:paraId="0C7EE75E" w14:textId="77777777" w:rsidR="00174495" w:rsidRPr="00CF184E" w:rsidRDefault="00174495" w:rsidP="00174495">
      <w:pPr>
        <w:rPr>
          <w:rFonts w:ascii="Arial" w:eastAsia="Times New Roman" w:hAnsi="Arial" w:cs="Arial"/>
          <w:color w:val="000000" w:themeColor="text1"/>
          <w:sz w:val="20"/>
          <w:szCs w:val="20"/>
          <w:shd w:val="clear" w:color="auto" w:fill="FCFCFC"/>
          <w:lang w:val="en-GB" w:eastAsia="de-DE"/>
        </w:rPr>
      </w:pPr>
      <w:r w:rsidRPr="00CF184E">
        <w:rPr>
          <w:rFonts w:ascii="Arial" w:eastAsia="Times New Roman" w:hAnsi="Arial" w:cs="Arial"/>
          <w:color w:val="000000" w:themeColor="text1"/>
          <w:sz w:val="20"/>
          <w:szCs w:val="20"/>
          <w:shd w:val="clear" w:color="auto" w:fill="FCFCFC"/>
          <w:lang w:val="en-GB" w:eastAsia="de-DE"/>
        </w:rPr>
        <w:t>christoph.rudin@unibas.ch</w:t>
      </w:r>
    </w:p>
    <w:p w14:paraId="7B7EAC87" w14:textId="77777777" w:rsidR="00174495" w:rsidRPr="00CF184E" w:rsidRDefault="00174495" w:rsidP="00174495">
      <w:pPr>
        <w:rPr>
          <w:rFonts w:ascii="Arial" w:eastAsia="Times New Roman" w:hAnsi="Arial" w:cs="Arial"/>
          <w:color w:val="000000" w:themeColor="text1"/>
          <w:sz w:val="20"/>
          <w:szCs w:val="20"/>
          <w:shd w:val="clear" w:color="auto" w:fill="FCFCFC"/>
          <w:lang w:val="en-GB" w:eastAsia="de-DE"/>
        </w:rPr>
      </w:pPr>
      <w:r w:rsidRPr="00CF184E">
        <w:rPr>
          <w:rFonts w:ascii="Arial" w:eastAsia="Times New Roman" w:hAnsi="Arial" w:cs="Arial"/>
          <w:color w:val="000000" w:themeColor="text1"/>
          <w:sz w:val="20"/>
          <w:szCs w:val="20"/>
          <w:shd w:val="clear" w:color="auto" w:fill="FCFCFC"/>
          <w:lang w:val="en-GB" w:eastAsia="de-DE"/>
        </w:rPr>
        <w:t>ORCID: 0000-0002-3789-5915</w:t>
      </w:r>
    </w:p>
    <w:p w14:paraId="45ADBDC4" w14:textId="77777777" w:rsidR="00174495" w:rsidRPr="00066CCC" w:rsidRDefault="00174495" w:rsidP="00174495">
      <w:pPr>
        <w:spacing w:line="480" w:lineRule="auto"/>
        <w:jc w:val="both"/>
        <w:rPr>
          <w:rFonts w:ascii="Arial" w:hAnsi="Arial" w:cs="Arial"/>
          <w:color w:val="000000" w:themeColor="text1"/>
          <w:sz w:val="20"/>
          <w:szCs w:val="20"/>
          <w:lang w:val="en-GB"/>
        </w:rPr>
      </w:pPr>
    </w:p>
    <w:p w14:paraId="3555D275" w14:textId="200CBA38" w:rsidR="00174495" w:rsidRPr="00CF184E" w:rsidRDefault="003E57BA" w:rsidP="00174495">
      <w:pPr>
        <w:spacing w:line="480" w:lineRule="auto"/>
        <w:jc w:val="both"/>
        <w:rPr>
          <w:rFonts w:ascii="Arial" w:hAnsi="Arial" w:cs="Arial"/>
          <w:b/>
          <w:bCs/>
          <w:color w:val="000000" w:themeColor="text1"/>
          <w:lang w:val="en-US"/>
        </w:rPr>
      </w:pPr>
      <w:r>
        <w:rPr>
          <w:rFonts w:ascii="Arial" w:hAnsi="Arial" w:cs="Arial"/>
          <w:b/>
          <w:bCs/>
          <w:color w:val="000000" w:themeColor="text1"/>
          <w:lang w:val="en-US"/>
        </w:rPr>
        <w:t>Per kidney unit analysis</w:t>
      </w:r>
    </w:p>
    <w:p w14:paraId="71AC8F56" w14:textId="258E4FA6" w:rsidR="003E57BA" w:rsidRPr="006E5093" w:rsidRDefault="003E57BA" w:rsidP="003E57BA">
      <w:pPr>
        <w:rPr>
          <w:rFonts w:ascii="Arial" w:hAnsi="Arial" w:cs="Arial"/>
          <w:b/>
          <w:bCs/>
          <w:i/>
          <w:iCs/>
          <w:lang w:val="en-US"/>
        </w:rPr>
      </w:pPr>
      <w:r w:rsidRPr="006E5093">
        <w:rPr>
          <w:rFonts w:ascii="Arial" w:hAnsi="Arial" w:cs="Arial"/>
          <w:b/>
          <w:bCs/>
          <w:i/>
          <w:iCs/>
          <w:lang w:val="en-US"/>
        </w:rPr>
        <w:t>Methods</w:t>
      </w:r>
    </w:p>
    <w:p w14:paraId="5F92649A" w14:textId="0E2A44DC" w:rsidR="003E57BA" w:rsidRPr="003E57BA" w:rsidRDefault="003E57BA" w:rsidP="003E57BA">
      <w:pPr>
        <w:rPr>
          <w:rFonts w:ascii="Arial" w:hAnsi="Arial" w:cs="Arial"/>
          <w:lang w:val="en-US"/>
        </w:rPr>
      </w:pPr>
    </w:p>
    <w:p w14:paraId="73268B34" w14:textId="77777777" w:rsidR="003E57BA" w:rsidRPr="003E57BA" w:rsidRDefault="003E57BA" w:rsidP="003E57BA">
      <w:pPr>
        <w:spacing w:line="360" w:lineRule="auto"/>
        <w:jc w:val="both"/>
        <w:rPr>
          <w:rFonts w:ascii="Arial" w:hAnsi="Arial" w:cs="Arial"/>
          <w:color w:val="000000" w:themeColor="text1"/>
          <w:lang w:val="en-US"/>
        </w:rPr>
      </w:pPr>
      <w:r w:rsidRPr="003E57BA">
        <w:rPr>
          <w:rFonts w:ascii="Arial" w:hAnsi="Arial" w:cs="Arial"/>
          <w:color w:val="000000" w:themeColor="text1"/>
          <w:lang w:val="en-US"/>
        </w:rPr>
        <w:t xml:space="preserve">For the </w:t>
      </w:r>
      <w:r w:rsidRPr="003E57BA">
        <w:rPr>
          <w:rFonts w:ascii="Arial" w:hAnsi="Arial" w:cs="Arial"/>
          <w:i/>
          <w:iCs/>
          <w:color w:val="000000" w:themeColor="text1"/>
          <w:lang w:val="en-US"/>
        </w:rPr>
        <w:t>per kidney unit analysis</w:t>
      </w:r>
      <w:r w:rsidRPr="003E57BA">
        <w:rPr>
          <w:rFonts w:ascii="Arial" w:hAnsi="Arial" w:cs="Arial"/>
          <w:color w:val="000000" w:themeColor="text1"/>
          <w:lang w:val="en-US"/>
        </w:rPr>
        <w:t>, we included every single kidney with intrauterine hydronephrosis of all patients of group 1 and 2, and analyzed whether the degree of hydronephrosis was predictive for the outcome regarding etiological diagnoses (such as VUR, PUJO, VUJO, PUV, bladder diverticulum or ureterocele) as well as resolution or persistence of hydronephrosis.</w:t>
      </w:r>
    </w:p>
    <w:p w14:paraId="59696B2E" w14:textId="286F1E72" w:rsidR="003E57BA" w:rsidRDefault="003E57BA" w:rsidP="003E57BA">
      <w:pPr>
        <w:rPr>
          <w:lang w:val="en-US"/>
        </w:rPr>
      </w:pPr>
    </w:p>
    <w:p w14:paraId="0F2003F2" w14:textId="7DFF550B" w:rsidR="003E57BA" w:rsidRPr="00F1094E" w:rsidRDefault="003E57BA" w:rsidP="006E5093">
      <w:pPr>
        <w:spacing w:line="360" w:lineRule="auto"/>
        <w:jc w:val="both"/>
        <w:rPr>
          <w:rFonts w:ascii="Arial" w:hAnsi="Arial" w:cs="Arial"/>
          <w:b/>
          <w:bCs/>
          <w:i/>
          <w:iCs/>
          <w:color w:val="000000" w:themeColor="text1"/>
          <w:lang w:val="en-US"/>
        </w:rPr>
      </w:pPr>
      <w:r>
        <w:rPr>
          <w:rFonts w:ascii="Arial" w:hAnsi="Arial" w:cs="Arial"/>
          <w:b/>
          <w:bCs/>
          <w:i/>
          <w:iCs/>
          <w:color w:val="000000" w:themeColor="text1"/>
          <w:lang w:val="en-US"/>
        </w:rPr>
        <w:t xml:space="preserve">Results: </w:t>
      </w:r>
      <w:r w:rsidRPr="00F1094E">
        <w:rPr>
          <w:rFonts w:ascii="Arial" w:hAnsi="Arial" w:cs="Arial"/>
          <w:b/>
          <w:bCs/>
          <w:i/>
          <w:iCs/>
          <w:color w:val="000000" w:themeColor="text1"/>
          <w:lang w:val="en-US"/>
        </w:rPr>
        <w:t xml:space="preserve">Analysis of </w:t>
      </w:r>
      <w:r>
        <w:rPr>
          <w:rFonts w:ascii="Arial" w:hAnsi="Arial" w:cs="Arial"/>
          <w:b/>
          <w:bCs/>
          <w:i/>
          <w:iCs/>
          <w:color w:val="000000" w:themeColor="text1"/>
          <w:lang w:val="en-US"/>
        </w:rPr>
        <w:t xml:space="preserve">kidney </w:t>
      </w:r>
      <w:r w:rsidRPr="00F1094E">
        <w:rPr>
          <w:rFonts w:ascii="Arial" w:hAnsi="Arial" w:cs="Arial"/>
          <w:b/>
          <w:bCs/>
          <w:i/>
          <w:iCs/>
          <w:color w:val="000000" w:themeColor="text1"/>
          <w:lang w:val="en-US"/>
        </w:rPr>
        <w:t>units of group 1 and 2</w:t>
      </w:r>
    </w:p>
    <w:p w14:paraId="5A441A87" w14:textId="0FA91197" w:rsidR="003E57BA" w:rsidRDefault="003E57BA" w:rsidP="006E5093">
      <w:pPr>
        <w:spacing w:line="360" w:lineRule="auto"/>
        <w:jc w:val="both"/>
        <w:rPr>
          <w:rFonts w:ascii="Arial" w:hAnsi="Arial" w:cs="Arial"/>
          <w:color w:val="000000" w:themeColor="text1"/>
          <w:lang w:val="en-US"/>
        </w:rPr>
      </w:pPr>
      <w:r w:rsidRPr="00F1094E">
        <w:rPr>
          <w:rFonts w:ascii="Arial" w:hAnsi="Arial" w:cs="Arial"/>
          <w:color w:val="000000" w:themeColor="text1"/>
          <w:lang w:val="en-US"/>
        </w:rPr>
        <w:t xml:space="preserve">Taking </w:t>
      </w:r>
      <w:r>
        <w:rPr>
          <w:rFonts w:ascii="Arial" w:hAnsi="Arial" w:cs="Arial"/>
          <w:color w:val="000000" w:themeColor="text1"/>
          <w:lang w:val="en-US"/>
        </w:rPr>
        <w:t xml:space="preserve">into account </w:t>
      </w:r>
      <w:r w:rsidRPr="00F1094E">
        <w:rPr>
          <w:rFonts w:ascii="Arial" w:hAnsi="Arial" w:cs="Arial"/>
          <w:color w:val="000000" w:themeColor="text1"/>
          <w:lang w:val="en-US"/>
        </w:rPr>
        <w:t xml:space="preserve">all </w:t>
      </w:r>
      <w:r>
        <w:rPr>
          <w:rFonts w:ascii="Arial" w:hAnsi="Arial" w:cs="Arial"/>
          <w:color w:val="000000" w:themeColor="text1"/>
          <w:lang w:val="en-US"/>
        </w:rPr>
        <w:t>kidney</w:t>
      </w:r>
      <w:r w:rsidRPr="00F1094E">
        <w:rPr>
          <w:rFonts w:ascii="Arial" w:hAnsi="Arial" w:cs="Arial"/>
          <w:color w:val="000000" w:themeColor="text1"/>
          <w:lang w:val="en-US"/>
        </w:rPr>
        <w:t xml:space="preserve"> units with intrauterine hydronephrosis</w:t>
      </w:r>
      <w:r>
        <w:rPr>
          <w:rFonts w:ascii="Arial" w:hAnsi="Arial" w:cs="Arial"/>
          <w:color w:val="000000" w:themeColor="text1"/>
          <w:lang w:val="en-US"/>
        </w:rPr>
        <w:t xml:space="preserve"> of group 1 and 2</w:t>
      </w:r>
      <w:r w:rsidRPr="00F1094E">
        <w:rPr>
          <w:rFonts w:ascii="Arial" w:hAnsi="Arial" w:cs="Arial"/>
          <w:color w:val="000000" w:themeColor="text1"/>
          <w:lang w:val="en-US"/>
        </w:rPr>
        <w:t xml:space="preserve">, an etiological cause was identified in 45 of 78 (57.7%) </w:t>
      </w:r>
      <w:r>
        <w:rPr>
          <w:rFonts w:ascii="Arial" w:hAnsi="Arial" w:cs="Arial"/>
          <w:color w:val="000000" w:themeColor="text1"/>
          <w:lang w:val="en-US"/>
        </w:rPr>
        <w:t>kidney</w:t>
      </w:r>
      <w:r w:rsidRPr="00F1094E">
        <w:rPr>
          <w:rFonts w:ascii="Arial" w:hAnsi="Arial" w:cs="Arial"/>
          <w:color w:val="000000" w:themeColor="text1"/>
          <w:lang w:val="en-US"/>
        </w:rPr>
        <w:t xml:space="preserve"> units with fetal HG hydronephrosis</w:t>
      </w:r>
      <w:r>
        <w:rPr>
          <w:rFonts w:ascii="Arial" w:hAnsi="Arial" w:cs="Arial"/>
          <w:color w:val="000000" w:themeColor="text1"/>
          <w:lang w:val="en-US"/>
        </w:rPr>
        <w:t>,</w:t>
      </w:r>
      <w:r w:rsidRPr="00F1094E">
        <w:rPr>
          <w:rFonts w:ascii="Arial" w:hAnsi="Arial" w:cs="Arial"/>
          <w:color w:val="000000" w:themeColor="text1"/>
          <w:lang w:val="en-US"/>
        </w:rPr>
        <w:t xml:space="preserve"> whereas this was only the case in </w:t>
      </w:r>
      <w:r>
        <w:rPr>
          <w:rFonts w:ascii="Arial" w:hAnsi="Arial" w:cs="Arial"/>
          <w:color w:val="000000" w:themeColor="text1"/>
          <w:lang w:val="en-US"/>
        </w:rPr>
        <w:t>four</w:t>
      </w:r>
      <w:r w:rsidRPr="00F1094E">
        <w:rPr>
          <w:rFonts w:ascii="Arial" w:hAnsi="Arial" w:cs="Arial"/>
          <w:color w:val="000000" w:themeColor="text1"/>
          <w:lang w:val="en-US"/>
        </w:rPr>
        <w:t xml:space="preserve"> </w:t>
      </w:r>
      <w:r>
        <w:rPr>
          <w:rFonts w:ascii="Arial" w:hAnsi="Arial" w:cs="Arial"/>
          <w:color w:val="000000" w:themeColor="text1"/>
          <w:lang w:val="en-US"/>
        </w:rPr>
        <w:t xml:space="preserve">out </w:t>
      </w:r>
      <w:r w:rsidRPr="00F1094E">
        <w:rPr>
          <w:rFonts w:ascii="Arial" w:hAnsi="Arial" w:cs="Arial"/>
          <w:color w:val="000000" w:themeColor="text1"/>
          <w:lang w:val="en-US"/>
        </w:rPr>
        <w:t>of 123 (3.3%) of those with fetal LG hydronephrosis (figure 3</w:t>
      </w:r>
      <w:r>
        <w:rPr>
          <w:rFonts w:ascii="Arial" w:hAnsi="Arial" w:cs="Arial"/>
          <w:color w:val="000000" w:themeColor="text1"/>
          <w:lang w:val="en-US"/>
        </w:rPr>
        <w:t>b</w:t>
      </w:r>
      <w:r w:rsidR="006E7DE4">
        <w:rPr>
          <w:rFonts w:ascii="Arial" w:hAnsi="Arial" w:cs="Arial"/>
          <w:color w:val="000000" w:themeColor="text1"/>
          <w:vertAlign w:val="superscript"/>
          <w:lang w:val="en-US"/>
        </w:rPr>
        <w:t>1</w:t>
      </w:r>
      <w:r w:rsidRPr="00F1094E">
        <w:rPr>
          <w:rFonts w:ascii="Arial" w:hAnsi="Arial" w:cs="Arial"/>
          <w:color w:val="000000" w:themeColor="text1"/>
          <w:lang w:val="en-US"/>
        </w:rPr>
        <w:t xml:space="preserve">). Two of these latter children had a HG hydronephrosis of the contralateral kidney and received the diagnoses of PUV with contralateral duplex kidney and of bilateral PUJO with contralateral VUJO and bilateral cystic-dysplastic kidney, respectively. The third patient showed a duplex kidney with ureterocele on follow-up and the last one was found to have unilateral low-grade VUR. All </w:t>
      </w:r>
      <w:r>
        <w:rPr>
          <w:rFonts w:ascii="Arial" w:hAnsi="Arial" w:cs="Arial"/>
          <w:color w:val="000000" w:themeColor="text1"/>
          <w:lang w:val="en-US"/>
        </w:rPr>
        <w:t xml:space="preserve">of </w:t>
      </w:r>
      <w:r w:rsidRPr="00F1094E">
        <w:rPr>
          <w:rFonts w:ascii="Arial" w:hAnsi="Arial" w:cs="Arial"/>
          <w:color w:val="000000" w:themeColor="text1"/>
          <w:lang w:val="en-US"/>
        </w:rPr>
        <w:t xml:space="preserve">these four patients belonged to group 2 due to additional findings. Hydronephrosis completely resolved in 88 of 123 (71.5%) </w:t>
      </w:r>
      <w:r>
        <w:rPr>
          <w:rFonts w:ascii="Arial" w:hAnsi="Arial" w:cs="Arial"/>
          <w:color w:val="000000" w:themeColor="text1"/>
          <w:lang w:val="en-US"/>
        </w:rPr>
        <w:t xml:space="preserve">kidney </w:t>
      </w:r>
      <w:r w:rsidRPr="00F1094E">
        <w:rPr>
          <w:rFonts w:ascii="Arial" w:hAnsi="Arial" w:cs="Arial"/>
          <w:color w:val="000000" w:themeColor="text1"/>
          <w:lang w:val="en-US"/>
        </w:rPr>
        <w:t xml:space="preserve">units with intrauterine LG and 11 of 78 (14.1%) </w:t>
      </w:r>
      <w:r>
        <w:rPr>
          <w:rFonts w:ascii="Arial" w:hAnsi="Arial" w:cs="Arial"/>
          <w:color w:val="000000" w:themeColor="text1"/>
          <w:lang w:val="en-US"/>
        </w:rPr>
        <w:t>kidney</w:t>
      </w:r>
      <w:r w:rsidRPr="00F1094E">
        <w:rPr>
          <w:rFonts w:ascii="Arial" w:hAnsi="Arial" w:cs="Arial"/>
          <w:color w:val="000000" w:themeColor="text1"/>
          <w:lang w:val="en-US"/>
        </w:rPr>
        <w:t xml:space="preserve"> units with intrauterine HG hydronephrosis. </w:t>
      </w:r>
    </w:p>
    <w:p w14:paraId="512F6482" w14:textId="77777777" w:rsidR="00871B23" w:rsidRDefault="00871B23" w:rsidP="006E5093">
      <w:pPr>
        <w:spacing w:line="360" w:lineRule="auto"/>
        <w:jc w:val="both"/>
        <w:rPr>
          <w:rFonts w:ascii="Arial" w:hAnsi="Arial" w:cs="Arial"/>
          <w:color w:val="000000" w:themeColor="text1"/>
          <w:lang w:val="en-US"/>
        </w:rPr>
      </w:pPr>
    </w:p>
    <w:p w14:paraId="64147D82" w14:textId="0E14DB58" w:rsidR="006E7DE4" w:rsidRDefault="00445C97" w:rsidP="006E5093">
      <w:pPr>
        <w:spacing w:line="360" w:lineRule="auto"/>
        <w:jc w:val="both"/>
        <w:rPr>
          <w:rFonts w:ascii="Arial" w:hAnsi="Arial" w:cs="Arial"/>
          <w:color w:val="000000" w:themeColor="text1"/>
          <w:lang w:val="en-US"/>
        </w:rPr>
      </w:pPr>
      <w:r>
        <w:rPr>
          <w:rFonts w:ascii="Arial" w:hAnsi="Arial" w:cs="Arial"/>
          <w:color w:val="000000" w:themeColor="text1"/>
          <w:lang w:val="en-US"/>
        </w:rPr>
        <w:lastRenderedPageBreak/>
        <w:t>When we restricted this</w:t>
      </w:r>
      <w:r w:rsidR="006E7DE4">
        <w:rPr>
          <w:rFonts w:ascii="Arial" w:hAnsi="Arial" w:cs="Arial"/>
          <w:color w:val="000000" w:themeColor="text1"/>
          <w:lang w:val="en-US"/>
        </w:rPr>
        <w:t xml:space="preserve"> analysis to kidney units of group 1</w:t>
      </w:r>
      <w:r>
        <w:rPr>
          <w:rFonts w:ascii="Arial" w:hAnsi="Arial" w:cs="Arial"/>
          <w:color w:val="000000" w:themeColor="text1"/>
          <w:lang w:val="en-US"/>
        </w:rPr>
        <w:t xml:space="preserve"> (patients with isolated hydronephrosis without additional findings) LG hydronephrosis never led to a final diagnosis or </w:t>
      </w:r>
      <w:r w:rsidR="00871B23">
        <w:rPr>
          <w:rFonts w:ascii="Arial" w:hAnsi="Arial" w:cs="Arial"/>
          <w:color w:val="000000" w:themeColor="text1"/>
          <w:lang w:val="en-US"/>
        </w:rPr>
        <w:t xml:space="preserve">an intervention </w:t>
      </w:r>
      <w:r w:rsidR="00871B23" w:rsidRPr="00F1094E">
        <w:rPr>
          <w:rFonts w:ascii="Arial" w:hAnsi="Arial" w:cs="Arial"/>
          <w:color w:val="000000" w:themeColor="text1"/>
          <w:lang w:val="en-US"/>
        </w:rPr>
        <w:t>(figure 3</w:t>
      </w:r>
      <w:r w:rsidR="00871B23">
        <w:rPr>
          <w:rFonts w:ascii="Arial" w:hAnsi="Arial" w:cs="Arial"/>
          <w:color w:val="000000" w:themeColor="text1"/>
          <w:lang w:val="en-US"/>
        </w:rPr>
        <w:t>b</w:t>
      </w:r>
      <w:r w:rsidR="00871B23">
        <w:rPr>
          <w:rFonts w:ascii="Arial" w:hAnsi="Arial" w:cs="Arial"/>
          <w:color w:val="000000" w:themeColor="text1"/>
          <w:vertAlign w:val="superscript"/>
          <w:lang w:val="en-US"/>
        </w:rPr>
        <w:t>2</w:t>
      </w:r>
      <w:r w:rsidR="00871B23" w:rsidRPr="00F1094E">
        <w:rPr>
          <w:rFonts w:ascii="Arial" w:hAnsi="Arial" w:cs="Arial"/>
          <w:color w:val="000000" w:themeColor="text1"/>
          <w:lang w:val="en-US"/>
        </w:rPr>
        <w:t>)</w:t>
      </w:r>
      <w:r w:rsidR="00871B23">
        <w:rPr>
          <w:rFonts w:ascii="Arial" w:hAnsi="Arial" w:cs="Arial"/>
          <w:color w:val="000000" w:themeColor="text1"/>
          <w:lang w:val="en-US"/>
        </w:rPr>
        <w:t xml:space="preserve">. </w:t>
      </w:r>
    </w:p>
    <w:p w14:paraId="6AB58F8E" w14:textId="6C40DF2F" w:rsidR="006E5093" w:rsidRDefault="006E5093" w:rsidP="006E5093">
      <w:pPr>
        <w:spacing w:line="360" w:lineRule="auto"/>
        <w:jc w:val="both"/>
        <w:rPr>
          <w:rFonts w:ascii="Arial" w:hAnsi="Arial" w:cs="Arial"/>
          <w:color w:val="000000" w:themeColor="text1"/>
          <w:lang w:val="en-US"/>
        </w:rPr>
      </w:pPr>
    </w:p>
    <w:p w14:paraId="3CF925BD" w14:textId="02A3226B" w:rsidR="006E7DE4" w:rsidRDefault="006E7DE4" w:rsidP="006E7DE4">
      <w:pPr>
        <w:jc w:val="center"/>
        <w:rPr>
          <w:rFonts w:ascii="Arial" w:hAnsi="Arial" w:cs="Arial"/>
          <w:color w:val="000000" w:themeColor="text1"/>
          <w:sz w:val="20"/>
          <w:szCs w:val="20"/>
          <w:lang w:val="en-GB"/>
        </w:rPr>
      </w:pPr>
      <w:r w:rsidRPr="005E1663">
        <w:rPr>
          <w:rFonts w:ascii="Arial" w:hAnsi="Arial" w:cs="Arial"/>
          <w:b/>
          <w:bCs/>
          <w:color w:val="000000" w:themeColor="text1"/>
          <w:sz w:val="20"/>
          <w:szCs w:val="20"/>
          <w:lang w:val="en-GB"/>
        </w:rPr>
        <w:t>Fig.</w:t>
      </w:r>
      <w:r>
        <w:rPr>
          <w:rFonts w:ascii="Arial" w:hAnsi="Arial" w:cs="Arial"/>
          <w:b/>
          <w:bCs/>
          <w:color w:val="000000" w:themeColor="text1"/>
          <w:sz w:val="20"/>
          <w:szCs w:val="20"/>
          <w:lang w:val="en-GB"/>
        </w:rPr>
        <w:t xml:space="preserve"> </w:t>
      </w:r>
      <w:r w:rsidRPr="005E1663">
        <w:rPr>
          <w:rFonts w:ascii="Arial" w:hAnsi="Arial" w:cs="Arial"/>
          <w:b/>
          <w:bCs/>
          <w:color w:val="000000" w:themeColor="text1"/>
          <w:sz w:val="20"/>
          <w:szCs w:val="20"/>
          <w:lang w:val="en-GB"/>
        </w:rPr>
        <w:t>3</w:t>
      </w:r>
      <w:r>
        <w:rPr>
          <w:rFonts w:ascii="Arial" w:hAnsi="Arial" w:cs="Arial"/>
          <w:b/>
          <w:bCs/>
          <w:color w:val="000000" w:themeColor="text1"/>
          <w:sz w:val="20"/>
          <w:szCs w:val="20"/>
          <w:lang w:val="en-GB"/>
        </w:rPr>
        <w:t xml:space="preserve"> (Supplement)</w:t>
      </w:r>
      <w:r w:rsidRPr="005E1663">
        <w:rPr>
          <w:rFonts w:ascii="Arial" w:hAnsi="Arial" w:cs="Arial"/>
          <w:color w:val="000000" w:themeColor="text1"/>
          <w:sz w:val="20"/>
          <w:szCs w:val="20"/>
          <w:lang w:val="en-GB"/>
        </w:rPr>
        <w:t xml:space="preserve"> Specific final diagnosis and need for intervention at the end of follow-up in relation to the degree of the intrauterine hydronephrosis</w:t>
      </w:r>
      <w:r>
        <w:rPr>
          <w:rFonts w:ascii="Arial" w:hAnsi="Arial" w:cs="Arial"/>
          <w:color w:val="000000" w:themeColor="text1"/>
          <w:sz w:val="20"/>
          <w:szCs w:val="20"/>
          <w:lang w:val="en-GB"/>
        </w:rPr>
        <w:t xml:space="preserve"> (per kidney</w:t>
      </w:r>
      <w:r w:rsidR="001F51CA">
        <w:rPr>
          <w:rFonts w:ascii="Arial" w:hAnsi="Arial" w:cs="Arial"/>
          <w:color w:val="000000" w:themeColor="text1"/>
          <w:sz w:val="20"/>
          <w:szCs w:val="20"/>
          <w:lang w:val="en-GB"/>
        </w:rPr>
        <w:t xml:space="preserve"> unit</w:t>
      </w:r>
      <w:r>
        <w:rPr>
          <w:rFonts w:ascii="Arial" w:hAnsi="Arial" w:cs="Arial"/>
          <w:color w:val="000000" w:themeColor="text1"/>
          <w:sz w:val="20"/>
          <w:szCs w:val="20"/>
          <w:lang w:val="en-GB"/>
        </w:rPr>
        <w:t xml:space="preserve"> analysis)</w:t>
      </w:r>
    </w:p>
    <w:p w14:paraId="3D2992B6" w14:textId="277B1DE0" w:rsidR="006E7DE4" w:rsidRPr="005E1663" w:rsidRDefault="006E7DE4" w:rsidP="006E7DE4">
      <w:pPr>
        <w:jc w:val="center"/>
        <w:rPr>
          <w:rFonts w:ascii="Arial" w:hAnsi="Arial" w:cs="Arial"/>
          <w:color w:val="000000" w:themeColor="text1"/>
          <w:sz w:val="20"/>
          <w:szCs w:val="20"/>
          <w:lang w:val="en-GB"/>
        </w:rPr>
      </w:pPr>
    </w:p>
    <w:p w14:paraId="0FBEFEFF" w14:textId="759EB54A" w:rsidR="006E7DE4" w:rsidRDefault="00871B23" w:rsidP="006E5093">
      <w:pPr>
        <w:spacing w:line="360" w:lineRule="auto"/>
        <w:jc w:val="both"/>
        <w:rPr>
          <w:rFonts w:ascii="Arial" w:hAnsi="Arial" w:cs="Arial"/>
          <w:color w:val="000000" w:themeColor="text1"/>
          <w:lang w:val="en-US"/>
        </w:rPr>
      </w:pPr>
      <w:r>
        <w:rPr>
          <w:rFonts w:ascii="Times New Roman" w:hAnsi="Times New Roman" w:cs="Times New Roman"/>
          <w:noProof/>
          <w:color w:val="FF0000"/>
          <w:sz w:val="20"/>
          <w:szCs w:val="20"/>
        </w:rPr>
        <w:drawing>
          <wp:anchor distT="0" distB="0" distL="114300" distR="114300" simplePos="0" relativeHeight="251659264" behindDoc="0" locked="0" layoutInCell="1" allowOverlap="1" wp14:anchorId="42D58F5B" wp14:editId="59EE5536">
            <wp:simplePos x="0" y="0"/>
            <wp:positionH relativeFrom="margin">
              <wp:posOffset>25400</wp:posOffset>
            </wp:positionH>
            <wp:positionV relativeFrom="paragraph">
              <wp:posOffset>113665</wp:posOffset>
            </wp:positionV>
            <wp:extent cx="5039995" cy="2714625"/>
            <wp:effectExtent l="0" t="0" r="8255" b="9525"/>
            <wp:wrapNone/>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14:sizeRelV relativeFrom="margin">
              <wp14:pctHeight>0</wp14:pctHeight>
            </wp14:sizeRelV>
          </wp:anchor>
        </w:drawing>
      </w:r>
    </w:p>
    <w:p w14:paraId="625F9B2E" w14:textId="5B3AB0D5" w:rsidR="006E5093" w:rsidRDefault="006E5093" w:rsidP="003E57BA">
      <w:pPr>
        <w:spacing w:line="480" w:lineRule="auto"/>
        <w:jc w:val="both"/>
        <w:rPr>
          <w:rFonts w:ascii="Arial" w:hAnsi="Arial" w:cs="Arial"/>
          <w:color w:val="000000" w:themeColor="text1"/>
          <w:lang w:val="en-US"/>
        </w:rPr>
      </w:pPr>
    </w:p>
    <w:p w14:paraId="456D170E" w14:textId="1097BD6A" w:rsidR="006E5093" w:rsidRDefault="006E5093" w:rsidP="003E57BA">
      <w:pPr>
        <w:spacing w:line="480" w:lineRule="auto"/>
        <w:jc w:val="both"/>
        <w:rPr>
          <w:rFonts w:ascii="Arial" w:hAnsi="Arial" w:cs="Arial"/>
          <w:color w:val="000000" w:themeColor="text1"/>
          <w:lang w:val="en-US"/>
        </w:rPr>
      </w:pPr>
    </w:p>
    <w:p w14:paraId="5E939E9A" w14:textId="6B26949A" w:rsidR="006E5093" w:rsidRDefault="006E5093" w:rsidP="003E57BA">
      <w:pPr>
        <w:spacing w:line="480" w:lineRule="auto"/>
        <w:jc w:val="both"/>
        <w:rPr>
          <w:rFonts w:ascii="Arial" w:hAnsi="Arial" w:cs="Arial"/>
          <w:color w:val="000000" w:themeColor="text1"/>
          <w:lang w:val="en-US"/>
        </w:rPr>
      </w:pPr>
    </w:p>
    <w:p w14:paraId="6F2C1293" w14:textId="19AF277F" w:rsidR="006E5093" w:rsidRDefault="006E5093" w:rsidP="003E57BA">
      <w:pPr>
        <w:spacing w:line="480" w:lineRule="auto"/>
        <w:jc w:val="both"/>
        <w:rPr>
          <w:rFonts w:ascii="Arial" w:hAnsi="Arial" w:cs="Arial"/>
          <w:color w:val="000000" w:themeColor="text1"/>
          <w:lang w:val="en-US"/>
        </w:rPr>
      </w:pPr>
    </w:p>
    <w:p w14:paraId="65F4D0B8" w14:textId="69268DFA" w:rsidR="006E5093" w:rsidRDefault="006E5093" w:rsidP="003E57BA">
      <w:pPr>
        <w:spacing w:line="480" w:lineRule="auto"/>
        <w:jc w:val="both"/>
        <w:rPr>
          <w:rFonts w:ascii="Arial" w:hAnsi="Arial" w:cs="Arial"/>
          <w:color w:val="000000" w:themeColor="text1"/>
          <w:lang w:val="en-US"/>
        </w:rPr>
      </w:pPr>
    </w:p>
    <w:p w14:paraId="754C243B" w14:textId="6009C9F5" w:rsidR="006E5093" w:rsidRDefault="006E5093" w:rsidP="003E57BA">
      <w:pPr>
        <w:spacing w:line="480" w:lineRule="auto"/>
        <w:jc w:val="both"/>
        <w:rPr>
          <w:rFonts w:ascii="Arial" w:hAnsi="Arial" w:cs="Arial"/>
          <w:color w:val="000000" w:themeColor="text1"/>
          <w:lang w:val="en-US"/>
        </w:rPr>
      </w:pPr>
    </w:p>
    <w:p w14:paraId="5C7FD0C5" w14:textId="3822D48A" w:rsidR="006E5093" w:rsidRDefault="006E5093" w:rsidP="003E57BA">
      <w:pPr>
        <w:spacing w:line="480" w:lineRule="auto"/>
        <w:jc w:val="both"/>
        <w:rPr>
          <w:rFonts w:ascii="Arial" w:hAnsi="Arial" w:cs="Arial"/>
          <w:color w:val="000000" w:themeColor="text1"/>
          <w:lang w:val="en-US"/>
        </w:rPr>
      </w:pPr>
    </w:p>
    <w:p w14:paraId="71BE8C5B" w14:textId="2580C66F" w:rsidR="006E5093" w:rsidRDefault="00871B23" w:rsidP="003E57BA">
      <w:pPr>
        <w:spacing w:line="480" w:lineRule="auto"/>
        <w:jc w:val="both"/>
        <w:rPr>
          <w:rFonts w:ascii="Arial" w:hAnsi="Arial" w:cs="Arial"/>
          <w:color w:val="000000" w:themeColor="text1"/>
          <w:lang w:val="en-US"/>
        </w:rPr>
      </w:pPr>
      <w:r>
        <w:rPr>
          <w:rFonts w:ascii="Times New Roman" w:hAnsi="Times New Roman" w:cs="Times New Roman"/>
          <w:noProof/>
          <w:color w:val="FF0000"/>
          <w:sz w:val="20"/>
          <w:szCs w:val="20"/>
        </w:rPr>
        <w:drawing>
          <wp:anchor distT="0" distB="0" distL="114300" distR="114300" simplePos="0" relativeHeight="251661312" behindDoc="0" locked="0" layoutInCell="1" allowOverlap="1" wp14:anchorId="58092D97" wp14:editId="5305BC5A">
            <wp:simplePos x="0" y="0"/>
            <wp:positionH relativeFrom="margin">
              <wp:posOffset>25400</wp:posOffset>
            </wp:positionH>
            <wp:positionV relativeFrom="paragraph">
              <wp:posOffset>208280</wp:posOffset>
            </wp:positionV>
            <wp:extent cx="5039382" cy="2713604"/>
            <wp:effectExtent l="0" t="0" r="8890" b="10795"/>
            <wp:wrapNone/>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53C94EE2" w14:textId="2C110F32" w:rsidR="006E5093" w:rsidRDefault="006E5093" w:rsidP="003E57BA">
      <w:pPr>
        <w:spacing w:line="480" w:lineRule="auto"/>
        <w:jc w:val="both"/>
        <w:rPr>
          <w:rFonts w:ascii="Arial" w:hAnsi="Arial" w:cs="Arial"/>
          <w:color w:val="000000" w:themeColor="text1"/>
          <w:lang w:val="en-US"/>
        </w:rPr>
      </w:pPr>
    </w:p>
    <w:p w14:paraId="06C1BEB4" w14:textId="6C94C058" w:rsidR="006E5093" w:rsidRDefault="006E5093" w:rsidP="003E57BA">
      <w:pPr>
        <w:spacing w:line="480" w:lineRule="auto"/>
        <w:jc w:val="both"/>
        <w:rPr>
          <w:rFonts w:ascii="Arial" w:hAnsi="Arial" w:cs="Arial"/>
          <w:color w:val="000000" w:themeColor="text1"/>
          <w:lang w:val="en-US"/>
        </w:rPr>
      </w:pPr>
    </w:p>
    <w:p w14:paraId="730B5CC5" w14:textId="15F2E33C" w:rsidR="006E5093" w:rsidRDefault="006E5093" w:rsidP="003E57BA">
      <w:pPr>
        <w:spacing w:line="480" w:lineRule="auto"/>
        <w:jc w:val="both"/>
        <w:rPr>
          <w:rFonts w:ascii="Arial" w:hAnsi="Arial" w:cs="Arial"/>
          <w:color w:val="000000" w:themeColor="text1"/>
          <w:lang w:val="en-US"/>
        </w:rPr>
      </w:pPr>
    </w:p>
    <w:p w14:paraId="22043D68" w14:textId="17B472A2" w:rsidR="006E5093" w:rsidRDefault="006E5093" w:rsidP="003E57BA">
      <w:pPr>
        <w:spacing w:line="480" w:lineRule="auto"/>
        <w:jc w:val="both"/>
        <w:rPr>
          <w:rFonts w:ascii="Arial" w:hAnsi="Arial" w:cs="Arial"/>
          <w:color w:val="000000" w:themeColor="text1"/>
          <w:lang w:val="en-US"/>
        </w:rPr>
      </w:pPr>
    </w:p>
    <w:p w14:paraId="009E7F02" w14:textId="5B7B0E25" w:rsidR="006E5093" w:rsidRDefault="006E5093" w:rsidP="003E57BA">
      <w:pPr>
        <w:spacing w:line="480" w:lineRule="auto"/>
        <w:jc w:val="both"/>
        <w:rPr>
          <w:rFonts w:ascii="Arial" w:hAnsi="Arial" w:cs="Arial"/>
          <w:color w:val="000000" w:themeColor="text1"/>
          <w:lang w:val="en-US"/>
        </w:rPr>
      </w:pPr>
    </w:p>
    <w:p w14:paraId="1ADA97E8" w14:textId="4F0264E4" w:rsidR="006E5093" w:rsidRDefault="006E5093" w:rsidP="003E57BA">
      <w:pPr>
        <w:spacing w:line="480" w:lineRule="auto"/>
        <w:jc w:val="both"/>
        <w:rPr>
          <w:rFonts w:ascii="Arial" w:hAnsi="Arial" w:cs="Arial"/>
          <w:color w:val="000000" w:themeColor="text1"/>
          <w:lang w:val="en-US"/>
        </w:rPr>
      </w:pPr>
    </w:p>
    <w:p w14:paraId="29E54EDA" w14:textId="77777777" w:rsidR="006E5093" w:rsidRDefault="006E5093" w:rsidP="003E57BA">
      <w:pPr>
        <w:spacing w:line="480" w:lineRule="auto"/>
        <w:jc w:val="both"/>
        <w:rPr>
          <w:rFonts w:ascii="Arial" w:hAnsi="Arial" w:cs="Arial"/>
          <w:color w:val="000000" w:themeColor="text1"/>
          <w:lang w:val="en-US"/>
        </w:rPr>
      </w:pPr>
    </w:p>
    <w:p w14:paraId="4AF498E0" w14:textId="77777777" w:rsidR="006E5093" w:rsidRDefault="006E5093" w:rsidP="006E5093">
      <w:pPr>
        <w:tabs>
          <w:tab w:val="left" w:pos="1366"/>
        </w:tabs>
        <w:rPr>
          <w:rFonts w:ascii="Arial" w:hAnsi="Arial" w:cs="Arial"/>
          <w:sz w:val="20"/>
          <w:szCs w:val="20"/>
          <w:vertAlign w:val="superscript"/>
          <w:lang w:val="en-GB"/>
        </w:rPr>
      </w:pPr>
    </w:p>
    <w:p w14:paraId="1C7BF247" w14:textId="77777777" w:rsidR="006E5093" w:rsidRDefault="006E5093" w:rsidP="006E5093">
      <w:pPr>
        <w:tabs>
          <w:tab w:val="left" w:pos="1366"/>
        </w:tabs>
        <w:rPr>
          <w:rFonts w:ascii="Arial" w:hAnsi="Arial" w:cs="Arial"/>
          <w:sz w:val="20"/>
          <w:szCs w:val="20"/>
          <w:vertAlign w:val="superscript"/>
          <w:lang w:val="en-GB"/>
        </w:rPr>
      </w:pPr>
    </w:p>
    <w:p w14:paraId="279D5AB8" w14:textId="55A07375" w:rsidR="006E5093" w:rsidRPr="00EE72DA" w:rsidRDefault="006E5093" w:rsidP="006E5093">
      <w:pPr>
        <w:tabs>
          <w:tab w:val="left" w:pos="1366"/>
        </w:tabs>
        <w:rPr>
          <w:rFonts w:ascii="Arial" w:hAnsi="Arial" w:cs="Arial"/>
          <w:sz w:val="20"/>
          <w:szCs w:val="20"/>
          <w:lang w:val="en-GB"/>
        </w:rPr>
      </w:pPr>
      <w:r w:rsidRPr="00EE72DA">
        <w:rPr>
          <w:rFonts w:ascii="Arial" w:hAnsi="Arial" w:cs="Arial"/>
          <w:sz w:val="20"/>
          <w:szCs w:val="20"/>
          <w:vertAlign w:val="superscript"/>
          <w:lang w:val="en-GB"/>
        </w:rPr>
        <w:t xml:space="preserve">a </w:t>
      </w:r>
      <w:r w:rsidRPr="00EE72DA">
        <w:rPr>
          <w:rFonts w:ascii="Arial" w:hAnsi="Arial" w:cs="Arial"/>
          <w:sz w:val="20"/>
          <w:szCs w:val="20"/>
          <w:lang w:val="en-GB"/>
        </w:rPr>
        <w:t>without etiological diagnosis</w:t>
      </w:r>
    </w:p>
    <w:p w14:paraId="5AAE182A" w14:textId="77777777" w:rsidR="006E5093" w:rsidRPr="00EE72DA" w:rsidRDefault="006E5093" w:rsidP="006E5093">
      <w:pPr>
        <w:tabs>
          <w:tab w:val="left" w:pos="1366"/>
        </w:tabs>
        <w:rPr>
          <w:rFonts w:ascii="Arial" w:hAnsi="Arial" w:cs="Arial"/>
          <w:sz w:val="20"/>
          <w:szCs w:val="20"/>
          <w:lang w:val="en-GB"/>
        </w:rPr>
      </w:pPr>
      <w:r w:rsidRPr="00EE72DA">
        <w:rPr>
          <w:rFonts w:ascii="Arial" w:hAnsi="Arial" w:cs="Arial"/>
          <w:sz w:val="20"/>
          <w:szCs w:val="20"/>
          <w:lang w:val="en-GB"/>
        </w:rPr>
        <w:tab/>
      </w:r>
    </w:p>
    <w:p w14:paraId="1BED7E49" w14:textId="77777777" w:rsidR="00871B23" w:rsidRDefault="006E5093" w:rsidP="006E5093">
      <w:pPr>
        <w:tabs>
          <w:tab w:val="left" w:pos="1366"/>
        </w:tabs>
        <w:rPr>
          <w:rFonts w:ascii="Arial" w:hAnsi="Arial" w:cs="Arial"/>
          <w:sz w:val="20"/>
          <w:szCs w:val="20"/>
          <w:lang w:val="en-GB"/>
        </w:rPr>
      </w:pPr>
      <w:r w:rsidRPr="00EE72DA">
        <w:rPr>
          <w:rFonts w:ascii="Arial" w:hAnsi="Arial" w:cs="Arial"/>
          <w:sz w:val="20"/>
          <w:szCs w:val="20"/>
          <w:lang w:val="en-GB"/>
        </w:rPr>
        <w:t>LG hydronephrosis = low-grade hydronephrosis (grade I and II according to the grading system of Beetz et al. [15]);</w:t>
      </w:r>
    </w:p>
    <w:p w14:paraId="32CFC5FC" w14:textId="39FAB300" w:rsidR="006E5093" w:rsidRDefault="006E5093" w:rsidP="00871B23">
      <w:pPr>
        <w:tabs>
          <w:tab w:val="left" w:pos="1366"/>
        </w:tabs>
        <w:rPr>
          <w:lang w:val="en-US"/>
        </w:rPr>
      </w:pPr>
      <w:r w:rsidRPr="00EE72DA">
        <w:rPr>
          <w:rFonts w:ascii="Arial" w:hAnsi="Arial" w:cs="Arial"/>
          <w:sz w:val="20"/>
          <w:szCs w:val="20"/>
          <w:lang w:val="en-GB"/>
        </w:rPr>
        <w:t>HG hydronephrosis = high-grade hydronephrosis (grade III and IV according to the grading system of Beetz et al. [15])</w:t>
      </w:r>
    </w:p>
    <w:sectPr w:rsidR="006E509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495"/>
    <w:rsid w:val="00174495"/>
    <w:rsid w:val="001F51CA"/>
    <w:rsid w:val="003E57BA"/>
    <w:rsid w:val="00445C97"/>
    <w:rsid w:val="005213F2"/>
    <w:rsid w:val="006E5093"/>
    <w:rsid w:val="006E7DE4"/>
    <w:rsid w:val="00714DC8"/>
    <w:rsid w:val="00801E81"/>
    <w:rsid w:val="00871B23"/>
    <w:rsid w:val="00A52AEF"/>
    <w:rsid w:val="00BF019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1192B"/>
  <w15:chartTrackingRefBased/>
  <w15:docId w15:val="{3F18D164-FC50-432A-8661-1020C537D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4495"/>
    <w:pPr>
      <w:spacing w:after="0" w:line="240" w:lineRule="auto"/>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Arial" panose="020B0604020202020204" pitchFamily="34" charset="0"/>
                <a:ea typeface="+mn-ea"/>
                <a:cs typeface="Arial" panose="020B0604020202020204" pitchFamily="34" charset="0"/>
              </a:defRPr>
            </a:pPr>
            <a:r>
              <a:rPr lang="de-DE" sz="1000" b="1" i="0">
                <a:solidFill>
                  <a:schemeClr val="tx1"/>
                </a:solidFill>
                <a:latin typeface="Arial" panose="020B0604020202020204" pitchFamily="34" charset="0"/>
                <a:cs typeface="Arial" panose="020B0604020202020204" pitchFamily="34" charset="0"/>
              </a:rPr>
              <a:t>Fig. 3b</a:t>
            </a:r>
            <a:r>
              <a:rPr lang="de-DE" sz="1000" b="1" i="0" baseline="30000">
                <a:solidFill>
                  <a:schemeClr val="tx1"/>
                </a:solidFill>
                <a:latin typeface="Arial" panose="020B0604020202020204" pitchFamily="34" charset="0"/>
                <a:cs typeface="Arial" panose="020B0604020202020204" pitchFamily="34" charset="0"/>
              </a:rPr>
              <a:t>1</a:t>
            </a:r>
            <a:r>
              <a:rPr lang="de-DE" sz="1000" i="0">
                <a:solidFill>
                  <a:schemeClr val="tx1"/>
                </a:solidFill>
                <a:latin typeface="Arial" panose="020B0604020202020204" pitchFamily="34" charset="0"/>
                <a:cs typeface="Arial" panose="020B0604020202020204" pitchFamily="34" charset="0"/>
              </a:rPr>
              <a:t> </a:t>
            </a:r>
            <a:r>
              <a:rPr lang="de-DE" sz="1000">
                <a:solidFill>
                  <a:schemeClr val="tx1"/>
                </a:solidFill>
                <a:latin typeface="Arial" panose="020B0604020202020204" pitchFamily="34" charset="0"/>
                <a:cs typeface="Arial" panose="020B0604020202020204" pitchFamily="34" charset="0"/>
              </a:rPr>
              <a:t>evaluated by kidney units of all patients with</a:t>
            </a:r>
            <a:r>
              <a:rPr lang="de-DE" sz="1000" baseline="0">
                <a:solidFill>
                  <a:schemeClr val="tx1"/>
                </a:solidFill>
                <a:latin typeface="Arial" panose="020B0604020202020204" pitchFamily="34" charset="0"/>
                <a:cs typeface="Arial" panose="020B0604020202020204" pitchFamily="34" charset="0"/>
              </a:rPr>
              <a:t> intrauterine</a:t>
            </a:r>
            <a:r>
              <a:rPr lang="de-DE" sz="1000">
                <a:solidFill>
                  <a:schemeClr val="tx1"/>
                </a:solidFill>
                <a:latin typeface="Arial" panose="020B0604020202020204" pitchFamily="34" charset="0"/>
                <a:cs typeface="Arial" panose="020B0604020202020204" pitchFamily="34" charset="0"/>
              </a:rPr>
              <a:t> hydronephrosis (group 1 and 2)</a:t>
            </a:r>
            <a:endParaRPr lang="de-CH" sz="1000">
              <a:solidFill>
                <a:schemeClr val="tx1"/>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2"/>
          <c:order val="1"/>
          <c:tx>
            <c:strRef>
              <c:f>Tabelle1!$C$1</c:f>
              <c:strCache>
                <c:ptCount val="1"/>
                <c:pt idx="0">
                  <c:v>Etiological diagnosis</c:v>
                </c:pt>
              </c:strCache>
            </c:strRef>
          </c:tx>
          <c:spPr>
            <a:solidFill>
              <a:schemeClr val="accent1">
                <a:lumMod val="50000"/>
              </a:schemeClr>
            </a:solidFill>
            <a:ln>
              <a:solidFill>
                <a:schemeClr val="accent1">
                  <a:lumMod val="50000"/>
                </a:schemeClr>
              </a:solidFill>
            </a:ln>
            <a:effectLst/>
          </c:spPr>
          <c:invertIfNegative val="0"/>
          <c:dLbls>
            <c:dLbl>
              <c:idx val="0"/>
              <c:layout>
                <c:manualLayout>
                  <c:x val="2.3148148148148147E-3"/>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4E-482F-86C9-57B1C88EB4EA}"/>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Tabelle1!$C$2:$C$3</c:f>
              <c:numCache>
                <c:formatCode>0.0%</c:formatCode>
                <c:ptCount val="2"/>
                <c:pt idx="0">
                  <c:v>3.3000000000000002E-2</c:v>
                </c:pt>
                <c:pt idx="1">
                  <c:v>0.57699999999999996</c:v>
                </c:pt>
              </c:numCache>
            </c:numRef>
          </c:val>
          <c:extLst>
            <c:ext xmlns:c16="http://schemas.microsoft.com/office/drawing/2014/chart" uri="{C3380CC4-5D6E-409C-BE32-E72D297353CC}">
              <c16:uniqueId val="{00000001-3F4E-482F-86C9-57B1C88EB4EA}"/>
            </c:ext>
          </c:extLst>
        </c:ser>
        <c:ser>
          <c:idx val="4"/>
          <c:order val="3"/>
          <c:tx>
            <c:strRef>
              <c:f>Tabelle1!$E$1</c:f>
              <c:strCache>
                <c:ptCount val="1"/>
                <c:pt idx="0">
                  <c:v>Persistence of hydronephrosisª</c:v>
                </c:pt>
              </c:strCache>
            </c:strRef>
          </c:tx>
          <c:spPr>
            <a:solidFill>
              <a:schemeClr val="accent1">
                <a:lumMod val="75000"/>
              </a:schemeClr>
            </a:solidFill>
            <a:ln>
              <a:solidFill>
                <a:schemeClr val="accent1">
                  <a:lumMod val="75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Tabelle1!$E$2:$E$3</c:f>
              <c:numCache>
                <c:formatCode>0.0%</c:formatCode>
                <c:ptCount val="2"/>
                <c:pt idx="0">
                  <c:v>0.252</c:v>
                </c:pt>
                <c:pt idx="1">
                  <c:v>0.10299999999999999</c:v>
                </c:pt>
              </c:numCache>
            </c:numRef>
          </c:val>
          <c:extLst>
            <c:ext xmlns:c16="http://schemas.microsoft.com/office/drawing/2014/chart" uri="{C3380CC4-5D6E-409C-BE32-E72D297353CC}">
              <c16:uniqueId val="{00000002-3F4E-482F-86C9-57B1C88EB4EA}"/>
            </c:ext>
          </c:extLst>
        </c:ser>
        <c:ser>
          <c:idx val="5"/>
          <c:order val="5"/>
          <c:tx>
            <c:strRef>
              <c:f>Tabelle1!$G$1</c:f>
              <c:strCache>
                <c:ptCount val="1"/>
                <c:pt idx="0">
                  <c:v>Partial resolution of hydronephrosisª</c:v>
                </c:pt>
              </c:strCache>
            </c:strRef>
          </c:tx>
          <c:spPr>
            <a:solidFill>
              <a:schemeClr val="accent1">
                <a:lumMod val="60000"/>
                <a:lumOff val="40000"/>
              </a:schemeClr>
            </a:solidFill>
            <a:ln>
              <a:solidFill>
                <a:schemeClr val="accent1">
                  <a:lumMod val="60000"/>
                  <a:lumOff val="4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Tabelle1!$G$2:$G$3</c:f>
              <c:numCache>
                <c:formatCode>0.0%</c:formatCode>
                <c:ptCount val="2"/>
                <c:pt idx="0">
                  <c:v>0</c:v>
                </c:pt>
                <c:pt idx="1">
                  <c:v>0.17899999999999999</c:v>
                </c:pt>
              </c:numCache>
            </c:numRef>
          </c:val>
          <c:extLst>
            <c:ext xmlns:c16="http://schemas.microsoft.com/office/drawing/2014/chart" uri="{C3380CC4-5D6E-409C-BE32-E72D297353CC}">
              <c16:uniqueId val="{00000003-3F4E-482F-86C9-57B1C88EB4EA}"/>
            </c:ext>
          </c:extLst>
        </c:ser>
        <c:ser>
          <c:idx val="7"/>
          <c:order val="7"/>
          <c:tx>
            <c:strRef>
              <c:f>Tabelle1!$I$1</c:f>
              <c:strCache>
                <c:ptCount val="1"/>
                <c:pt idx="0">
                  <c:v>Complete resolution of hydronephrosisª</c:v>
                </c:pt>
              </c:strCache>
            </c:strRef>
          </c:tx>
          <c:spPr>
            <a:solidFill>
              <a:schemeClr val="bg2">
                <a:lumMod val="75000"/>
              </a:schemeClr>
            </a:solidFill>
            <a:ln>
              <a:solidFill>
                <a:schemeClr val="bg2">
                  <a:lumMod val="75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Tabelle1!$I$2:$I$3</c:f>
              <c:numCache>
                <c:formatCode>0.0%</c:formatCode>
                <c:ptCount val="2"/>
                <c:pt idx="0">
                  <c:v>0.71499999999999997</c:v>
                </c:pt>
                <c:pt idx="1">
                  <c:v>0.14099999999999999</c:v>
                </c:pt>
              </c:numCache>
            </c:numRef>
          </c:val>
          <c:extLst>
            <c:ext xmlns:c16="http://schemas.microsoft.com/office/drawing/2014/chart" uri="{C3380CC4-5D6E-409C-BE32-E72D297353CC}">
              <c16:uniqueId val="{00000004-3F4E-482F-86C9-57B1C88EB4EA}"/>
            </c:ext>
          </c:extLst>
        </c:ser>
        <c:dLbls>
          <c:showLegendKey val="0"/>
          <c:showVal val="0"/>
          <c:showCatName val="0"/>
          <c:showSerName val="0"/>
          <c:showPercent val="0"/>
          <c:showBubbleSize val="0"/>
        </c:dLbls>
        <c:gapWidth val="219"/>
        <c:overlap val="-27"/>
        <c:axId val="34552448"/>
        <c:axId val="34570624"/>
      </c:barChart>
      <c:barChart>
        <c:barDir val="col"/>
        <c:grouping val="clustered"/>
        <c:varyColors val="0"/>
        <c:ser>
          <c:idx val="1"/>
          <c:order val="0"/>
          <c:tx>
            <c:strRef>
              <c:f>Tabelle1!$B$1</c:f>
              <c:strCache>
                <c:ptCount val="1"/>
                <c:pt idx="0">
                  <c:v>Proportion of patients requiring intervention</c:v>
                </c:pt>
              </c:strCache>
            </c:strRef>
          </c:tx>
          <c:spPr>
            <a:pattFill prst="wdUpDiag">
              <a:fgClr>
                <a:schemeClr val="accent1">
                  <a:lumMod val="50000"/>
                </a:schemeClr>
              </a:fgClr>
              <a:bgClr>
                <a:schemeClr val="accent3">
                  <a:lumMod val="75000"/>
                </a:schemeClr>
              </a:bgClr>
            </a:pattFill>
            <a:ln>
              <a:solidFill>
                <a:schemeClr val="accent1">
                  <a:lumMod val="50000"/>
                </a:schemeClr>
              </a:solidFill>
            </a:ln>
            <a:effectLst/>
          </c:spPr>
          <c:invertIfNegative val="0"/>
          <c:dLbls>
            <c:dLbl>
              <c:idx val="0"/>
              <c:layout>
                <c:manualLayout>
                  <c:x val="-6.2087024529659127E-2"/>
                  <c:y val="3.5714297537487234E-2"/>
                </c:manualLayout>
              </c:layout>
              <c:tx>
                <c:rich>
                  <a:bodyPr/>
                  <a:lstStyle/>
                  <a:p>
                    <a:fld id="{FB8B6644-C2A5-7E47-93C3-D1B7957CC473}" type="VALUE">
                      <a:rPr lang="en-US">
                        <a:solidFill>
                          <a:schemeClr val="tx1"/>
                        </a:solidFill>
                      </a:rPr>
                      <a:pPr/>
                      <a:t>[WERT]</a:t>
                    </a:fld>
                    <a:endParaRPr lang="de-CH"/>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F4E-482F-86C9-57B1C88EB4EA}"/>
                </c:ext>
              </c:extLst>
            </c:dLbl>
            <c:dLbl>
              <c:idx val="1"/>
              <c:layout>
                <c:manualLayout>
                  <c:x val="0"/>
                  <c:y val="0.29826593896564874"/>
                </c:manualLayout>
              </c:layout>
              <c:tx>
                <c:rich>
                  <a:bodyPr/>
                  <a:lstStyle/>
                  <a:p>
                    <a:fld id="{D936608E-2861-B94F-A1DE-DE0239DCF1E2}" type="VALUE">
                      <a:rPr lang="en-US">
                        <a:solidFill>
                          <a:schemeClr val="bg1"/>
                        </a:solidFill>
                      </a:rPr>
                      <a:pPr/>
                      <a:t>[WERT]</a:t>
                    </a:fld>
                    <a:endParaRPr lang="de-CH"/>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3F4E-482F-86C9-57B1C88EB4EA}"/>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Tabelle1!$A$2:$A$3</c:f>
              <c:strCache>
                <c:ptCount val="2"/>
                <c:pt idx="0">
                  <c:v>LG hydronephrosis</c:v>
                </c:pt>
                <c:pt idx="1">
                  <c:v>HG hydronephrosis</c:v>
                </c:pt>
              </c:strCache>
            </c:strRef>
          </c:cat>
          <c:val>
            <c:numRef>
              <c:f>Tabelle1!$B$2:$B$3</c:f>
              <c:numCache>
                <c:formatCode>0.0%</c:formatCode>
                <c:ptCount val="2"/>
                <c:pt idx="0">
                  <c:v>1.6500000000000001E-2</c:v>
                </c:pt>
                <c:pt idx="1">
                  <c:v>0.51300000000000001</c:v>
                </c:pt>
              </c:numCache>
            </c:numRef>
          </c:val>
          <c:extLst>
            <c:ext xmlns:c16="http://schemas.microsoft.com/office/drawing/2014/chart" uri="{C3380CC4-5D6E-409C-BE32-E72D297353CC}">
              <c16:uniqueId val="{00000007-3F4E-482F-86C9-57B1C88EB4EA}"/>
            </c:ext>
          </c:extLst>
        </c:ser>
        <c:ser>
          <c:idx val="3"/>
          <c:order val="2"/>
          <c:tx>
            <c:strRef>
              <c:f>Tabelle1!$D$1</c:f>
              <c:strCache>
                <c:ptCount val="1"/>
                <c:pt idx="0">
                  <c:v>Spalte1</c:v>
                </c:pt>
              </c:strCache>
            </c:strRef>
          </c:tx>
          <c:spPr>
            <a:pattFill prst="wdUpDiag">
              <a:fgClr>
                <a:schemeClr val="accent1">
                  <a:lumMod val="75000"/>
                </a:schemeClr>
              </a:fgClr>
              <a:bgClr>
                <a:schemeClr val="accent3">
                  <a:lumMod val="75000"/>
                </a:schemeClr>
              </a:bgClr>
            </a:pattFill>
            <a:ln>
              <a:solidFill>
                <a:schemeClr val="accent1">
                  <a:lumMod val="75000"/>
                </a:schemeClr>
              </a:solidFill>
            </a:ln>
            <a:effectLst/>
          </c:spPr>
          <c:invertIfNegative val="0"/>
          <c:dLbls>
            <c:dLbl>
              <c:idx val="1"/>
              <c:layout>
                <c:manualLayout>
                  <c:x val="0"/>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F4E-482F-86C9-57B1C88EB4EA}"/>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Tabelle1!$D$2:$D$3</c:f>
              <c:numCache>
                <c:formatCode>0.0%</c:formatCode>
                <c:ptCount val="2"/>
                <c:pt idx="0">
                  <c:v>8.0000000000000002E-3</c:v>
                </c:pt>
                <c:pt idx="1">
                  <c:v>1.2999999999999999E-2</c:v>
                </c:pt>
              </c:numCache>
            </c:numRef>
          </c:val>
          <c:extLst>
            <c:ext xmlns:c16="http://schemas.microsoft.com/office/drawing/2014/chart" uri="{C3380CC4-5D6E-409C-BE32-E72D297353CC}">
              <c16:uniqueId val="{00000009-3F4E-482F-86C9-57B1C88EB4EA}"/>
            </c:ext>
          </c:extLst>
        </c:ser>
        <c:ser>
          <c:idx val="0"/>
          <c:order val="4"/>
          <c:tx>
            <c:strRef>
              <c:f>Tabelle1!$F$1</c:f>
              <c:strCache>
                <c:ptCount val="1"/>
                <c:pt idx="0">
                  <c:v>Spalte2</c:v>
                </c:pt>
              </c:strCache>
            </c:strRef>
          </c:tx>
          <c:spPr>
            <a:solidFill>
              <a:schemeClr val="accent1"/>
            </a:solidFill>
            <a:ln>
              <a:noFill/>
            </a:ln>
            <a:effectLst/>
          </c:spPr>
          <c:invertIfNegative val="0"/>
          <c:cat>
            <c:strRef>
              <c:f>Tabelle1!$A$2:$A$3</c:f>
              <c:strCache>
                <c:ptCount val="2"/>
                <c:pt idx="0">
                  <c:v>LG hydronephrosis</c:v>
                </c:pt>
                <c:pt idx="1">
                  <c:v>HG hydronephrosis</c:v>
                </c:pt>
              </c:strCache>
            </c:strRef>
          </c:cat>
          <c:val>
            <c:numRef>
              <c:f>Tabelle1!$F$2:$F$3</c:f>
              <c:numCache>
                <c:formatCode>0.0%</c:formatCode>
                <c:ptCount val="2"/>
                <c:pt idx="0">
                  <c:v>0</c:v>
                </c:pt>
                <c:pt idx="1">
                  <c:v>0</c:v>
                </c:pt>
              </c:numCache>
            </c:numRef>
          </c:val>
          <c:extLst>
            <c:ext xmlns:c16="http://schemas.microsoft.com/office/drawing/2014/chart" uri="{C3380CC4-5D6E-409C-BE32-E72D297353CC}">
              <c16:uniqueId val="{0000000A-3F4E-482F-86C9-57B1C88EB4EA}"/>
            </c:ext>
          </c:extLst>
        </c:ser>
        <c:ser>
          <c:idx val="6"/>
          <c:order val="6"/>
          <c:tx>
            <c:strRef>
              <c:f>Tabelle1!$H$1</c:f>
              <c:strCache>
                <c:ptCount val="1"/>
                <c:pt idx="0">
                  <c:v>Spalte3</c:v>
                </c:pt>
              </c:strCache>
            </c:strRef>
          </c:tx>
          <c:spPr>
            <a:pattFill prst="wdUpDiag">
              <a:fgClr>
                <a:schemeClr val="accent1">
                  <a:lumMod val="50000"/>
                </a:schemeClr>
              </a:fgClr>
              <a:bgClr>
                <a:schemeClr val="accent3">
                  <a:lumMod val="75000"/>
                </a:schemeClr>
              </a:bgClr>
            </a:pattFill>
            <a:ln>
              <a:solidFill>
                <a:schemeClr val="bg2">
                  <a:lumMod val="75000"/>
                </a:schemeClr>
              </a:solidFill>
            </a:ln>
            <a:effectLst/>
          </c:spPr>
          <c:invertIfNegative val="0"/>
          <c:dLbls>
            <c:dLbl>
              <c:idx val="1"/>
              <c:layout>
                <c:manualLayout>
                  <c:x val="0"/>
                  <c:y val="1.1904761904761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F4E-482F-86C9-57B1C88EB4EA}"/>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Tabelle1!$H$2:$H$3</c:f>
              <c:numCache>
                <c:formatCode>0.0%</c:formatCode>
                <c:ptCount val="2"/>
                <c:pt idx="0">
                  <c:v>8.0000000000000002E-3</c:v>
                </c:pt>
                <c:pt idx="1">
                  <c:v>1.2999999999999999E-2</c:v>
                </c:pt>
              </c:numCache>
            </c:numRef>
          </c:val>
          <c:extLst>
            <c:ext xmlns:c16="http://schemas.microsoft.com/office/drawing/2014/chart" uri="{C3380CC4-5D6E-409C-BE32-E72D297353CC}">
              <c16:uniqueId val="{0000000C-3F4E-482F-86C9-57B1C88EB4EA}"/>
            </c:ext>
          </c:extLst>
        </c:ser>
        <c:dLbls>
          <c:showLegendKey val="0"/>
          <c:showVal val="0"/>
          <c:showCatName val="0"/>
          <c:showSerName val="0"/>
          <c:showPercent val="0"/>
          <c:showBubbleSize val="0"/>
        </c:dLbls>
        <c:gapWidth val="219"/>
        <c:overlap val="-27"/>
        <c:axId val="34573696"/>
        <c:axId val="34572160"/>
      </c:barChart>
      <c:catAx>
        <c:axId val="3455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34570624"/>
        <c:crosses val="autoZero"/>
        <c:auto val="1"/>
        <c:lblAlgn val="ctr"/>
        <c:lblOffset val="100"/>
        <c:noMultiLvlLbl val="0"/>
      </c:catAx>
      <c:valAx>
        <c:axId val="34570624"/>
        <c:scaling>
          <c:orientation val="minMax"/>
          <c:max val="0.8"/>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34552448"/>
        <c:crosses val="autoZero"/>
        <c:crossBetween val="between"/>
      </c:valAx>
      <c:valAx>
        <c:axId val="34572160"/>
        <c:scaling>
          <c:orientation val="minMax"/>
          <c:max val="1"/>
        </c:scaling>
        <c:delete val="1"/>
        <c:axPos val="r"/>
        <c:numFmt formatCode="0.0%" sourceLinked="1"/>
        <c:majorTickMark val="out"/>
        <c:minorTickMark val="none"/>
        <c:tickLblPos val="nextTo"/>
        <c:crossAx val="34573696"/>
        <c:crosses val="max"/>
        <c:crossBetween val="between"/>
        <c:majorUnit val="0.1"/>
      </c:valAx>
      <c:catAx>
        <c:axId val="34573696"/>
        <c:scaling>
          <c:orientation val="minMax"/>
        </c:scaling>
        <c:delete val="1"/>
        <c:axPos val="b"/>
        <c:numFmt formatCode="General" sourceLinked="1"/>
        <c:majorTickMark val="out"/>
        <c:minorTickMark val="none"/>
        <c:tickLblPos val="nextTo"/>
        <c:crossAx val="34572160"/>
        <c:crosses val="autoZero"/>
        <c:auto val="1"/>
        <c:lblAlgn val="ctr"/>
        <c:lblOffset val="100"/>
        <c:noMultiLvlLbl val="0"/>
      </c:catAx>
      <c:spPr>
        <a:noFill/>
        <a:ln>
          <a:noFill/>
        </a:ln>
        <a:effectLst/>
      </c:spPr>
    </c:plotArea>
    <c:legend>
      <c:legendPos val="b"/>
      <c:legendEntry>
        <c:idx val="1"/>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legendEntry>
      <c:legendEntry>
        <c:idx val="5"/>
        <c:delete val="1"/>
      </c:legendEntry>
      <c:legendEntry>
        <c:idx val="6"/>
        <c:delete val="1"/>
      </c:legendEntry>
      <c:legendEntry>
        <c:idx val="7"/>
        <c:delete val="1"/>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de-D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Arial" panose="020B0604020202020204" pitchFamily="34" charset="0"/>
                <a:ea typeface="+mn-ea"/>
                <a:cs typeface="Arial" panose="020B0604020202020204" pitchFamily="34" charset="0"/>
              </a:defRPr>
            </a:pPr>
            <a:r>
              <a:rPr lang="de-DE" sz="1000" b="1" i="0">
                <a:solidFill>
                  <a:schemeClr val="tx1"/>
                </a:solidFill>
                <a:latin typeface="Arial" panose="020B0604020202020204" pitchFamily="34" charset="0"/>
                <a:cs typeface="Arial" panose="020B0604020202020204" pitchFamily="34" charset="0"/>
              </a:rPr>
              <a:t>Fig. 3b</a:t>
            </a:r>
            <a:r>
              <a:rPr lang="de-DE" sz="1000" b="1" i="0" baseline="30000">
                <a:solidFill>
                  <a:schemeClr val="tx1"/>
                </a:solidFill>
                <a:latin typeface="Arial" panose="020B0604020202020204" pitchFamily="34" charset="0"/>
                <a:cs typeface="Arial" panose="020B0604020202020204" pitchFamily="34" charset="0"/>
              </a:rPr>
              <a:t>2</a:t>
            </a:r>
            <a:r>
              <a:rPr lang="de-DE" sz="1000" b="1" i="0">
                <a:solidFill>
                  <a:schemeClr val="tx1"/>
                </a:solidFill>
                <a:latin typeface="Arial" panose="020B0604020202020204" pitchFamily="34" charset="0"/>
                <a:cs typeface="Arial" panose="020B0604020202020204" pitchFamily="34" charset="0"/>
              </a:rPr>
              <a:t> </a:t>
            </a:r>
            <a:r>
              <a:rPr lang="de-DE" sz="1000" baseline="0">
                <a:solidFill>
                  <a:schemeClr val="tx1"/>
                </a:solidFill>
                <a:latin typeface="Arial" panose="020B0604020202020204" pitchFamily="34" charset="0"/>
                <a:cs typeface="Arial" panose="020B0604020202020204" pitchFamily="34" charset="0"/>
              </a:rPr>
              <a:t>evaluated by kidney units of group 1</a:t>
            </a:r>
            <a:endParaRPr lang="de-DE" sz="1000">
              <a:solidFill>
                <a:schemeClr val="tx1"/>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1"/>
          <c:order val="1"/>
          <c:tx>
            <c:strRef>
              <c:f>Tabelle1!$C$1</c:f>
              <c:strCache>
                <c:ptCount val="1"/>
                <c:pt idx="0">
                  <c:v>Etiological diagnosis</c:v>
                </c:pt>
              </c:strCache>
            </c:strRef>
          </c:tx>
          <c:spPr>
            <a:solidFill>
              <a:schemeClr val="accent1">
                <a:lumMod val="50000"/>
              </a:schemeClr>
            </a:solidFill>
            <a:ln>
              <a:solidFill>
                <a:schemeClr val="accent1">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Tabelle1!$C$2:$C$3</c:f>
              <c:numCache>
                <c:formatCode>0.0%</c:formatCode>
                <c:ptCount val="2"/>
                <c:pt idx="0">
                  <c:v>0</c:v>
                </c:pt>
                <c:pt idx="1">
                  <c:v>0.48</c:v>
                </c:pt>
              </c:numCache>
            </c:numRef>
          </c:val>
          <c:extLst>
            <c:ext xmlns:c16="http://schemas.microsoft.com/office/drawing/2014/chart" uri="{C3380CC4-5D6E-409C-BE32-E72D297353CC}">
              <c16:uniqueId val="{00000000-5392-4AA0-895F-95F3FA2E7A08}"/>
            </c:ext>
          </c:extLst>
        </c:ser>
        <c:ser>
          <c:idx val="3"/>
          <c:order val="3"/>
          <c:tx>
            <c:strRef>
              <c:f>Tabelle1!$E$1</c:f>
              <c:strCache>
                <c:ptCount val="1"/>
                <c:pt idx="0">
                  <c:v>Persistence of hydronephrosisª</c:v>
                </c:pt>
              </c:strCache>
            </c:strRef>
          </c:tx>
          <c:spPr>
            <a:solidFill>
              <a:schemeClr val="accent1">
                <a:lumMod val="75000"/>
              </a:schemeClr>
            </a:solidFill>
            <a:ln>
              <a:solidFill>
                <a:schemeClr val="accent1">
                  <a:lumMod val="75000"/>
                </a:schemeClr>
              </a:solidFill>
            </a:ln>
            <a:effectLst/>
          </c:spPr>
          <c:invertIfNegative val="0"/>
          <c:dLbls>
            <c:dLbl>
              <c:idx val="1"/>
              <c:layout>
                <c:manualLayout>
                  <c:x val="2.3883448770002386E-3"/>
                  <c:y val="8.19000819000819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392-4AA0-895F-95F3FA2E7A0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Tabelle1!$E$2:$E$3</c:f>
              <c:numCache>
                <c:formatCode>0.0%</c:formatCode>
                <c:ptCount val="2"/>
                <c:pt idx="0">
                  <c:v>0.26700000000000002</c:v>
                </c:pt>
                <c:pt idx="1">
                  <c:v>0.1</c:v>
                </c:pt>
              </c:numCache>
            </c:numRef>
          </c:val>
          <c:extLst>
            <c:ext xmlns:c16="http://schemas.microsoft.com/office/drawing/2014/chart" uri="{C3380CC4-5D6E-409C-BE32-E72D297353CC}">
              <c16:uniqueId val="{00000002-5392-4AA0-895F-95F3FA2E7A08}"/>
            </c:ext>
          </c:extLst>
        </c:ser>
        <c:ser>
          <c:idx val="5"/>
          <c:order val="5"/>
          <c:tx>
            <c:strRef>
              <c:f>Tabelle1!$G$1</c:f>
              <c:strCache>
                <c:ptCount val="1"/>
                <c:pt idx="0">
                  <c:v>Partial resolution of hydronephrosisª</c:v>
                </c:pt>
              </c:strCache>
            </c:strRef>
          </c:tx>
          <c:spPr>
            <a:solidFill>
              <a:schemeClr val="accent1">
                <a:lumMod val="60000"/>
                <a:lumOff val="40000"/>
              </a:schemeClr>
            </a:solidFill>
            <a:ln>
              <a:solidFill>
                <a:schemeClr val="accent1">
                  <a:lumMod val="60000"/>
                  <a:lumOff val="40000"/>
                </a:schemeClr>
              </a:solid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Tabelle1!$A$2:$A$3</c:f>
              <c:strCache>
                <c:ptCount val="2"/>
                <c:pt idx="0">
                  <c:v>LG hydronephrosis</c:v>
                </c:pt>
                <c:pt idx="1">
                  <c:v>HG hydronephrosis</c:v>
                </c:pt>
              </c:strCache>
            </c:strRef>
          </c:cat>
          <c:val>
            <c:numRef>
              <c:f>Tabelle1!$G$2:$G$3</c:f>
              <c:numCache>
                <c:formatCode>0.0%</c:formatCode>
                <c:ptCount val="2"/>
                <c:pt idx="0">
                  <c:v>0</c:v>
                </c:pt>
                <c:pt idx="1">
                  <c:v>0.24</c:v>
                </c:pt>
              </c:numCache>
            </c:numRef>
          </c:val>
          <c:extLst>
            <c:ext xmlns:c16="http://schemas.microsoft.com/office/drawing/2014/chart" uri="{C3380CC4-5D6E-409C-BE32-E72D297353CC}">
              <c16:uniqueId val="{00000003-5392-4AA0-895F-95F3FA2E7A08}"/>
            </c:ext>
          </c:extLst>
        </c:ser>
        <c:ser>
          <c:idx val="7"/>
          <c:order val="7"/>
          <c:tx>
            <c:strRef>
              <c:f>Tabelle1!$I$1</c:f>
              <c:strCache>
                <c:ptCount val="1"/>
                <c:pt idx="0">
                  <c:v>Complete resolution of hydronephrosisª</c:v>
                </c:pt>
              </c:strCache>
            </c:strRef>
          </c:tx>
          <c:spPr>
            <a:solidFill>
              <a:schemeClr val="bg2">
                <a:lumMod val="75000"/>
              </a:schemeClr>
            </a:solidFill>
            <a:ln>
              <a:solidFill>
                <a:schemeClr val="bg2">
                  <a:lumMod val="75000"/>
                </a:schemeClr>
              </a:solid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Tabelle1!$A$2:$A$3</c:f>
              <c:strCache>
                <c:ptCount val="2"/>
                <c:pt idx="0">
                  <c:v>LG hydronephrosis</c:v>
                </c:pt>
                <c:pt idx="1">
                  <c:v>HG hydronephrosis</c:v>
                </c:pt>
              </c:strCache>
            </c:strRef>
          </c:cat>
          <c:val>
            <c:numRef>
              <c:f>Tabelle1!$I$2:$I$3</c:f>
              <c:numCache>
                <c:formatCode>0.0%</c:formatCode>
                <c:ptCount val="2"/>
                <c:pt idx="0">
                  <c:v>0.73299999999999998</c:v>
                </c:pt>
                <c:pt idx="1">
                  <c:v>0.18</c:v>
                </c:pt>
              </c:numCache>
            </c:numRef>
          </c:val>
          <c:extLst>
            <c:ext xmlns:c16="http://schemas.microsoft.com/office/drawing/2014/chart" uri="{C3380CC4-5D6E-409C-BE32-E72D297353CC}">
              <c16:uniqueId val="{00000004-5392-4AA0-895F-95F3FA2E7A08}"/>
            </c:ext>
          </c:extLst>
        </c:ser>
        <c:dLbls>
          <c:showLegendKey val="0"/>
          <c:showVal val="0"/>
          <c:showCatName val="0"/>
          <c:showSerName val="0"/>
          <c:showPercent val="0"/>
          <c:showBubbleSize val="0"/>
        </c:dLbls>
        <c:gapWidth val="219"/>
        <c:overlap val="-27"/>
        <c:axId val="34439552"/>
        <c:axId val="34441088"/>
      </c:barChart>
      <c:barChart>
        <c:barDir val="col"/>
        <c:grouping val="clustered"/>
        <c:varyColors val="0"/>
        <c:ser>
          <c:idx val="0"/>
          <c:order val="0"/>
          <c:tx>
            <c:strRef>
              <c:f>Tabelle1!$B$1</c:f>
              <c:strCache>
                <c:ptCount val="1"/>
                <c:pt idx="0">
                  <c:v>Proportion of patients requiring intervention</c:v>
                </c:pt>
              </c:strCache>
            </c:strRef>
          </c:tx>
          <c:spPr>
            <a:pattFill prst="wdUpDiag">
              <a:fgClr>
                <a:schemeClr val="accent1">
                  <a:lumMod val="50000"/>
                </a:schemeClr>
              </a:fgClr>
              <a:bgClr>
                <a:schemeClr val="accent3">
                  <a:lumMod val="75000"/>
                </a:schemeClr>
              </a:bgClr>
            </a:pattFill>
            <a:ln>
              <a:solidFill>
                <a:schemeClr val="accent1">
                  <a:lumMod val="50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5392-4AA0-895F-95F3FA2E7A08}"/>
                </c:ext>
              </c:extLst>
            </c:dLbl>
            <c:dLbl>
              <c:idx val="1"/>
              <c:layout>
                <c:manualLayout>
                  <c:x val="0"/>
                  <c:y val="0.27729151027426668"/>
                </c:manualLayout>
              </c:layout>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392-4AA0-895F-95F3FA2E7A0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Tabelle1!$A$2:$A$3</c:f>
              <c:strCache>
                <c:ptCount val="2"/>
                <c:pt idx="0">
                  <c:v>LG hydronephrosis</c:v>
                </c:pt>
                <c:pt idx="1">
                  <c:v>HG hydronephrosis</c:v>
                </c:pt>
              </c:strCache>
            </c:strRef>
          </c:cat>
          <c:val>
            <c:numRef>
              <c:f>Tabelle1!$B$2:$B$3</c:f>
              <c:numCache>
                <c:formatCode>0.0%</c:formatCode>
                <c:ptCount val="2"/>
                <c:pt idx="0">
                  <c:v>0</c:v>
                </c:pt>
                <c:pt idx="1">
                  <c:v>0.44</c:v>
                </c:pt>
              </c:numCache>
            </c:numRef>
          </c:val>
          <c:extLst>
            <c:ext xmlns:c16="http://schemas.microsoft.com/office/drawing/2014/chart" uri="{C3380CC4-5D6E-409C-BE32-E72D297353CC}">
              <c16:uniqueId val="{00000007-5392-4AA0-895F-95F3FA2E7A08}"/>
            </c:ext>
          </c:extLst>
        </c:ser>
        <c:ser>
          <c:idx val="2"/>
          <c:order val="2"/>
          <c:tx>
            <c:strRef>
              <c:f>Tabelle1!$D$1</c:f>
              <c:strCache>
                <c:ptCount val="1"/>
                <c:pt idx="0">
                  <c:v>Spalte3</c:v>
                </c:pt>
              </c:strCache>
            </c:strRef>
          </c:tx>
          <c:spPr>
            <a:pattFill prst="wdUpDiag">
              <a:fgClr>
                <a:schemeClr val="accent1">
                  <a:lumMod val="75000"/>
                </a:schemeClr>
              </a:fgClr>
              <a:bgClr>
                <a:schemeClr val="accent3">
                  <a:lumMod val="75000"/>
                </a:schemeClr>
              </a:bgClr>
            </a:pattFill>
            <a:ln>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8-5392-4AA0-895F-95F3FA2E7A08}"/>
                </c:ext>
              </c:extLst>
            </c:dLbl>
            <c:dLbl>
              <c:idx val="1"/>
              <c:layout>
                <c:manualLayout>
                  <c:x val="0"/>
                  <c:y val="2.0475020475020402E-2"/>
                </c:manualLayout>
              </c:layout>
              <c:spPr>
                <a:noFill/>
                <a:ln>
                  <a:noFill/>
                </a:ln>
                <a:effectLst/>
              </c:spPr>
              <c:txPr>
                <a:bodyPr wrap="square" lIns="38100" tIns="19050" rIns="38100" bIns="19050" anchor="ctr">
                  <a:spAutoFit/>
                </a:bodyPr>
                <a:lstStyle/>
                <a:p>
                  <a:pPr>
                    <a:defRPr sz="800">
                      <a:solidFill>
                        <a:schemeClr val="bg1"/>
                      </a:solidFill>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392-4AA0-895F-95F3FA2E7A08}"/>
                </c:ext>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Tabelle1!$A$2:$A$3</c:f>
              <c:strCache>
                <c:ptCount val="2"/>
                <c:pt idx="0">
                  <c:v>LG hydronephrosis</c:v>
                </c:pt>
                <c:pt idx="1">
                  <c:v>HG hydronephrosis</c:v>
                </c:pt>
              </c:strCache>
            </c:strRef>
          </c:cat>
          <c:val>
            <c:numRef>
              <c:f>Tabelle1!$D$2:$D$3</c:f>
              <c:numCache>
                <c:formatCode>0.0%</c:formatCode>
                <c:ptCount val="2"/>
                <c:pt idx="0">
                  <c:v>0</c:v>
                </c:pt>
                <c:pt idx="1">
                  <c:v>0.02</c:v>
                </c:pt>
              </c:numCache>
            </c:numRef>
          </c:val>
          <c:extLst>
            <c:ext xmlns:c16="http://schemas.microsoft.com/office/drawing/2014/chart" uri="{C3380CC4-5D6E-409C-BE32-E72D297353CC}">
              <c16:uniqueId val="{0000000A-5392-4AA0-895F-95F3FA2E7A08}"/>
            </c:ext>
          </c:extLst>
        </c:ser>
        <c:ser>
          <c:idx val="4"/>
          <c:order val="4"/>
          <c:tx>
            <c:strRef>
              <c:f>Tabelle1!$F$1</c:f>
              <c:strCache>
                <c:ptCount val="1"/>
                <c:pt idx="0">
                  <c:v>Spalte4</c:v>
                </c:pt>
              </c:strCache>
            </c:strRef>
          </c:tx>
          <c:spPr>
            <a:pattFill prst="wdUpDiag">
              <a:fgClr>
                <a:schemeClr val="accent1">
                  <a:lumMod val="50000"/>
                </a:schemeClr>
              </a:fgClr>
              <a:bgClr>
                <a:schemeClr val="accent3">
                  <a:lumMod val="75000"/>
                </a:schemeClr>
              </a:bgClr>
            </a:pattFill>
          </c:spPr>
          <c:invertIfNegative val="0"/>
          <c:cat>
            <c:strRef>
              <c:f>Tabelle1!$A$2:$A$3</c:f>
              <c:strCache>
                <c:ptCount val="2"/>
                <c:pt idx="0">
                  <c:v>LG hydronephrosis</c:v>
                </c:pt>
                <c:pt idx="1">
                  <c:v>HG hydronephrosis</c:v>
                </c:pt>
              </c:strCache>
            </c:strRef>
          </c:cat>
          <c:val>
            <c:numRef>
              <c:f>Tabelle1!$F$2:$F$3</c:f>
              <c:numCache>
                <c:formatCode>0.0%</c:formatCode>
                <c:ptCount val="2"/>
                <c:pt idx="0">
                  <c:v>0</c:v>
                </c:pt>
                <c:pt idx="1">
                  <c:v>0</c:v>
                </c:pt>
              </c:numCache>
            </c:numRef>
          </c:val>
          <c:extLst>
            <c:ext xmlns:c16="http://schemas.microsoft.com/office/drawing/2014/chart" uri="{C3380CC4-5D6E-409C-BE32-E72D297353CC}">
              <c16:uniqueId val="{0000000B-5392-4AA0-895F-95F3FA2E7A08}"/>
            </c:ext>
          </c:extLst>
        </c:ser>
        <c:ser>
          <c:idx val="6"/>
          <c:order val="6"/>
          <c:tx>
            <c:strRef>
              <c:f>Tabelle1!$H$1</c:f>
              <c:strCache>
                <c:ptCount val="1"/>
                <c:pt idx="0">
                  <c:v>Spalte2</c:v>
                </c:pt>
              </c:strCache>
            </c:strRef>
          </c:tx>
          <c:spPr>
            <a:pattFill prst="wdUpDiag">
              <a:fgClr>
                <a:schemeClr val="accent1">
                  <a:lumMod val="50000"/>
                </a:schemeClr>
              </a:fgClr>
              <a:bgClr>
                <a:schemeClr val="accent3">
                  <a:lumMod val="75000"/>
                </a:schemeClr>
              </a:bgClr>
            </a:pattFill>
            <a:ln>
              <a:solidFill>
                <a:schemeClr val="bg2">
                  <a:lumMod val="75000"/>
                </a:schemeClr>
              </a:solidFill>
            </a:ln>
          </c:spPr>
          <c:invertIfNegative val="0"/>
          <c:dLbls>
            <c:dLbl>
              <c:idx val="0"/>
              <c:spPr>
                <a:noFill/>
                <a:ln>
                  <a:noFill/>
                </a:ln>
                <a:effectLst/>
              </c:spPr>
              <c:txPr>
                <a:bodyPr wrap="square" lIns="38100" tIns="19050" rIns="38100" bIns="19050" anchor="ctr">
                  <a:spAutoFit/>
                </a:bodyPr>
                <a:lstStyle/>
                <a:p>
                  <a:pPr>
                    <a:defRPr sz="800">
                      <a:solidFill>
                        <a:schemeClr val="bg1"/>
                      </a:solidFill>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extLst>
                <c:ext xmlns:c16="http://schemas.microsoft.com/office/drawing/2014/chart" uri="{C3380CC4-5D6E-409C-BE32-E72D297353CC}">
                  <c16:uniqueId val="{0000000C-5392-4AA0-895F-95F3FA2E7A08}"/>
                </c:ext>
              </c:extLst>
            </c:dLbl>
            <c:dLbl>
              <c:idx val="1"/>
              <c:delete val="1"/>
              <c:extLst>
                <c:ext xmlns:c15="http://schemas.microsoft.com/office/drawing/2012/chart" uri="{CE6537A1-D6FC-4f65-9D91-7224C49458BB}"/>
                <c:ext xmlns:c16="http://schemas.microsoft.com/office/drawing/2014/chart" uri="{C3380CC4-5D6E-409C-BE32-E72D297353CC}">
                  <c16:uniqueId val="{0000000D-5392-4AA0-895F-95F3FA2E7A08}"/>
                </c:ext>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Tabelle1!$A$2:$A$3</c:f>
              <c:strCache>
                <c:ptCount val="2"/>
                <c:pt idx="0">
                  <c:v>LG hydronephrosis</c:v>
                </c:pt>
                <c:pt idx="1">
                  <c:v>HG hydronephrosis</c:v>
                </c:pt>
              </c:strCache>
            </c:strRef>
          </c:cat>
          <c:val>
            <c:numRef>
              <c:f>Tabelle1!$H$2:$H$3</c:f>
              <c:numCache>
                <c:formatCode>0.0%</c:formatCode>
                <c:ptCount val="2"/>
                <c:pt idx="0">
                  <c:v>9.4999999999999998E-3</c:v>
                </c:pt>
                <c:pt idx="1">
                  <c:v>0</c:v>
                </c:pt>
              </c:numCache>
            </c:numRef>
          </c:val>
          <c:extLst>
            <c:ext xmlns:c16="http://schemas.microsoft.com/office/drawing/2014/chart" uri="{C3380CC4-5D6E-409C-BE32-E72D297353CC}">
              <c16:uniqueId val="{0000000E-5392-4AA0-895F-95F3FA2E7A08}"/>
            </c:ext>
          </c:extLst>
        </c:ser>
        <c:dLbls>
          <c:showLegendKey val="0"/>
          <c:showVal val="0"/>
          <c:showCatName val="0"/>
          <c:showSerName val="0"/>
          <c:showPercent val="0"/>
          <c:showBubbleSize val="0"/>
        </c:dLbls>
        <c:gapWidth val="219"/>
        <c:overlap val="-27"/>
        <c:axId val="34444416"/>
        <c:axId val="34442624"/>
      </c:barChart>
      <c:catAx>
        <c:axId val="3443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34441088"/>
        <c:crosses val="autoZero"/>
        <c:auto val="1"/>
        <c:lblAlgn val="ctr"/>
        <c:lblOffset val="100"/>
        <c:noMultiLvlLbl val="0"/>
      </c:catAx>
      <c:valAx>
        <c:axId val="34441088"/>
        <c:scaling>
          <c:orientation val="minMax"/>
          <c:max val="0.8"/>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txPr>
          <a:bodyPr/>
          <a:lstStyle/>
          <a:p>
            <a:pPr>
              <a:defRPr sz="800">
                <a:solidFill>
                  <a:schemeClr val="tx1"/>
                </a:solidFill>
                <a:latin typeface="Arial" panose="020B0604020202020204" pitchFamily="34" charset="0"/>
                <a:cs typeface="Arial" panose="020B0604020202020204" pitchFamily="34" charset="0"/>
              </a:defRPr>
            </a:pPr>
            <a:endParaRPr lang="de-DE"/>
          </a:p>
        </c:txPr>
        <c:crossAx val="34439552"/>
        <c:crosses val="autoZero"/>
        <c:crossBetween val="between"/>
      </c:valAx>
      <c:valAx>
        <c:axId val="34442624"/>
        <c:scaling>
          <c:orientation val="minMax"/>
          <c:max val="1"/>
        </c:scaling>
        <c:delete val="1"/>
        <c:axPos val="r"/>
        <c:numFmt formatCode="0.0%" sourceLinked="1"/>
        <c:majorTickMark val="out"/>
        <c:minorTickMark val="none"/>
        <c:tickLblPos val="nextTo"/>
        <c:crossAx val="34444416"/>
        <c:crosses val="max"/>
        <c:crossBetween val="between"/>
      </c:valAx>
      <c:catAx>
        <c:axId val="34444416"/>
        <c:scaling>
          <c:orientation val="minMax"/>
        </c:scaling>
        <c:delete val="1"/>
        <c:axPos val="b"/>
        <c:numFmt formatCode="General" sourceLinked="1"/>
        <c:majorTickMark val="out"/>
        <c:minorTickMark val="none"/>
        <c:tickLblPos val="nextTo"/>
        <c:crossAx val="34442624"/>
        <c:crosses val="autoZero"/>
        <c:auto val="1"/>
        <c:lblAlgn val="ctr"/>
        <c:lblOffset val="100"/>
        <c:noMultiLvlLbl val="0"/>
      </c:catAx>
      <c:spPr>
        <a:noFill/>
        <a:ln>
          <a:noFill/>
        </a:ln>
        <a:effectLst/>
      </c:spPr>
    </c:plotArea>
    <c:legend>
      <c:legendPos val="b"/>
      <c:legendEntry>
        <c:idx val="5"/>
        <c:delete val="1"/>
      </c:legendEntry>
      <c:legendEntry>
        <c:idx val="6"/>
        <c:delete val="1"/>
      </c:legendEntry>
      <c:legendEntry>
        <c:idx val="7"/>
        <c:delete val="1"/>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2537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Rudin</dc:creator>
  <cp:keywords/>
  <dc:description/>
  <cp:lastModifiedBy>Christoph Rudin</cp:lastModifiedBy>
  <cp:revision>2</cp:revision>
  <dcterms:created xsi:type="dcterms:W3CDTF">2021-04-19T14:58:00Z</dcterms:created>
  <dcterms:modified xsi:type="dcterms:W3CDTF">2021-04-19T14:58:00Z</dcterms:modified>
</cp:coreProperties>
</file>