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3A3AE" w14:textId="77777777" w:rsidR="00C937F8" w:rsidRPr="00A15B90" w:rsidRDefault="00C937F8" w:rsidP="00C937F8">
      <w:pPr>
        <w:pStyle w:val="Kop1"/>
        <w:spacing w:line="480" w:lineRule="auto"/>
        <w:rPr>
          <w:rFonts w:asciiTheme="minorHAnsi" w:hAnsiTheme="minorHAnsi"/>
          <w:lang w:val="en-GB"/>
        </w:rPr>
      </w:pPr>
      <w:r w:rsidRPr="00A15B90">
        <w:rPr>
          <w:rFonts w:asciiTheme="minorHAnsi" w:hAnsiTheme="minorHAnsi"/>
          <w:lang w:val="en-GB"/>
        </w:rPr>
        <w:t>Supplementary material</w:t>
      </w:r>
    </w:p>
    <w:p w14:paraId="476AF7FE" w14:textId="77777777" w:rsidR="00C937F8" w:rsidRPr="00052933" w:rsidRDefault="00C937F8" w:rsidP="00C937F8">
      <w:pPr>
        <w:spacing w:line="240" w:lineRule="auto"/>
        <w:rPr>
          <w:rFonts w:ascii="Times New Roman" w:hAnsi="Times New Roman" w:cs="Times New Roman"/>
          <w:lang w:val="en-GB"/>
        </w:rPr>
      </w:pPr>
      <w:r w:rsidRPr="00052933">
        <w:rPr>
          <w:rFonts w:ascii="Times New Roman" w:hAnsi="Times New Roman" w:cs="Times New Roman"/>
          <w:lang w:val="en-GB"/>
        </w:rPr>
        <w:t>This appendix has been provided by the authors to give readers additional information about their work.</w:t>
      </w:r>
    </w:p>
    <w:p w14:paraId="6DB8A470" w14:textId="77777777" w:rsidR="00C937F8" w:rsidRPr="00052933" w:rsidRDefault="00C937F8" w:rsidP="00C937F8">
      <w:pPr>
        <w:spacing w:line="240" w:lineRule="auto"/>
        <w:rPr>
          <w:rFonts w:ascii="Times New Roman" w:hAnsi="Times New Roman" w:cs="Times New Roman"/>
          <w:i/>
          <w:iCs/>
          <w:lang w:val="en-GB"/>
        </w:rPr>
      </w:pPr>
      <w:r w:rsidRPr="00052933">
        <w:rPr>
          <w:rFonts w:ascii="Times New Roman" w:hAnsi="Times New Roman" w:cs="Times New Roman"/>
          <w:lang w:val="en-GB"/>
        </w:rPr>
        <w:t xml:space="preserve">Supplementary content to: </w:t>
      </w:r>
      <w:r w:rsidRPr="00052933">
        <w:rPr>
          <w:rFonts w:ascii="Times New Roman" w:hAnsi="Times New Roman" w:cs="Times New Roman"/>
          <w:i/>
          <w:iCs/>
          <w:lang w:val="en-GB"/>
        </w:rPr>
        <w:t>Diagnosis of acute kidney injury and augmented renal clearance in critically ill children and neonates using iohexol plasma clearance.</w:t>
      </w:r>
    </w:p>
    <w:p w14:paraId="5F893C5F" w14:textId="77777777" w:rsidR="00C937F8" w:rsidRPr="00052933" w:rsidRDefault="00C937F8">
      <w:pPr>
        <w:rPr>
          <w:rFonts w:ascii="Times New Roman" w:hAnsi="Times New Roman" w:cs="Times New Roman"/>
          <w:lang w:val="en-GB"/>
        </w:rPr>
      </w:pPr>
      <w:r w:rsidRPr="00052933">
        <w:rPr>
          <w:rFonts w:ascii="Times New Roman" w:hAnsi="Times New Roman" w:cs="Times New Roman"/>
          <w:lang w:val="en-GB"/>
        </w:rPr>
        <w:br w:type="page"/>
      </w:r>
    </w:p>
    <w:p w14:paraId="2EDDE0B4" w14:textId="77777777" w:rsidR="00C937F8" w:rsidRPr="00052933" w:rsidRDefault="00C937F8" w:rsidP="00C937F8">
      <w:pPr>
        <w:spacing w:line="240" w:lineRule="auto"/>
        <w:rPr>
          <w:rFonts w:ascii="Times New Roman" w:hAnsi="Times New Roman" w:cs="Times New Roman"/>
          <w:u w:val="single"/>
          <w:lang w:val="en-GB"/>
        </w:rPr>
      </w:pPr>
      <w:r w:rsidRPr="00052933">
        <w:rPr>
          <w:rFonts w:ascii="Times New Roman" w:hAnsi="Times New Roman" w:cs="Times New Roman"/>
          <w:u w:val="single"/>
          <w:lang w:val="en-GB"/>
        </w:rPr>
        <w:lastRenderedPageBreak/>
        <w:t>Supplementary tables and equations</w:t>
      </w:r>
    </w:p>
    <w:p w14:paraId="11022B37" w14:textId="77777777" w:rsidR="00C937F8" w:rsidRPr="00052933" w:rsidRDefault="00C937F8" w:rsidP="00C937F8">
      <w:pPr>
        <w:spacing w:line="240" w:lineRule="auto"/>
        <w:rPr>
          <w:rFonts w:ascii="Times New Roman" w:hAnsi="Times New Roman" w:cs="Times New Roman"/>
          <w:lang w:val="en-GB"/>
        </w:rPr>
      </w:pPr>
      <w:r w:rsidRPr="00052933">
        <w:rPr>
          <w:rFonts w:ascii="Times New Roman" w:hAnsi="Times New Roman" w:cs="Times New Roman"/>
          <w:lang w:val="en-GB"/>
        </w:rPr>
        <w:t>Table S1</w:t>
      </w:r>
    </w:p>
    <w:tbl>
      <w:tblPr>
        <w:tblStyle w:val="Tabelrast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25"/>
        <w:gridCol w:w="4545"/>
      </w:tblGrid>
      <w:tr w:rsidR="00C937F8" w:rsidRPr="00052933" w14:paraId="7FF9CE0E" w14:textId="77777777" w:rsidTr="00FE6526">
        <w:tc>
          <w:tcPr>
            <w:tcW w:w="4664" w:type="dxa"/>
          </w:tcPr>
          <w:p w14:paraId="1B409DF2" w14:textId="77777777" w:rsidR="00C937F8" w:rsidRPr="00052933" w:rsidRDefault="00C937F8" w:rsidP="00FE652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52933">
              <w:rPr>
                <w:rFonts w:ascii="Times New Roman" w:hAnsi="Times New Roman" w:cs="Times New Roman"/>
                <w:b/>
                <w:bCs/>
                <w:lang w:val="en-GB"/>
              </w:rPr>
              <w:t>Vaso-active drugs</w:t>
            </w:r>
          </w:p>
        </w:tc>
        <w:tc>
          <w:tcPr>
            <w:tcW w:w="4664" w:type="dxa"/>
          </w:tcPr>
          <w:p w14:paraId="18F812E6" w14:textId="77777777" w:rsidR="00C937F8" w:rsidRPr="00052933" w:rsidRDefault="00C937F8" w:rsidP="00FE652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52933">
              <w:rPr>
                <w:rFonts w:ascii="Times New Roman" w:hAnsi="Times New Roman" w:cs="Times New Roman"/>
                <w:b/>
                <w:bCs/>
                <w:lang w:val="en-GB"/>
              </w:rPr>
              <w:t>Nephrotoxic drugs</w:t>
            </w:r>
          </w:p>
        </w:tc>
      </w:tr>
      <w:tr w:rsidR="00C937F8" w:rsidRPr="00052933" w14:paraId="1BEE8101" w14:textId="77777777" w:rsidTr="00FE6526">
        <w:tc>
          <w:tcPr>
            <w:tcW w:w="4664" w:type="dxa"/>
          </w:tcPr>
          <w:p w14:paraId="2D62DA62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52933">
              <w:rPr>
                <w:rFonts w:ascii="Times New Roman" w:hAnsi="Times New Roman" w:cs="Times New Roman"/>
                <w:lang w:val="en-GB"/>
              </w:rPr>
              <w:t>Dobutamin</w:t>
            </w:r>
            <w:proofErr w:type="spellEnd"/>
          </w:p>
          <w:p w14:paraId="4460BFA3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52933">
              <w:rPr>
                <w:rFonts w:ascii="Times New Roman" w:hAnsi="Times New Roman" w:cs="Times New Roman"/>
                <w:lang w:val="en-GB"/>
              </w:rPr>
              <w:t>Dopamin</w:t>
            </w:r>
            <w:proofErr w:type="spellEnd"/>
          </w:p>
          <w:p w14:paraId="4EA4A87B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Ephedrine</w:t>
            </w:r>
          </w:p>
          <w:p w14:paraId="1DE04F7A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Enoximone</w:t>
            </w:r>
          </w:p>
          <w:p w14:paraId="4155B82A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Epinephrine</w:t>
            </w:r>
          </w:p>
          <w:p w14:paraId="1086E99E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Isoprenaline</w:t>
            </w:r>
          </w:p>
          <w:p w14:paraId="22BD1B61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52933">
              <w:rPr>
                <w:rFonts w:ascii="Times New Roman" w:hAnsi="Times New Roman" w:cs="Times New Roman"/>
                <w:lang w:val="en-GB"/>
              </w:rPr>
              <w:t>Levosimendan</w:t>
            </w:r>
            <w:proofErr w:type="spellEnd"/>
          </w:p>
          <w:p w14:paraId="4BD02EEE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52933">
              <w:rPr>
                <w:rFonts w:ascii="Times New Roman" w:hAnsi="Times New Roman" w:cs="Times New Roman"/>
                <w:lang w:val="en-GB"/>
              </w:rPr>
              <w:t>Midodrin</w:t>
            </w:r>
            <w:proofErr w:type="spellEnd"/>
          </w:p>
          <w:p w14:paraId="0CA5405F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Milrinone</w:t>
            </w:r>
          </w:p>
          <w:p w14:paraId="3AA3432B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52933">
              <w:rPr>
                <w:rFonts w:ascii="Times New Roman" w:hAnsi="Times New Roman" w:cs="Times New Roman"/>
                <w:lang w:val="en-GB"/>
              </w:rPr>
              <w:t>Nitroglycerin</w:t>
            </w:r>
            <w:proofErr w:type="spellEnd"/>
          </w:p>
          <w:p w14:paraId="2454AD7A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Nitroprusside</w:t>
            </w:r>
          </w:p>
          <w:p w14:paraId="5F8FE787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Norepinephrine</w:t>
            </w:r>
          </w:p>
          <w:p w14:paraId="2EB20773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Phenylephrine</w:t>
            </w:r>
          </w:p>
          <w:p w14:paraId="7ED4A5B5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Vasopressin</w:t>
            </w:r>
          </w:p>
        </w:tc>
        <w:tc>
          <w:tcPr>
            <w:tcW w:w="4664" w:type="dxa"/>
          </w:tcPr>
          <w:p w14:paraId="3EE61647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Acyclovir</w:t>
            </w:r>
          </w:p>
          <w:p w14:paraId="1BF16FA5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Amikacin</w:t>
            </w:r>
          </w:p>
          <w:p w14:paraId="1854DC38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Amphotericin</w:t>
            </w:r>
          </w:p>
          <w:p w14:paraId="0A910A91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Captopril</w:t>
            </w:r>
          </w:p>
          <w:p w14:paraId="794F1552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Carboplatin</w:t>
            </w:r>
          </w:p>
          <w:p w14:paraId="69F1D0EA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Cidofovir</w:t>
            </w:r>
          </w:p>
          <w:p w14:paraId="7CE89106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52933">
              <w:rPr>
                <w:rFonts w:ascii="Times New Roman" w:hAnsi="Times New Roman" w:cs="Times New Roman"/>
                <w:lang w:val="en-GB"/>
              </w:rPr>
              <w:t>Cisplatinum</w:t>
            </w:r>
            <w:proofErr w:type="spellEnd"/>
          </w:p>
          <w:p w14:paraId="0110823A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Cyclophosphamide</w:t>
            </w:r>
          </w:p>
          <w:p w14:paraId="7160A609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Cyclosporin</w:t>
            </w:r>
          </w:p>
          <w:p w14:paraId="23CEA59A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Enalapril</w:t>
            </w:r>
          </w:p>
          <w:p w14:paraId="49B3CD67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Enalaprilat</w:t>
            </w:r>
          </w:p>
          <w:p w14:paraId="11DBB4B3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Ethacrynic acid</w:t>
            </w:r>
          </w:p>
          <w:p w14:paraId="34AFE70F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Flucytosine</w:t>
            </w:r>
          </w:p>
          <w:p w14:paraId="5B3FEE7C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52933">
              <w:rPr>
                <w:rFonts w:ascii="Times New Roman" w:hAnsi="Times New Roman" w:cs="Times New Roman"/>
                <w:lang w:val="en-GB"/>
              </w:rPr>
              <w:t>Foscarnet</w:t>
            </w:r>
            <w:proofErr w:type="spellEnd"/>
          </w:p>
          <w:p w14:paraId="3EACE230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Furosemide</w:t>
            </w:r>
          </w:p>
          <w:p w14:paraId="096E2ECC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Ganciclovir</w:t>
            </w:r>
          </w:p>
          <w:p w14:paraId="6305F60A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Gentamicin</w:t>
            </w:r>
          </w:p>
          <w:p w14:paraId="76BCC4BB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Hydrochlorothiazide</w:t>
            </w:r>
          </w:p>
          <w:p w14:paraId="42D437BD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Ibuprofen</w:t>
            </w:r>
          </w:p>
          <w:p w14:paraId="626B2699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52933">
              <w:rPr>
                <w:rFonts w:ascii="Times New Roman" w:hAnsi="Times New Roman" w:cs="Times New Roman"/>
                <w:lang w:val="en-GB"/>
              </w:rPr>
              <w:t>Ifosfamide</w:t>
            </w:r>
            <w:proofErr w:type="spellEnd"/>
          </w:p>
          <w:p w14:paraId="43B4ACB9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Indomethacin</w:t>
            </w:r>
          </w:p>
          <w:p w14:paraId="055319B1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Ketorolac</w:t>
            </w:r>
          </w:p>
          <w:p w14:paraId="600D3EAA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Methotrexate</w:t>
            </w:r>
          </w:p>
          <w:p w14:paraId="7729F5C4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Penicillin</w:t>
            </w:r>
          </w:p>
          <w:p w14:paraId="1FC663A1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Ramipril</w:t>
            </w:r>
          </w:p>
          <w:p w14:paraId="18E8E20B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Sirolimus</w:t>
            </w:r>
          </w:p>
          <w:p w14:paraId="39348F92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Tacrolimus</w:t>
            </w:r>
          </w:p>
          <w:p w14:paraId="3074AA22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Tobramycin</w:t>
            </w:r>
          </w:p>
          <w:p w14:paraId="06AFA8E1" w14:textId="77777777" w:rsidR="00C937F8" w:rsidRPr="00052933" w:rsidRDefault="00C937F8" w:rsidP="00FE6526">
            <w:pPr>
              <w:rPr>
                <w:rFonts w:ascii="Times New Roman" w:hAnsi="Times New Roman" w:cs="Times New Roman"/>
                <w:lang w:val="en-GB"/>
              </w:rPr>
            </w:pPr>
            <w:r w:rsidRPr="00052933">
              <w:rPr>
                <w:rFonts w:ascii="Times New Roman" w:hAnsi="Times New Roman" w:cs="Times New Roman"/>
                <w:lang w:val="en-GB"/>
              </w:rPr>
              <w:t>Vancomycin</w:t>
            </w:r>
          </w:p>
        </w:tc>
      </w:tr>
    </w:tbl>
    <w:p w14:paraId="27D7BEDC" w14:textId="77777777" w:rsidR="00C937F8" w:rsidRPr="00052933" w:rsidRDefault="00C937F8" w:rsidP="00C937F8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6480B03C" w14:textId="49C14D9E" w:rsidR="00A30DC0" w:rsidRPr="00052933" w:rsidRDefault="00C937F8" w:rsidP="00052933">
      <w:pPr>
        <w:pStyle w:val="Bijschrift"/>
        <w:rPr>
          <w:rFonts w:ascii="Times New Roman" w:hAnsi="Times New Roman" w:cs="Times New Roman"/>
          <w:lang w:val="en-GB"/>
        </w:rPr>
      </w:pPr>
      <w:r w:rsidRPr="00052933">
        <w:rPr>
          <w:rFonts w:ascii="Times New Roman" w:hAnsi="Times New Roman" w:cs="Times New Roman"/>
          <w:b/>
          <w:bCs/>
          <w:lang w:val="en-GB"/>
        </w:rPr>
        <w:t>Table S1:</w:t>
      </w:r>
      <w:r w:rsidRPr="00052933">
        <w:rPr>
          <w:rFonts w:ascii="Times New Roman" w:hAnsi="Times New Roman" w:cs="Times New Roman"/>
          <w:lang w:val="en-GB"/>
        </w:rPr>
        <w:t xml:space="preserve"> List of </w:t>
      </w:r>
      <w:proofErr w:type="spellStart"/>
      <w:r w:rsidRPr="00052933">
        <w:rPr>
          <w:rFonts w:ascii="Times New Roman" w:hAnsi="Times New Roman" w:cs="Times New Roman"/>
          <w:lang w:val="en-GB"/>
        </w:rPr>
        <w:t>vaso</w:t>
      </w:r>
      <w:proofErr w:type="spellEnd"/>
      <w:r w:rsidRPr="00052933">
        <w:rPr>
          <w:rFonts w:ascii="Times New Roman" w:hAnsi="Times New Roman" w:cs="Times New Roman"/>
          <w:lang w:val="en-GB"/>
        </w:rPr>
        <w:t>-active and nephrotoxic drugs.</w:t>
      </w:r>
      <w:r w:rsidRPr="00052933">
        <w:rPr>
          <w:rFonts w:ascii="Times New Roman" w:hAnsi="Times New Roman" w:cs="Times New Roman"/>
          <w:lang w:val="en-GB"/>
        </w:rPr>
        <w:br w:type="page"/>
      </w:r>
    </w:p>
    <w:p w14:paraId="37F5DBB8" w14:textId="72B91036" w:rsidR="00A30DC0" w:rsidRPr="00052933" w:rsidRDefault="00A30DC0" w:rsidP="00A30DC0">
      <w:pPr>
        <w:rPr>
          <w:rFonts w:ascii="Times New Roman" w:hAnsi="Times New Roman" w:cs="Times New Roman"/>
        </w:rPr>
      </w:pPr>
      <w:proofErr w:type="spellStart"/>
      <w:r w:rsidRPr="00052933">
        <w:rPr>
          <w:rFonts w:ascii="Times New Roman" w:hAnsi="Times New Roman" w:cs="Times New Roman"/>
        </w:rPr>
        <w:lastRenderedPageBreak/>
        <w:t>Table</w:t>
      </w:r>
      <w:proofErr w:type="spellEnd"/>
      <w:r w:rsidRPr="00052933">
        <w:rPr>
          <w:rFonts w:ascii="Times New Roman" w:hAnsi="Times New Roman" w:cs="Times New Roman"/>
        </w:rPr>
        <w:t xml:space="preserve"> S</w:t>
      </w:r>
      <w:r w:rsidR="00052933" w:rsidRPr="00052933">
        <w:rPr>
          <w:rFonts w:ascii="Times New Roman" w:hAnsi="Times New Roman" w:cs="Times New Roman"/>
        </w:rPr>
        <w:t>2</w:t>
      </w:r>
    </w:p>
    <w:tbl>
      <w:tblPr>
        <w:tblStyle w:val="Tabelraster"/>
        <w:tblpPr w:leftFromText="141" w:rightFromText="141" w:vertAnchor="text" w:horzAnchor="margin" w:tblpY="127"/>
        <w:tblW w:w="51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3"/>
        <w:gridCol w:w="517"/>
        <w:gridCol w:w="1333"/>
        <w:gridCol w:w="834"/>
        <w:gridCol w:w="992"/>
        <w:gridCol w:w="532"/>
        <w:gridCol w:w="277"/>
        <w:gridCol w:w="183"/>
        <w:gridCol w:w="722"/>
        <w:gridCol w:w="245"/>
        <w:gridCol w:w="966"/>
        <w:gridCol w:w="123"/>
        <w:gridCol w:w="302"/>
      </w:tblGrid>
      <w:tr w:rsidR="00A30DC0" w:rsidRPr="00052933" w14:paraId="6AA63A9C" w14:textId="77777777" w:rsidTr="00D45A86">
        <w:trPr>
          <w:gridAfter w:val="2"/>
          <w:wAfter w:w="225" w:type="pct"/>
        </w:trPr>
        <w:tc>
          <w:tcPr>
            <w:tcW w:w="1275" w:type="pct"/>
            <w:tcBorders>
              <w:top w:val="single" w:sz="4" w:space="0" w:color="auto"/>
              <w:bottom w:val="single" w:sz="4" w:space="0" w:color="auto"/>
            </w:tcBorders>
          </w:tcPr>
          <w:p w14:paraId="6DFAE73A" w14:textId="77777777" w:rsidR="00A30DC0" w:rsidRPr="00052933" w:rsidRDefault="00A30DC0" w:rsidP="00D45A86">
            <w:pPr>
              <w:rPr>
                <w:rFonts w:ascii="Times New Roman" w:hAnsi="Times New Roman" w:cs="Times New Roman"/>
                <w:b/>
                <w:bCs/>
                <w:sz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b/>
                <w:bCs/>
                <w:sz w:val="20"/>
                <w:lang w:val="en-GB"/>
              </w:rPr>
              <w:t>Method of GFR determination</w:t>
            </w:r>
          </w:p>
        </w:tc>
        <w:tc>
          <w:tcPr>
            <w:tcW w:w="98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857D8D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b/>
                <w:sz w:val="20"/>
                <w:lang w:val="sv-SE"/>
              </w:rPr>
            </w:pPr>
            <w:r w:rsidRPr="00052933">
              <w:rPr>
                <w:rFonts w:ascii="Times New Roman" w:hAnsi="Times New Roman" w:cs="Times New Roman"/>
                <w:b/>
                <w:sz w:val="20"/>
                <w:lang w:val="sv-SE"/>
              </w:rPr>
              <w:t>Median GFR (IQR)</w:t>
            </w:r>
          </w:p>
          <w:p w14:paraId="152E7034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b/>
                <w:sz w:val="20"/>
                <w:lang w:val="sv-SE"/>
              </w:rPr>
            </w:pPr>
            <w:r w:rsidRPr="00052933">
              <w:rPr>
                <w:rFonts w:ascii="Times New Roman" w:hAnsi="Times New Roman" w:cs="Times New Roman"/>
                <w:b/>
                <w:sz w:val="20"/>
                <w:lang w:val="sv-SE"/>
              </w:rPr>
              <w:t>In ml/min/1.73m</w:t>
            </w:r>
            <w:r w:rsidRPr="00052933">
              <w:rPr>
                <w:rFonts w:ascii="Times New Roman" w:hAnsi="Times New Roman" w:cs="Times New Roman"/>
                <w:b/>
                <w:sz w:val="20"/>
                <w:vertAlign w:val="superscript"/>
                <w:lang w:val="sv-SE"/>
              </w:rPr>
              <w:t>2</w:t>
            </w:r>
          </w:p>
        </w:tc>
        <w:tc>
          <w:tcPr>
            <w:tcW w:w="139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1933689" w14:textId="77777777" w:rsidR="00A30DC0" w:rsidRPr="00052933" w:rsidRDefault="00A30DC0" w:rsidP="00D45A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Median difference between eGFR and mGFR</w:t>
            </w:r>
            <w:r w:rsidRPr="0005293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0529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(IQR)</w:t>
            </w:r>
          </w:p>
          <w:p w14:paraId="779FEFB8" w14:textId="77777777" w:rsidR="00A30DC0" w:rsidRPr="00052933" w:rsidRDefault="00A30DC0" w:rsidP="00D45A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b/>
                <w:sz w:val="20"/>
                <w:lang w:val="en-GB"/>
              </w:rPr>
              <w:t>in ml/min/1.73m</w:t>
            </w:r>
            <w:r w:rsidRPr="00052933">
              <w:rPr>
                <w:rFonts w:ascii="Times New Roman" w:hAnsi="Times New Roman" w:cs="Times New Roman"/>
                <w:b/>
                <w:sz w:val="20"/>
                <w:vertAlign w:val="superscript"/>
                <w:lang w:val="en-GB"/>
              </w:rPr>
              <w:t xml:space="preserve">2 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BC70C3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0529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P-value</w:t>
            </w:r>
            <w:r w:rsidRPr="0005293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  <w:p w14:paraId="513EB9B0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666E66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Accuracy (%)</w:t>
            </w:r>
          </w:p>
        </w:tc>
      </w:tr>
      <w:tr w:rsidR="00A30DC0" w:rsidRPr="00052933" w14:paraId="16432C59" w14:textId="77777777" w:rsidTr="00D45A86">
        <w:trPr>
          <w:gridAfter w:val="1"/>
          <w:wAfter w:w="160" w:type="pct"/>
          <w:trHeight w:val="468"/>
        </w:trPr>
        <w:tc>
          <w:tcPr>
            <w:tcW w:w="4840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360BF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</w:t>
            </w:r>
          </w:p>
        </w:tc>
      </w:tr>
      <w:tr w:rsidR="00A30DC0" w:rsidRPr="00052933" w14:paraId="267A4264" w14:textId="77777777" w:rsidTr="00D45A86">
        <w:trPr>
          <w:gridAfter w:val="2"/>
          <w:wAfter w:w="225" w:type="pct"/>
        </w:trPr>
        <w:tc>
          <w:tcPr>
            <w:tcW w:w="1275" w:type="pct"/>
            <w:tcBorders>
              <w:top w:val="single" w:sz="4" w:space="0" w:color="auto"/>
            </w:tcBorders>
          </w:tcPr>
          <w:p w14:paraId="2A090536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mGFR</w:t>
            </w:r>
          </w:p>
        </w:tc>
        <w:tc>
          <w:tcPr>
            <w:tcW w:w="981" w:type="pct"/>
            <w:gridSpan w:val="2"/>
            <w:tcBorders>
              <w:top w:val="single" w:sz="4" w:space="0" w:color="auto"/>
            </w:tcBorders>
          </w:tcPr>
          <w:p w14:paraId="3719A8E8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87.1 (36.5-117.4)</w:t>
            </w:r>
          </w:p>
        </w:tc>
        <w:tc>
          <w:tcPr>
            <w:tcW w:w="1397" w:type="pct"/>
            <w:gridSpan w:val="4"/>
            <w:tcBorders>
              <w:top w:val="single" w:sz="4" w:space="0" w:color="auto"/>
            </w:tcBorders>
          </w:tcPr>
          <w:p w14:paraId="6E71A046" w14:textId="77777777" w:rsidR="00A30DC0" w:rsidRPr="00052933" w:rsidRDefault="00A30DC0" w:rsidP="00D45A8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</w:tcBorders>
          </w:tcPr>
          <w:p w14:paraId="181E8F06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</w:tcBorders>
          </w:tcPr>
          <w:p w14:paraId="67619ABD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</w:tr>
      <w:tr w:rsidR="00A30DC0" w:rsidRPr="00052933" w14:paraId="4ADB8CBB" w14:textId="77777777" w:rsidTr="00D45A86">
        <w:trPr>
          <w:gridAfter w:val="2"/>
          <w:wAfter w:w="225" w:type="pct"/>
        </w:trPr>
        <w:tc>
          <w:tcPr>
            <w:tcW w:w="1275" w:type="pct"/>
          </w:tcPr>
          <w:p w14:paraId="3B51C83A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eGFR - bedside</w:t>
            </w:r>
          </w:p>
        </w:tc>
        <w:tc>
          <w:tcPr>
            <w:tcW w:w="981" w:type="pct"/>
            <w:gridSpan w:val="2"/>
          </w:tcPr>
          <w:p w14:paraId="4B7B2100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103.1 (52.7-131.7)</w:t>
            </w:r>
          </w:p>
        </w:tc>
        <w:tc>
          <w:tcPr>
            <w:tcW w:w="1397" w:type="pct"/>
            <w:gridSpan w:val="4"/>
          </w:tcPr>
          <w:p w14:paraId="4DADE53A" w14:textId="77777777" w:rsidR="00A30DC0" w:rsidRPr="00052933" w:rsidRDefault="00A30DC0" w:rsidP="00D45A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 (-3.0-43.4)</w:t>
            </w:r>
          </w:p>
        </w:tc>
        <w:tc>
          <w:tcPr>
            <w:tcW w:w="480" w:type="pct"/>
            <w:gridSpan w:val="2"/>
          </w:tcPr>
          <w:p w14:paraId="233FAEF3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642" w:type="pct"/>
            <w:gridSpan w:val="2"/>
          </w:tcPr>
          <w:p w14:paraId="5D2761B0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47.2</w:t>
            </w:r>
          </w:p>
        </w:tc>
      </w:tr>
      <w:tr w:rsidR="00A30DC0" w:rsidRPr="00052933" w14:paraId="73E63EEF" w14:textId="77777777" w:rsidTr="00D45A86">
        <w:trPr>
          <w:gridAfter w:val="2"/>
          <w:wAfter w:w="225" w:type="pct"/>
        </w:trPr>
        <w:tc>
          <w:tcPr>
            <w:tcW w:w="1275" w:type="pct"/>
          </w:tcPr>
          <w:p w14:paraId="63B2BC12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eGFR - Pierce</w:t>
            </w:r>
          </w:p>
        </w:tc>
        <w:tc>
          <w:tcPr>
            <w:tcW w:w="981" w:type="pct"/>
            <w:gridSpan w:val="2"/>
          </w:tcPr>
          <w:p w14:paraId="5AE5EC15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94.7 (41.7-128.1)</w:t>
            </w:r>
          </w:p>
        </w:tc>
        <w:tc>
          <w:tcPr>
            <w:tcW w:w="1397" w:type="pct"/>
            <w:gridSpan w:val="4"/>
          </w:tcPr>
          <w:p w14:paraId="419ED0E6" w14:textId="77777777" w:rsidR="00A30DC0" w:rsidRPr="00052933" w:rsidRDefault="00A30DC0" w:rsidP="00D45A8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4.4(-11.0-24.0)</w:t>
            </w:r>
          </w:p>
        </w:tc>
        <w:tc>
          <w:tcPr>
            <w:tcW w:w="480" w:type="pct"/>
            <w:gridSpan w:val="2"/>
          </w:tcPr>
          <w:p w14:paraId="04C0D748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0.116</w:t>
            </w:r>
          </w:p>
        </w:tc>
        <w:tc>
          <w:tcPr>
            <w:tcW w:w="642" w:type="pct"/>
            <w:gridSpan w:val="2"/>
          </w:tcPr>
          <w:p w14:paraId="750FA2D2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60.4</w:t>
            </w:r>
          </w:p>
        </w:tc>
      </w:tr>
      <w:tr w:rsidR="00A30DC0" w:rsidRPr="00052933" w14:paraId="08C03433" w14:textId="77777777" w:rsidTr="00D45A86">
        <w:trPr>
          <w:gridAfter w:val="2"/>
          <w:wAfter w:w="225" w:type="pct"/>
        </w:trPr>
        <w:tc>
          <w:tcPr>
            <w:tcW w:w="1275" w:type="pct"/>
          </w:tcPr>
          <w:p w14:paraId="63093F59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CrCL</w:t>
            </w:r>
          </w:p>
        </w:tc>
        <w:tc>
          <w:tcPr>
            <w:tcW w:w="981" w:type="pct"/>
            <w:gridSpan w:val="2"/>
          </w:tcPr>
          <w:p w14:paraId="74D02227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140.7 (52.5-231.0)</w:t>
            </w:r>
          </w:p>
        </w:tc>
        <w:tc>
          <w:tcPr>
            <w:tcW w:w="1250" w:type="pct"/>
            <w:gridSpan w:val="3"/>
            <w:shd w:val="clear" w:color="auto" w:fill="auto"/>
          </w:tcPr>
          <w:p w14:paraId="6FBB36CA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47.9(8.2-97.0)</w:t>
            </w:r>
          </w:p>
        </w:tc>
        <w:tc>
          <w:tcPr>
            <w:tcW w:w="147" w:type="pct"/>
            <w:shd w:val="clear" w:color="auto" w:fill="auto"/>
          </w:tcPr>
          <w:p w14:paraId="7C31D0B3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80" w:type="pct"/>
            <w:gridSpan w:val="2"/>
            <w:shd w:val="clear" w:color="auto" w:fill="auto"/>
          </w:tcPr>
          <w:p w14:paraId="1E2063D5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5BA29F25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18.9</w:t>
            </w:r>
          </w:p>
        </w:tc>
      </w:tr>
      <w:tr w:rsidR="00A30DC0" w:rsidRPr="00052933" w14:paraId="6B9B938F" w14:textId="77777777" w:rsidTr="00D45A86">
        <w:trPr>
          <w:trHeight w:val="450"/>
        </w:trPr>
        <w:tc>
          <w:tcPr>
            <w:tcW w:w="12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F2F44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Children 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</w:tcPr>
          <w:p w14:paraId="05E51A06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14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24153F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204FED27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49ADC9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9CCFD5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3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DE1A16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</w:tr>
      <w:tr w:rsidR="00A30DC0" w:rsidRPr="00052933" w14:paraId="560CFA9C" w14:textId="77777777" w:rsidTr="00D45A86">
        <w:trPr>
          <w:gridAfter w:val="2"/>
          <w:wAfter w:w="225" w:type="pct"/>
        </w:trPr>
        <w:tc>
          <w:tcPr>
            <w:tcW w:w="1275" w:type="pct"/>
            <w:tcBorders>
              <w:top w:val="single" w:sz="4" w:space="0" w:color="auto"/>
            </w:tcBorders>
          </w:tcPr>
          <w:p w14:paraId="4A78BF6C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mGFR</w:t>
            </w:r>
          </w:p>
        </w:tc>
        <w:tc>
          <w:tcPr>
            <w:tcW w:w="981" w:type="pct"/>
            <w:gridSpan w:val="2"/>
            <w:tcBorders>
              <w:top w:val="single" w:sz="4" w:space="0" w:color="auto"/>
            </w:tcBorders>
          </w:tcPr>
          <w:p w14:paraId="1554706C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112.1 (92.9-133.4)</w:t>
            </w:r>
          </w:p>
        </w:tc>
        <w:tc>
          <w:tcPr>
            <w:tcW w:w="1397" w:type="pct"/>
            <w:gridSpan w:val="4"/>
            <w:tcBorders>
              <w:top w:val="single" w:sz="4" w:space="0" w:color="auto"/>
            </w:tcBorders>
          </w:tcPr>
          <w:p w14:paraId="63699F12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</w:tcBorders>
          </w:tcPr>
          <w:p w14:paraId="66086C73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</w:tcBorders>
          </w:tcPr>
          <w:p w14:paraId="6C355BBB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</w:tr>
      <w:tr w:rsidR="00A30DC0" w:rsidRPr="00052933" w14:paraId="292A14F8" w14:textId="77777777" w:rsidTr="00D45A86">
        <w:trPr>
          <w:gridAfter w:val="2"/>
          <w:wAfter w:w="225" w:type="pct"/>
        </w:trPr>
        <w:tc>
          <w:tcPr>
            <w:tcW w:w="1275" w:type="pct"/>
          </w:tcPr>
          <w:p w14:paraId="4AF71F3E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eGFR - bedside</w:t>
            </w:r>
          </w:p>
        </w:tc>
        <w:tc>
          <w:tcPr>
            <w:tcW w:w="981" w:type="pct"/>
            <w:gridSpan w:val="2"/>
          </w:tcPr>
          <w:p w14:paraId="05766EEF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118.1 (109.3-185.1)</w:t>
            </w:r>
          </w:p>
        </w:tc>
        <w:tc>
          <w:tcPr>
            <w:tcW w:w="1397" w:type="pct"/>
            <w:gridSpan w:val="4"/>
          </w:tcPr>
          <w:p w14:paraId="2B8A7F66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12.3(-18.5-62.5)</w:t>
            </w:r>
          </w:p>
        </w:tc>
        <w:tc>
          <w:tcPr>
            <w:tcW w:w="480" w:type="pct"/>
            <w:gridSpan w:val="2"/>
          </w:tcPr>
          <w:p w14:paraId="7B4624D9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0.031</w:t>
            </w:r>
          </w:p>
        </w:tc>
        <w:tc>
          <w:tcPr>
            <w:tcW w:w="642" w:type="pct"/>
            <w:gridSpan w:val="2"/>
          </w:tcPr>
          <w:p w14:paraId="4D008CE5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48.5</w:t>
            </w:r>
          </w:p>
        </w:tc>
      </w:tr>
      <w:tr w:rsidR="00A30DC0" w:rsidRPr="00052933" w14:paraId="4ADFD4C1" w14:textId="77777777" w:rsidTr="00D45A86">
        <w:trPr>
          <w:gridAfter w:val="2"/>
          <w:wAfter w:w="225" w:type="pct"/>
        </w:trPr>
        <w:tc>
          <w:tcPr>
            <w:tcW w:w="1275" w:type="pct"/>
          </w:tcPr>
          <w:p w14:paraId="4E733786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eGFR - Pierce</w:t>
            </w:r>
          </w:p>
        </w:tc>
        <w:tc>
          <w:tcPr>
            <w:tcW w:w="981" w:type="pct"/>
            <w:gridSpan w:val="2"/>
          </w:tcPr>
          <w:p w14:paraId="3525E9D2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114.2 (97.1-150.8)</w:t>
            </w:r>
          </w:p>
        </w:tc>
        <w:tc>
          <w:tcPr>
            <w:tcW w:w="1397" w:type="pct"/>
            <w:gridSpan w:val="4"/>
          </w:tcPr>
          <w:p w14:paraId="0A87E479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5.8 (-18.3-40.9)</w:t>
            </w:r>
          </w:p>
        </w:tc>
        <w:tc>
          <w:tcPr>
            <w:tcW w:w="480" w:type="pct"/>
            <w:gridSpan w:val="2"/>
          </w:tcPr>
          <w:p w14:paraId="1A54BEDD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0.228</w:t>
            </w:r>
          </w:p>
        </w:tc>
        <w:tc>
          <w:tcPr>
            <w:tcW w:w="642" w:type="pct"/>
            <w:gridSpan w:val="2"/>
          </w:tcPr>
          <w:p w14:paraId="402AF402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60.6</w:t>
            </w:r>
          </w:p>
        </w:tc>
      </w:tr>
      <w:tr w:rsidR="00A30DC0" w:rsidRPr="00052933" w14:paraId="6FA267EA" w14:textId="77777777" w:rsidTr="00D45A86">
        <w:trPr>
          <w:gridAfter w:val="2"/>
          <w:wAfter w:w="225" w:type="pct"/>
        </w:trPr>
        <w:tc>
          <w:tcPr>
            <w:tcW w:w="1275" w:type="pct"/>
          </w:tcPr>
          <w:p w14:paraId="07F1DCC3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CrCL</w:t>
            </w:r>
          </w:p>
        </w:tc>
        <w:tc>
          <w:tcPr>
            <w:tcW w:w="981" w:type="pct"/>
            <w:gridSpan w:val="2"/>
          </w:tcPr>
          <w:p w14:paraId="64AEE6DA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204.0 (137.6-242.3)</w:t>
            </w:r>
          </w:p>
        </w:tc>
        <w:tc>
          <w:tcPr>
            <w:tcW w:w="1250" w:type="pct"/>
            <w:gridSpan w:val="3"/>
            <w:shd w:val="clear" w:color="auto" w:fill="auto"/>
          </w:tcPr>
          <w:p w14:paraId="24DB1403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69.2 (23.9-142.0)</w:t>
            </w:r>
          </w:p>
        </w:tc>
        <w:tc>
          <w:tcPr>
            <w:tcW w:w="147" w:type="pct"/>
            <w:shd w:val="clear" w:color="auto" w:fill="auto"/>
          </w:tcPr>
          <w:p w14:paraId="039B7044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0" w:type="pct"/>
            <w:gridSpan w:val="2"/>
            <w:shd w:val="clear" w:color="auto" w:fill="auto"/>
          </w:tcPr>
          <w:p w14:paraId="7D2E8484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7C9EB569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18.2</w:t>
            </w:r>
          </w:p>
        </w:tc>
      </w:tr>
      <w:tr w:rsidR="00A30DC0" w:rsidRPr="00052933" w14:paraId="1ACF929F" w14:textId="77777777" w:rsidTr="00D45A86">
        <w:trPr>
          <w:trHeight w:val="460"/>
        </w:trPr>
        <w:tc>
          <w:tcPr>
            <w:tcW w:w="12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97611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Neonates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</w:tcPr>
          <w:p w14:paraId="02B33FF9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14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A9E61C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5DED91EB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03DBBA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117C55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3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DBBC32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</w:tr>
      <w:tr w:rsidR="00A30DC0" w:rsidRPr="00052933" w14:paraId="7511B882" w14:textId="77777777" w:rsidTr="00D45A86">
        <w:trPr>
          <w:gridAfter w:val="2"/>
          <w:wAfter w:w="225" w:type="pct"/>
          <w:trHeight w:val="113"/>
        </w:trPr>
        <w:tc>
          <w:tcPr>
            <w:tcW w:w="1275" w:type="pct"/>
          </w:tcPr>
          <w:p w14:paraId="2838AA0A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mGFR</w:t>
            </w:r>
          </w:p>
        </w:tc>
        <w:tc>
          <w:tcPr>
            <w:tcW w:w="981" w:type="pct"/>
            <w:gridSpan w:val="2"/>
          </w:tcPr>
          <w:p w14:paraId="20E01807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31.1 (27.2-43.2)</w:t>
            </w:r>
          </w:p>
        </w:tc>
        <w:tc>
          <w:tcPr>
            <w:tcW w:w="1397" w:type="pct"/>
            <w:gridSpan w:val="4"/>
          </w:tcPr>
          <w:p w14:paraId="50068894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80" w:type="pct"/>
            <w:gridSpan w:val="2"/>
          </w:tcPr>
          <w:p w14:paraId="25B26CE9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42" w:type="pct"/>
            <w:gridSpan w:val="2"/>
          </w:tcPr>
          <w:p w14:paraId="4908E3A3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</w:tr>
      <w:tr w:rsidR="00A30DC0" w:rsidRPr="00052933" w14:paraId="56406C2F" w14:textId="77777777" w:rsidTr="00D45A86">
        <w:trPr>
          <w:gridAfter w:val="2"/>
          <w:wAfter w:w="225" w:type="pct"/>
          <w:trHeight w:val="113"/>
        </w:trPr>
        <w:tc>
          <w:tcPr>
            <w:tcW w:w="1275" w:type="pct"/>
          </w:tcPr>
          <w:p w14:paraId="43E03A54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eGFR - bedside</w:t>
            </w:r>
          </w:p>
        </w:tc>
        <w:tc>
          <w:tcPr>
            <w:tcW w:w="981" w:type="pct"/>
            <w:gridSpan w:val="2"/>
          </w:tcPr>
          <w:p w14:paraId="0C2A7FF6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39.1 (33.6-71.6)</w:t>
            </w:r>
          </w:p>
        </w:tc>
        <w:tc>
          <w:tcPr>
            <w:tcW w:w="1397" w:type="pct"/>
            <w:gridSpan w:val="4"/>
          </w:tcPr>
          <w:p w14:paraId="557BB2DE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10.9 (1.3-30.5)</w:t>
            </w:r>
          </w:p>
        </w:tc>
        <w:tc>
          <w:tcPr>
            <w:tcW w:w="480" w:type="pct"/>
            <w:gridSpan w:val="2"/>
          </w:tcPr>
          <w:p w14:paraId="0589D8D3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642" w:type="pct"/>
            <w:gridSpan w:val="2"/>
          </w:tcPr>
          <w:p w14:paraId="144FD8E4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45.0</w:t>
            </w:r>
          </w:p>
        </w:tc>
      </w:tr>
      <w:tr w:rsidR="00A30DC0" w:rsidRPr="00052933" w14:paraId="28814C3D" w14:textId="77777777" w:rsidTr="00D45A86">
        <w:trPr>
          <w:gridAfter w:val="2"/>
          <w:wAfter w:w="225" w:type="pct"/>
          <w:trHeight w:val="113"/>
        </w:trPr>
        <w:tc>
          <w:tcPr>
            <w:tcW w:w="1275" w:type="pct"/>
          </w:tcPr>
          <w:p w14:paraId="00831A40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eGFR - Pierce</w:t>
            </w:r>
          </w:p>
        </w:tc>
        <w:tc>
          <w:tcPr>
            <w:tcW w:w="981" w:type="pct"/>
            <w:gridSpan w:val="2"/>
          </w:tcPr>
          <w:p w14:paraId="4092AE31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31.7 (25.5-56.4)</w:t>
            </w:r>
          </w:p>
        </w:tc>
        <w:tc>
          <w:tcPr>
            <w:tcW w:w="1397" w:type="pct"/>
            <w:gridSpan w:val="4"/>
          </w:tcPr>
          <w:p w14:paraId="56315655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 (-5.8-13.0)</w:t>
            </w:r>
          </w:p>
        </w:tc>
        <w:tc>
          <w:tcPr>
            <w:tcW w:w="480" w:type="pct"/>
            <w:gridSpan w:val="2"/>
          </w:tcPr>
          <w:p w14:paraId="3DC9D997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0.135</w:t>
            </w:r>
          </w:p>
        </w:tc>
        <w:tc>
          <w:tcPr>
            <w:tcW w:w="642" w:type="pct"/>
            <w:gridSpan w:val="2"/>
          </w:tcPr>
          <w:p w14:paraId="03AD401D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60.0</w:t>
            </w:r>
          </w:p>
        </w:tc>
      </w:tr>
      <w:tr w:rsidR="00A30DC0" w:rsidRPr="00052933" w14:paraId="0108E4BF" w14:textId="77777777" w:rsidTr="00D45A86">
        <w:trPr>
          <w:gridAfter w:val="2"/>
          <w:wAfter w:w="225" w:type="pct"/>
          <w:trHeight w:val="113"/>
        </w:trPr>
        <w:tc>
          <w:tcPr>
            <w:tcW w:w="1275" w:type="pct"/>
          </w:tcPr>
          <w:p w14:paraId="03568061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eGFR – Smeets</w:t>
            </w:r>
            <w:r w:rsidRPr="0005293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#</w:t>
            </w:r>
          </w:p>
        </w:tc>
        <w:tc>
          <w:tcPr>
            <w:tcW w:w="981" w:type="pct"/>
            <w:gridSpan w:val="2"/>
          </w:tcPr>
          <w:p w14:paraId="2887AFE7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27.6 (23.7-50.5)</w:t>
            </w:r>
          </w:p>
        </w:tc>
        <w:tc>
          <w:tcPr>
            <w:tcW w:w="1397" w:type="pct"/>
            <w:gridSpan w:val="4"/>
          </w:tcPr>
          <w:p w14:paraId="78740044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 (-7.5-8.7)</w:t>
            </w:r>
          </w:p>
        </w:tc>
        <w:tc>
          <w:tcPr>
            <w:tcW w:w="480" w:type="pct"/>
            <w:gridSpan w:val="2"/>
          </w:tcPr>
          <w:p w14:paraId="153B1842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0.852</w:t>
            </w:r>
          </w:p>
        </w:tc>
        <w:tc>
          <w:tcPr>
            <w:tcW w:w="642" w:type="pct"/>
            <w:gridSpan w:val="2"/>
          </w:tcPr>
          <w:p w14:paraId="171E50A7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70.0</w:t>
            </w:r>
          </w:p>
        </w:tc>
      </w:tr>
      <w:tr w:rsidR="00A30DC0" w:rsidRPr="00052933" w14:paraId="3267B09A" w14:textId="77777777" w:rsidTr="00D45A86">
        <w:trPr>
          <w:gridAfter w:val="2"/>
          <w:wAfter w:w="225" w:type="pct"/>
        </w:trPr>
        <w:tc>
          <w:tcPr>
            <w:tcW w:w="1275" w:type="pct"/>
          </w:tcPr>
          <w:p w14:paraId="4D3C3134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CrCL</w:t>
            </w:r>
          </w:p>
        </w:tc>
        <w:tc>
          <w:tcPr>
            <w:tcW w:w="981" w:type="pct"/>
            <w:gridSpan w:val="2"/>
          </w:tcPr>
          <w:p w14:paraId="19386C1D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43.0(28.5-82.6)</w:t>
            </w:r>
          </w:p>
        </w:tc>
        <w:tc>
          <w:tcPr>
            <w:tcW w:w="1250" w:type="pct"/>
            <w:gridSpan w:val="3"/>
            <w:shd w:val="clear" w:color="auto" w:fill="auto"/>
          </w:tcPr>
          <w:p w14:paraId="249859C5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12.6 (-6.3-37.7)</w:t>
            </w:r>
          </w:p>
        </w:tc>
        <w:tc>
          <w:tcPr>
            <w:tcW w:w="147" w:type="pct"/>
            <w:shd w:val="clear" w:color="auto" w:fill="auto"/>
          </w:tcPr>
          <w:p w14:paraId="03B8AE1E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80" w:type="pct"/>
            <w:gridSpan w:val="2"/>
            <w:shd w:val="clear" w:color="auto" w:fill="auto"/>
          </w:tcPr>
          <w:p w14:paraId="5EFC5651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0.087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11883BB8" w14:textId="77777777" w:rsidR="00A30DC0" w:rsidRPr="00052933" w:rsidRDefault="00A30DC0" w:rsidP="00D45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29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20.0</w:t>
            </w:r>
          </w:p>
        </w:tc>
      </w:tr>
    </w:tbl>
    <w:p w14:paraId="0607BB50" w14:textId="77777777" w:rsidR="00A30DC0" w:rsidRPr="00052933" w:rsidRDefault="00A30DC0" w:rsidP="00C937F8">
      <w:pPr>
        <w:rPr>
          <w:rFonts w:ascii="Times New Roman" w:hAnsi="Times New Roman" w:cs="Times New Roman"/>
          <w:lang w:val="en-GB"/>
        </w:rPr>
      </w:pPr>
    </w:p>
    <w:p w14:paraId="16C944AD" w14:textId="36CD7B81" w:rsidR="00A30DC0" w:rsidRPr="00052933" w:rsidRDefault="00A30DC0" w:rsidP="00A30DC0">
      <w:pPr>
        <w:pStyle w:val="Bijschrift"/>
        <w:spacing w:line="48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052933">
        <w:rPr>
          <w:rFonts w:ascii="Times New Roman" w:hAnsi="Times New Roman" w:cs="Times New Roman"/>
          <w:b/>
          <w:sz w:val="16"/>
          <w:szCs w:val="16"/>
          <w:lang w:val="en-GB"/>
        </w:rPr>
        <w:t>Table S</w:t>
      </w:r>
      <w:r w:rsidR="00052933" w:rsidRPr="00052933">
        <w:rPr>
          <w:rFonts w:ascii="Times New Roman" w:hAnsi="Times New Roman" w:cs="Times New Roman"/>
          <w:b/>
          <w:sz w:val="16"/>
          <w:szCs w:val="16"/>
          <w:lang w:val="en-GB"/>
        </w:rPr>
        <w:t>2</w:t>
      </w:r>
      <w:r w:rsidRPr="00052933">
        <w:rPr>
          <w:rFonts w:ascii="Times New Roman" w:hAnsi="Times New Roman" w:cs="Times New Roman"/>
          <w:b/>
          <w:sz w:val="16"/>
          <w:szCs w:val="16"/>
          <w:lang w:val="en-GB"/>
        </w:rPr>
        <w:t>:</w:t>
      </w:r>
      <w:r w:rsidRPr="00052933">
        <w:rPr>
          <w:rFonts w:ascii="Times New Roman" w:hAnsi="Times New Roman" w:cs="Times New Roman"/>
          <w:sz w:val="16"/>
          <w:szCs w:val="16"/>
          <w:lang w:val="en-GB"/>
        </w:rPr>
        <w:t xml:space="preserve"> Agreement between methods for patients without AKI only (n=53). Median GFR and median bias with corresponding IQR are displayed in mL/min/1.73 m</w:t>
      </w:r>
      <w:r w:rsidRPr="00052933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</w:t>
      </w:r>
      <w:r w:rsidRPr="00052933">
        <w:rPr>
          <w:rFonts w:ascii="Times New Roman" w:hAnsi="Times New Roman" w:cs="Times New Roman"/>
          <w:sz w:val="16"/>
          <w:szCs w:val="16"/>
          <w:lang w:val="en-GB"/>
        </w:rPr>
        <w:t>.</w:t>
      </w:r>
      <w:r w:rsidRPr="00052933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 xml:space="preserve">  A</w:t>
      </w:r>
      <w:r w:rsidRPr="00052933">
        <w:rPr>
          <w:rFonts w:ascii="Times New Roman" w:hAnsi="Times New Roman" w:cs="Times New Roman"/>
          <w:sz w:val="16"/>
          <w:szCs w:val="16"/>
          <w:lang w:val="en-GB"/>
        </w:rPr>
        <w:t xml:space="preserve"> Comparison of mGFR and eGFR using the Wilcoxon signed rank test. Abbreviations: eGFR: estimated glomerular filtration rate, mGFR: measured glomerular filtration rate; CrCL: creatinine clearance; IQR; interquartile range.  </w:t>
      </w:r>
      <w:r w:rsidRPr="00052933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#</w:t>
      </w:r>
      <w:r w:rsidRPr="00052933">
        <w:rPr>
          <w:rFonts w:ascii="Times New Roman" w:hAnsi="Times New Roman" w:cs="Times New Roman"/>
          <w:sz w:val="16"/>
          <w:szCs w:val="16"/>
          <w:lang w:val="en-GB"/>
        </w:rPr>
        <w:t>Performance in critically ill neonates as previously reported by Smeets et al(unpublished data).</w:t>
      </w:r>
    </w:p>
    <w:p w14:paraId="4DD8A026" w14:textId="3795B9DA" w:rsidR="00C937F8" w:rsidRPr="00A15B90" w:rsidRDefault="00C937F8" w:rsidP="00C937F8">
      <w:pPr>
        <w:rPr>
          <w:lang w:val="en-GB"/>
        </w:rPr>
      </w:pPr>
      <w:r w:rsidRPr="00A15B90">
        <w:rPr>
          <w:lang w:val="en-GB"/>
        </w:rPr>
        <w:br w:type="page"/>
      </w:r>
    </w:p>
    <w:p w14:paraId="0A84C3C6" w14:textId="77777777" w:rsidR="00C937F8" w:rsidRPr="00A15B90" w:rsidRDefault="00C937F8" w:rsidP="00C937F8">
      <w:pPr>
        <w:spacing w:line="240" w:lineRule="auto"/>
        <w:rPr>
          <w:u w:val="single"/>
          <w:lang w:val="en-GB"/>
        </w:rPr>
      </w:pPr>
      <w:r w:rsidRPr="00A15B90">
        <w:rPr>
          <w:u w:val="single"/>
          <w:lang w:val="en-GB"/>
        </w:rPr>
        <w:lastRenderedPageBreak/>
        <w:t>Supplementary equations</w:t>
      </w:r>
    </w:p>
    <w:p w14:paraId="225740F9" w14:textId="77777777" w:rsidR="00C937F8" w:rsidRPr="00A15B90" w:rsidRDefault="004E08FA" w:rsidP="00C937F8">
      <w:pPr>
        <w:spacing w:line="480" w:lineRule="auto"/>
        <w:rPr>
          <w:rFonts w:eastAsiaTheme="minorEastAsia"/>
          <w:sz w:val="18"/>
          <w:lang w:val="en-GB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  <w:iCs/>
                  <w:sz w:val="18"/>
                  <w:szCs w:val="18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CL</m:t>
              </m:r>
            </m:e>
            <m:sub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I</m:t>
              </m:r>
            </m:sub>
          </m:sSub>
          <m:r>
            <w:rPr>
              <w:rFonts w:ascii="Cambria Math" w:hAnsi="Cambria Math"/>
              <w:sz w:val="18"/>
              <w:szCs w:val="18"/>
              <w:lang w:val="en-GB"/>
            </w:rPr>
            <m:t> </m:t>
          </m:r>
          <m:r>
            <w:rPr>
              <w:rFonts w:ascii="Cambria Math" w:eastAsiaTheme="minorEastAsia" w:hAnsi="Cambria Math"/>
              <w:sz w:val="18"/>
              <w:lang w:val="en-GB"/>
            </w:rPr>
            <m:t>= I/ expA/α</m:t>
          </m:r>
        </m:oMath>
      </m:oMathPara>
    </w:p>
    <w:p w14:paraId="08645339" w14:textId="77777777" w:rsidR="00C937F8" w:rsidRPr="00A15B90" w:rsidRDefault="00C937F8" w:rsidP="00C937F8">
      <w:pPr>
        <w:pStyle w:val="Bijschrift"/>
        <w:spacing w:line="480" w:lineRule="auto"/>
        <w:rPr>
          <w:sz w:val="16"/>
          <w:szCs w:val="16"/>
          <w:lang w:val="en-GB"/>
        </w:rPr>
      </w:pPr>
      <w:r w:rsidRPr="00A15B90">
        <w:rPr>
          <w:b/>
          <w:bCs/>
          <w:sz w:val="16"/>
          <w:szCs w:val="16"/>
          <w:lang w:val="en-GB"/>
        </w:rPr>
        <w:t>Equation S1</w:t>
      </w:r>
      <w:r w:rsidRPr="00A15B90">
        <w:rPr>
          <w:sz w:val="16"/>
          <w:szCs w:val="16"/>
          <w:lang w:val="en-GB"/>
        </w:rPr>
        <w:t>: Calculation of clearance, based solely on slow phase of elimination curve (CL</w:t>
      </w:r>
      <w:r w:rsidRPr="00A15B90">
        <w:rPr>
          <w:sz w:val="16"/>
          <w:szCs w:val="16"/>
          <w:vertAlign w:val="subscript"/>
          <w:lang w:val="en-GB"/>
        </w:rPr>
        <w:t>I</w:t>
      </w:r>
      <w:r w:rsidRPr="00A15B90">
        <w:rPr>
          <w:sz w:val="16"/>
          <w:szCs w:val="16"/>
          <w:lang w:val="en-GB"/>
        </w:rPr>
        <w:t xml:space="preserve">). I: dose of </w:t>
      </w:r>
      <w:proofErr w:type="spellStart"/>
      <w:r w:rsidRPr="00A15B90">
        <w:rPr>
          <w:sz w:val="16"/>
          <w:szCs w:val="16"/>
          <w:lang w:val="en-GB"/>
        </w:rPr>
        <w:t>iohexol</w:t>
      </w:r>
      <w:proofErr w:type="spellEnd"/>
      <w:r w:rsidRPr="00A15B90">
        <w:rPr>
          <w:sz w:val="16"/>
          <w:szCs w:val="16"/>
          <w:lang w:val="en-GB"/>
        </w:rPr>
        <w:t xml:space="preserve"> in milligrams, </w:t>
      </w:r>
      <w:proofErr w:type="spellStart"/>
      <w:r w:rsidRPr="00A15B90">
        <w:rPr>
          <w:sz w:val="16"/>
          <w:szCs w:val="16"/>
          <w:lang w:val="en-GB"/>
        </w:rPr>
        <w:t>expA</w:t>
      </w:r>
      <w:proofErr w:type="spellEnd"/>
      <w:r w:rsidRPr="00A15B90">
        <w:rPr>
          <w:sz w:val="16"/>
          <w:szCs w:val="16"/>
          <w:lang w:val="en-GB"/>
        </w:rPr>
        <w:t>: intercept of the slow curve (elimination phase, log concentration vs. time), α: corresponding slope.</w:t>
      </w:r>
    </w:p>
    <w:p w14:paraId="0BD95F1E" w14:textId="77777777" w:rsidR="00C937F8" w:rsidRPr="003650AE" w:rsidRDefault="004E08FA" w:rsidP="00C937F8">
      <w:pPr>
        <w:spacing w:line="480" w:lineRule="auto"/>
        <w:rPr>
          <w:rFonts w:eastAsiaTheme="minorEastAsia"/>
          <w:bCs/>
          <w:i/>
          <w:iCs/>
          <w:sz w:val="18"/>
          <w:szCs w:val="18"/>
          <w:lang w:val="en-GB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  <w:iCs/>
                  <w:sz w:val="18"/>
                  <w:szCs w:val="18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CL</m:t>
              </m:r>
            </m:e>
            <m:sub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I, BSA</m:t>
              </m:r>
            </m:sub>
          </m:sSub>
          <m:r>
            <w:rPr>
              <w:rFonts w:ascii="Cambria Math" w:hAnsi="Cambria Math"/>
              <w:sz w:val="18"/>
              <w:szCs w:val="18"/>
              <w:lang w:val="en-GB"/>
            </w:rPr>
            <m:t> </m:t>
          </m:r>
          <m:r>
            <w:rPr>
              <w:rFonts w:ascii="Cambria Math" w:eastAsiaTheme="minorEastAsia" w:hAnsi="Cambria Math"/>
              <w:sz w:val="18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iCs/>
                  <w:sz w:val="18"/>
                  <w:szCs w:val="18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CL</m:t>
              </m:r>
            </m:e>
            <m:sub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18"/>
              <w:lang w:val="en-GB"/>
            </w:rPr>
            <m:t xml:space="preserve"> x 1.73/BSA</m:t>
          </m:r>
        </m:oMath>
      </m:oMathPara>
    </w:p>
    <w:p w14:paraId="2D22B839" w14:textId="77777777" w:rsidR="00C937F8" w:rsidRPr="00A15B90" w:rsidRDefault="00C937F8" w:rsidP="00C937F8">
      <w:pPr>
        <w:pStyle w:val="Bijschrift"/>
        <w:spacing w:line="480" w:lineRule="auto"/>
        <w:rPr>
          <w:sz w:val="16"/>
          <w:szCs w:val="16"/>
          <w:lang w:val="en-GB"/>
        </w:rPr>
      </w:pPr>
      <w:r w:rsidRPr="00A15B90">
        <w:rPr>
          <w:b/>
          <w:bCs/>
          <w:sz w:val="16"/>
          <w:szCs w:val="16"/>
          <w:lang w:val="en-GB"/>
        </w:rPr>
        <w:t>Equation S2:</w:t>
      </w:r>
      <w:r w:rsidRPr="00A15B90">
        <w:rPr>
          <w:sz w:val="16"/>
          <w:szCs w:val="16"/>
          <w:lang w:val="en-GB"/>
        </w:rPr>
        <w:t xml:space="preserve"> Calculation of BSA-corrected clearance, based solely on slow phase of elimination curve. CL</w:t>
      </w:r>
      <w:r w:rsidRPr="00A15B90">
        <w:rPr>
          <w:sz w:val="16"/>
          <w:szCs w:val="16"/>
          <w:vertAlign w:val="subscript"/>
          <w:lang w:val="en-GB"/>
        </w:rPr>
        <w:t>I</w:t>
      </w:r>
      <w:r w:rsidRPr="00A15B90">
        <w:rPr>
          <w:sz w:val="16"/>
          <w:szCs w:val="16"/>
          <w:lang w:val="en-GB"/>
        </w:rPr>
        <w:t>: clearance based on slow phase of elimination curve. BSA: body surface area</w:t>
      </w:r>
    </w:p>
    <w:p w14:paraId="280230A2" w14:textId="77777777" w:rsidR="00C937F8" w:rsidRPr="00A15B90" w:rsidRDefault="004E08FA" w:rsidP="00C937F8">
      <w:pPr>
        <w:spacing w:line="480" w:lineRule="auto"/>
        <w:rPr>
          <w:rFonts w:eastAsiaTheme="minorEastAsia"/>
          <w:sz w:val="18"/>
          <w:szCs w:val="18"/>
          <w:lang w:val="en-GB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  <w:iCs/>
                  <w:sz w:val="18"/>
                  <w:szCs w:val="18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f</m:t>
              </m:r>
            </m:e>
            <m:sub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BSA</m:t>
              </m:r>
            </m:sub>
          </m:sSub>
          <m:r>
            <w:rPr>
              <w:rFonts w:ascii="Cambria Math" w:hAnsi="Cambria Math"/>
              <w:sz w:val="18"/>
              <w:szCs w:val="18"/>
              <w:lang w:val="en-GB"/>
            </w:rPr>
            <m:t>=0.00185BS</m:t>
          </m:r>
          <m:sSup>
            <m:sSupPr>
              <m:ctrlPr>
                <w:rPr>
                  <w:rFonts w:ascii="Cambria Math" w:hAnsi="Cambria Math"/>
                  <w:bCs/>
                  <w:i/>
                  <w:iCs/>
                  <w:sz w:val="18"/>
                  <w:szCs w:val="18"/>
                  <w:lang w:val="en-GB"/>
                </w:rPr>
              </m:ctrlPr>
            </m:sSupPr>
            <m:e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A</m:t>
              </m:r>
            </m:e>
            <m:sup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-0.3</m:t>
              </m:r>
            </m:sup>
          </m:sSup>
          <m:r>
            <w:rPr>
              <w:rFonts w:ascii="Cambria Math" w:hAnsi="Cambria Math"/>
              <w:sz w:val="18"/>
              <w:szCs w:val="18"/>
              <w:lang w:val="en-GB"/>
            </w:rPr>
            <m:t> </m:t>
          </m:r>
        </m:oMath>
      </m:oMathPara>
    </w:p>
    <w:p w14:paraId="77108D17" w14:textId="77777777" w:rsidR="00C937F8" w:rsidRPr="00A15B90" w:rsidRDefault="00C937F8" w:rsidP="00C937F8">
      <w:pPr>
        <w:pStyle w:val="Bijschrift"/>
        <w:spacing w:line="480" w:lineRule="auto"/>
        <w:rPr>
          <w:sz w:val="16"/>
          <w:szCs w:val="16"/>
          <w:lang w:val="en-GB"/>
        </w:rPr>
      </w:pPr>
      <w:r w:rsidRPr="00A15B90">
        <w:rPr>
          <w:b/>
          <w:bCs/>
          <w:sz w:val="16"/>
          <w:szCs w:val="16"/>
          <w:lang w:val="en-GB"/>
        </w:rPr>
        <w:t>Equation S3:</w:t>
      </w:r>
      <w:r w:rsidRPr="00A15B90">
        <w:rPr>
          <w:sz w:val="16"/>
          <w:szCs w:val="16"/>
          <w:lang w:val="en-GB"/>
        </w:rPr>
        <w:t xml:space="preserve"> Calculation of a BSA corrected factor. BSA: body surface area.</w:t>
      </w:r>
    </w:p>
    <w:p w14:paraId="5101AE2E" w14:textId="77777777" w:rsidR="00C937F8" w:rsidRPr="00A15B90" w:rsidRDefault="004E08FA" w:rsidP="00C937F8">
      <w:pPr>
        <w:spacing w:line="480" w:lineRule="auto"/>
        <w:rPr>
          <w:rFonts w:eastAsiaTheme="minorEastAsia"/>
          <w:bCs/>
          <w:iCs/>
          <w:sz w:val="18"/>
          <w:szCs w:val="18"/>
          <w:lang w:val="en-GB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  <w:iCs/>
                  <w:sz w:val="18"/>
                  <w:szCs w:val="18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 xml:space="preserve">  CL</m:t>
              </m:r>
            </m:e>
            <m:sub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corrected</m:t>
              </m:r>
            </m:sub>
          </m:sSub>
          <m:r>
            <w:rPr>
              <w:rFonts w:ascii="Cambria Math" w:hAnsi="Cambria Math"/>
              <w:sz w:val="18"/>
              <w:szCs w:val="18"/>
              <w:lang w:val="en-GB"/>
            </w:rPr>
            <m:t xml:space="preserve">= </m:t>
          </m:r>
          <m:sSub>
            <m:sSubPr>
              <m:ctrlPr>
                <w:rPr>
                  <w:rFonts w:ascii="Cambria Math" w:hAnsi="Cambria Math"/>
                  <w:bCs/>
                  <w:i/>
                  <w:iCs/>
                  <w:sz w:val="18"/>
                  <w:szCs w:val="18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CL</m:t>
              </m:r>
            </m:e>
            <m:sub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I</m:t>
              </m:r>
            </m:sub>
          </m:sSub>
          <m:r>
            <w:rPr>
              <w:rFonts w:ascii="Cambria Math" w:hAnsi="Cambria Math"/>
              <w:sz w:val="18"/>
              <w:szCs w:val="18"/>
              <w:lang w:val="en-GB"/>
            </w:rPr>
            <m:t>, BSA /1+</m:t>
          </m:r>
          <m:sSub>
            <m:sSubPr>
              <m:ctrlPr>
                <w:rPr>
                  <w:rFonts w:ascii="Cambria Math" w:hAnsi="Cambria Math"/>
                  <w:bCs/>
                  <w:i/>
                  <w:iCs/>
                  <w:sz w:val="18"/>
                  <w:szCs w:val="18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f</m:t>
              </m:r>
            </m:e>
            <m:sub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BSA</m:t>
              </m:r>
            </m:sub>
          </m:sSub>
          <m:r>
            <w:rPr>
              <w:rFonts w:ascii="Cambria Math" w:hAnsi="Cambria Math"/>
              <w:sz w:val="18"/>
              <w:szCs w:val="18"/>
              <w:lang w:val="en-GB"/>
            </w:rPr>
            <m:t xml:space="preserve"> x </m:t>
          </m:r>
          <m:sSub>
            <m:sSubPr>
              <m:ctrlPr>
                <w:rPr>
                  <w:rFonts w:ascii="Cambria Math" w:hAnsi="Cambria Math"/>
                  <w:bCs/>
                  <w:i/>
                  <w:iCs/>
                  <w:sz w:val="18"/>
                  <w:szCs w:val="18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CL</m:t>
              </m:r>
            </m:e>
            <m:sub>
              <m:r>
                <w:rPr>
                  <w:rFonts w:ascii="Cambria Math" w:hAnsi="Cambria Math"/>
                  <w:sz w:val="18"/>
                  <w:szCs w:val="18"/>
                  <w:lang w:val="en-GB"/>
                </w:rPr>
                <m:t>I</m:t>
              </m:r>
            </m:sub>
          </m:sSub>
          <m:r>
            <w:rPr>
              <w:rFonts w:ascii="Cambria Math" w:hAnsi="Cambria Math"/>
              <w:sz w:val="18"/>
              <w:szCs w:val="18"/>
              <w:lang w:val="en-GB"/>
            </w:rPr>
            <m:t xml:space="preserve">, BSA  </m:t>
          </m:r>
        </m:oMath>
      </m:oMathPara>
    </w:p>
    <w:p w14:paraId="4883FA3F" w14:textId="77777777" w:rsidR="00C937F8" w:rsidRDefault="00C937F8" w:rsidP="00C937F8">
      <w:pPr>
        <w:pStyle w:val="Bijschrift"/>
        <w:rPr>
          <w:sz w:val="16"/>
          <w:szCs w:val="16"/>
          <w:lang w:val="en-GB"/>
        </w:rPr>
      </w:pPr>
      <w:r w:rsidRPr="00A15B90">
        <w:rPr>
          <w:b/>
          <w:bCs/>
          <w:sz w:val="16"/>
          <w:szCs w:val="16"/>
          <w:lang w:val="en-GB"/>
        </w:rPr>
        <w:t>Equation S4:</w:t>
      </w:r>
      <w:r w:rsidRPr="00A15B90">
        <w:rPr>
          <w:sz w:val="16"/>
          <w:szCs w:val="16"/>
          <w:lang w:val="en-GB"/>
        </w:rPr>
        <w:t xml:space="preserve"> Calculation of clearance, corrected for BSA, in ml/min/1.73m</w:t>
      </w:r>
      <w:r w:rsidRPr="00A15B90">
        <w:rPr>
          <w:sz w:val="16"/>
          <w:szCs w:val="16"/>
          <w:vertAlign w:val="superscript"/>
          <w:lang w:val="en-GB"/>
        </w:rPr>
        <w:t>2</w:t>
      </w:r>
      <w:r w:rsidRPr="00A15B90">
        <w:rPr>
          <w:sz w:val="16"/>
          <w:szCs w:val="16"/>
          <w:lang w:val="en-GB"/>
        </w:rPr>
        <w:t>. CL</w:t>
      </w:r>
      <w:r w:rsidRPr="00A15B90">
        <w:rPr>
          <w:sz w:val="16"/>
          <w:szCs w:val="16"/>
          <w:vertAlign w:val="subscript"/>
          <w:lang w:val="en-GB"/>
        </w:rPr>
        <w:t>I, BSA</w:t>
      </w:r>
      <w:r w:rsidRPr="00A15B90">
        <w:rPr>
          <w:sz w:val="16"/>
          <w:szCs w:val="16"/>
          <w:lang w:val="en-GB"/>
        </w:rPr>
        <w:t xml:space="preserve">: clearance based on slow phase of elimination curve, corrected for BSA, BSA: body surface area, </w:t>
      </w:r>
      <w:proofErr w:type="spellStart"/>
      <w:r w:rsidRPr="00A15B90">
        <w:rPr>
          <w:sz w:val="16"/>
          <w:szCs w:val="16"/>
          <w:lang w:val="en-GB"/>
        </w:rPr>
        <w:t>f</w:t>
      </w:r>
      <w:r w:rsidRPr="00A15B90">
        <w:rPr>
          <w:sz w:val="16"/>
          <w:szCs w:val="16"/>
          <w:vertAlign w:val="subscript"/>
          <w:lang w:val="en-GB"/>
        </w:rPr>
        <w:t>BSA</w:t>
      </w:r>
      <w:proofErr w:type="spellEnd"/>
      <w:r w:rsidRPr="00A15B90">
        <w:rPr>
          <w:sz w:val="16"/>
          <w:szCs w:val="16"/>
          <w:lang w:val="en-GB"/>
        </w:rPr>
        <w:t>: BSA corrected factor</w:t>
      </w:r>
    </w:p>
    <w:p w14:paraId="0A240D12" w14:textId="77777777" w:rsidR="00C937F8" w:rsidRDefault="00C937F8" w:rsidP="00C937F8">
      <w:pPr>
        <w:rPr>
          <w:lang w:val="en-GB"/>
        </w:rPr>
      </w:pPr>
    </w:p>
    <w:p w14:paraId="24161846" w14:textId="77777777" w:rsidR="00C937F8" w:rsidRPr="00DE685F" w:rsidRDefault="00C937F8" w:rsidP="00C937F8">
      <w:pPr>
        <w:rPr>
          <w:lang w:val="en-GB"/>
        </w:rPr>
      </w:pPr>
    </w:p>
    <w:p w14:paraId="7EADF9C3" w14:textId="77777777" w:rsidR="008C3F23" w:rsidRPr="00052933" w:rsidRDefault="008C3F23">
      <w:pPr>
        <w:rPr>
          <w:lang w:val="en-US"/>
        </w:rPr>
      </w:pPr>
    </w:p>
    <w:sectPr w:rsidR="008C3F23" w:rsidRPr="00052933" w:rsidSect="004E2A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7F8"/>
    <w:rsid w:val="00052933"/>
    <w:rsid w:val="000D22F2"/>
    <w:rsid w:val="00226581"/>
    <w:rsid w:val="00372E64"/>
    <w:rsid w:val="00572A54"/>
    <w:rsid w:val="00644D97"/>
    <w:rsid w:val="007C1A2A"/>
    <w:rsid w:val="008C3F23"/>
    <w:rsid w:val="009D1A26"/>
    <w:rsid w:val="00A30DC0"/>
    <w:rsid w:val="00C9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C481"/>
  <w15:chartTrackingRefBased/>
  <w15:docId w15:val="{8FAEBFA2-3C7F-40E6-8111-356E53C4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7F8"/>
  </w:style>
  <w:style w:type="paragraph" w:styleId="Kop1">
    <w:name w:val="heading 1"/>
    <w:basedOn w:val="Standaard"/>
    <w:next w:val="Standaard"/>
    <w:link w:val="Kop1Char"/>
    <w:uiPriority w:val="9"/>
    <w:qFormat/>
    <w:rsid w:val="00C937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37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93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C937F8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Smeets, Nori</dc:creator>
  <cp:keywords/>
  <dc:description/>
  <cp:lastModifiedBy>Smeets, Nori</cp:lastModifiedBy>
  <cp:revision>2</cp:revision>
  <dcterms:created xsi:type="dcterms:W3CDTF">2022-03-31T15:35:00Z</dcterms:created>
  <dcterms:modified xsi:type="dcterms:W3CDTF">2022-03-31T15:35:00Z</dcterms:modified>
</cp:coreProperties>
</file>