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83F8" w14:textId="4E40E8E1" w:rsidR="0037499D" w:rsidRDefault="0037499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Supplemental Table S3</w:t>
      </w:r>
      <w:r w:rsidR="00F86302">
        <w:rPr>
          <w:rFonts w:ascii="Arial" w:hAnsi="Arial" w:cs="Arial"/>
          <w:b/>
          <w:bCs/>
          <w:sz w:val="20"/>
          <w:szCs w:val="20"/>
        </w:rPr>
        <w:t xml:space="preserve">. LDL-apheresis protocol details for time to treatment, total number of LDL-apheresis sessions, </w:t>
      </w:r>
      <w:r w:rsidR="00AC4BB4">
        <w:rPr>
          <w:rFonts w:ascii="Arial" w:hAnsi="Arial" w:cs="Arial"/>
          <w:b/>
          <w:bCs/>
          <w:sz w:val="20"/>
          <w:szCs w:val="20"/>
        </w:rPr>
        <w:t>duration of LDL-A treatment, and concomitant treatments,</w:t>
      </w:r>
      <w:r w:rsidR="00F86302">
        <w:rPr>
          <w:rFonts w:ascii="Arial" w:hAnsi="Arial" w:cs="Arial"/>
          <w:b/>
          <w:bCs/>
          <w:sz w:val="20"/>
          <w:szCs w:val="20"/>
        </w:rPr>
        <w:t xml:space="preserve"> by patient. </w:t>
      </w:r>
    </w:p>
    <w:p w14:paraId="56A4D3A1" w14:textId="77777777" w:rsidR="006771F7" w:rsidRPr="0037499D" w:rsidRDefault="006771F7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72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797"/>
        <w:gridCol w:w="1170"/>
        <w:gridCol w:w="1170"/>
        <w:gridCol w:w="990"/>
        <w:gridCol w:w="5593"/>
      </w:tblGrid>
      <w:tr w:rsidR="00C74193" w:rsidRPr="002D32A4" w14:paraId="1D2EA14B" w14:textId="75FF78F0" w:rsidTr="006771F7">
        <w:tc>
          <w:tcPr>
            <w:tcW w:w="797" w:type="dxa"/>
          </w:tcPr>
          <w:p w14:paraId="1078CBB8" w14:textId="62692C73" w:rsidR="00C74193" w:rsidRPr="00606D01" w:rsidRDefault="00C74193" w:rsidP="00B437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>Patient</w:t>
            </w:r>
          </w:p>
        </w:tc>
        <w:tc>
          <w:tcPr>
            <w:tcW w:w="1170" w:type="dxa"/>
          </w:tcPr>
          <w:p w14:paraId="4F37B9AC" w14:textId="077BF1BD" w:rsidR="00C74193" w:rsidRDefault="00C74193" w:rsidP="00B437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42F3">
              <w:rPr>
                <w:rFonts w:ascii="Arial" w:hAnsi="Arial" w:cs="Arial"/>
                <w:b/>
                <w:bCs/>
                <w:sz w:val="16"/>
                <w:szCs w:val="16"/>
              </w:rPr>
              <w:t>Time from transplant to LDL-A initiation (months)</w:t>
            </w:r>
          </w:p>
        </w:tc>
        <w:tc>
          <w:tcPr>
            <w:tcW w:w="1170" w:type="dxa"/>
          </w:tcPr>
          <w:p w14:paraId="4AD77539" w14:textId="49CA35F3" w:rsidR="00C74193" w:rsidRPr="00606D01" w:rsidRDefault="00C74193" w:rsidP="00B437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Total number of </w:t>
            </w: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LDL-A sessions </w:t>
            </w:r>
          </w:p>
        </w:tc>
        <w:tc>
          <w:tcPr>
            <w:tcW w:w="990" w:type="dxa"/>
          </w:tcPr>
          <w:p w14:paraId="1E4F74D3" w14:textId="5418C992" w:rsidR="00C74193" w:rsidRDefault="00C74193" w:rsidP="00B437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LDL-A duration (weeks)</w:t>
            </w:r>
          </w:p>
        </w:tc>
        <w:tc>
          <w:tcPr>
            <w:tcW w:w="5593" w:type="dxa"/>
          </w:tcPr>
          <w:p w14:paraId="46B8F7AE" w14:textId="49E5FCFE" w:rsidR="00C74193" w:rsidRPr="00606D01" w:rsidRDefault="00C74193" w:rsidP="00B437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>Concomitant treatment</w:t>
            </w:r>
            <w:r w:rsidR="00AB6D0D">
              <w:rPr>
                <w:rFonts w:ascii="Arial" w:hAnsi="Arial" w:cs="Arial"/>
                <w:b/>
                <w:bCs/>
                <w:sz w:val="16"/>
                <w:szCs w:val="16"/>
              </w:rPr>
              <w:t>(s)</w:t>
            </w:r>
          </w:p>
        </w:tc>
      </w:tr>
      <w:tr w:rsidR="00C74193" w14:paraId="6F2D5FA3" w14:textId="07AEB8AC" w:rsidTr="006771F7">
        <w:tc>
          <w:tcPr>
            <w:tcW w:w="797" w:type="dxa"/>
          </w:tcPr>
          <w:p w14:paraId="03B59067" w14:textId="77DB2ACA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136A097B" w14:textId="38F585B9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79BCD84B" w14:textId="10C29843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11910851" w14:textId="3805F3A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5CC2AD48" w14:textId="15A2C9AA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193" w14:paraId="12466C1A" w14:textId="7A1FD372" w:rsidTr="006771F7">
        <w:tc>
          <w:tcPr>
            <w:tcW w:w="797" w:type="dxa"/>
          </w:tcPr>
          <w:p w14:paraId="03690E5D" w14:textId="2E05809E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51F2A5F6" w14:textId="3E17EE89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1170" w:type="dxa"/>
          </w:tcPr>
          <w:p w14:paraId="300511DD" w14:textId="0EF3D3CA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785EB9FC" w14:textId="57600B4E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4D8B05E1" w14:textId="79709A66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193" w14:paraId="346DA003" w14:textId="37AF50B4" w:rsidTr="006771F7">
        <w:tc>
          <w:tcPr>
            <w:tcW w:w="797" w:type="dxa"/>
          </w:tcPr>
          <w:p w14:paraId="15B13D8F" w14:textId="24240331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</w:tcPr>
          <w:p w14:paraId="7751A081" w14:textId="3726DFED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</w:tcPr>
          <w:p w14:paraId="5072630E" w14:textId="07F40B0C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7B6FC74A" w14:textId="1A9E826F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4F4EE966" w14:textId="5291B31A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>Methylprednisolone (1 mg/kg/day) from the sixth session; cyclosporine and mycophenolate were maintained.</w:t>
            </w:r>
          </w:p>
        </w:tc>
      </w:tr>
      <w:tr w:rsidR="00C74193" w14:paraId="61B62A00" w14:textId="3A022FAF" w:rsidTr="006771F7">
        <w:tc>
          <w:tcPr>
            <w:tcW w:w="797" w:type="dxa"/>
          </w:tcPr>
          <w:p w14:paraId="6EF6AE1C" w14:textId="149B47D2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</w:tcPr>
          <w:p w14:paraId="1338AF38" w14:textId="69695EFD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70" w:type="dxa"/>
          </w:tcPr>
          <w:p w14:paraId="5F4C517B" w14:textId="344BFD55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6F89DBEE" w14:textId="4DFEA0A9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0DDEB72D" w14:textId="622A2CA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Prednisone (before 2</w:t>
            </w:r>
            <w:r w:rsidRPr="00FA1BC7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 w:cs="Arial"/>
                <w:sz w:val="16"/>
                <w:szCs w:val="16"/>
              </w:rPr>
              <w:t xml:space="preserve"> session),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cyclophosphamine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(before 3</w:t>
            </w:r>
            <w:r w:rsidRPr="00FA1BC7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>
              <w:rPr>
                <w:rFonts w:ascii="Arial" w:hAnsi="Arial" w:cs="Arial"/>
                <w:sz w:val="16"/>
                <w:szCs w:val="16"/>
              </w:rPr>
              <w:t xml:space="preserve"> session), tacrolimus (before 4</w:t>
            </w:r>
            <w:r w:rsidRPr="00FA1BC7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 xml:space="preserve"> session), amlodipine (before 7</w:t>
            </w:r>
            <w:r w:rsidRPr="00FA1BC7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 xml:space="preserve"> session), mycophenolate mofetil (before 9</w:t>
            </w:r>
            <w:r w:rsidRPr="00FA1BC7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 xml:space="preserve"> session), metolazone (before 11</w:t>
            </w:r>
            <w:r w:rsidRPr="00FA1BC7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 xml:space="preserve"> session)</w:t>
            </w:r>
          </w:p>
        </w:tc>
      </w:tr>
      <w:tr w:rsidR="00C74193" w14:paraId="4A752BF4" w14:textId="7AC78D80" w:rsidTr="006771F7">
        <w:tc>
          <w:tcPr>
            <w:tcW w:w="797" w:type="dxa"/>
          </w:tcPr>
          <w:p w14:paraId="0AA3A263" w14:textId="241EEEA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0" w:type="dxa"/>
          </w:tcPr>
          <w:p w14:paraId="1901BD47" w14:textId="0A6DEC3A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70" w:type="dxa"/>
          </w:tcPr>
          <w:p w14:paraId="639247B4" w14:textId="2978A68E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714CFF56" w14:textId="3C66400C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7DD5BD3F" w14:textId="7B0F4AC9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193" w14:paraId="7412CD27" w14:textId="294DE349" w:rsidTr="006771F7">
        <w:tc>
          <w:tcPr>
            <w:tcW w:w="797" w:type="dxa"/>
          </w:tcPr>
          <w:p w14:paraId="149F3429" w14:textId="51B71CD7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</w:tcPr>
          <w:p w14:paraId="5895C667" w14:textId="360C1828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70" w:type="dxa"/>
          </w:tcPr>
          <w:p w14:paraId="5CA3AFD4" w14:textId="025E4989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57FD4B75" w14:textId="39B3DF3B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0E9D4C4F" w14:textId="7B7901DB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Mycophenolate mofetil (before 10</w:t>
            </w:r>
            <w:r w:rsidRPr="00F962BC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 xml:space="preserve"> session)</w:t>
            </w:r>
          </w:p>
        </w:tc>
      </w:tr>
      <w:tr w:rsidR="00C74193" w14:paraId="66F6948F" w14:textId="42C782A4" w:rsidTr="006771F7">
        <w:tc>
          <w:tcPr>
            <w:tcW w:w="797" w:type="dxa"/>
          </w:tcPr>
          <w:p w14:paraId="45F99C91" w14:textId="78DA5492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70" w:type="dxa"/>
          </w:tcPr>
          <w:p w14:paraId="0141B8EE" w14:textId="09077B05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70" w:type="dxa"/>
          </w:tcPr>
          <w:p w14:paraId="3333C5DD" w14:textId="51E898CE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17-20 </w:t>
            </w:r>
          </w:p>
        </w:tc>
        <w:tc>
          <w:tcPr>
            <w:tcW w:w="990" w:type="dxa"/>
          </w:tcPr>
          <w:p w14:paraId="0638B8C1" w14:textId="24807A16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593" w:type="dxa"/>
          </w:tcPr>
          <w:p w14:paraId="643A884C" w14:textId="4C57BA3F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1B137D23" w14:textId="3F684FB0" w:rsidTr="006771F7">
        <w:tc>
          <w:tcPr>
            <w:tcW w:w="797" w:type="dxa"/>
          </w:tcPr>
          <w:p w14:paraId="380BDFE4" w14:textId="6AEB5787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70" w:type="dxa"/>
          </w:tcPr>
          <w:p w14:paraId="7238D2E9" w14:textId="7F07230A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</w:tcPr>
          <w:p w14:paraId="6150F924" w14:textId="678BEA61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12-15 </w:t>
            </w:r>
          </w:p>
        </w:tc>
        <w:tc>
          <w:tcPr>
            <w:tcW w:w="990" w:type="dxa"/>
          </w:tcPr>
          <w:p w14:paraId="2E70EDBB" w14:textId="6FD86FB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7A72C2F9" w14:textId="3E8D04EE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2F4CFA49" w14:textId="0627EAD5" w:rsidTr="006771F7">
        <w:tc>
          <w:tcPr>
            <w:tcW w:w="797" w:type="dxa"/>
          </w:tcPr>
          <w:p w14:paraId="198BF688" w14:textId="6189C4DC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70" w:type="dxa"/>
          </w:tcPr>
          <w:p w14:paraId="66DBA74E" w14:textId="4FD827A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</w:tcPr>
          <w:p w14:paraId="03EFEEE8" w14:textId="367C1D78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25-28 </w:t>
            </w:r>
          </w:p>
        </w:tc>
        <w:tc>
          <w:tcPr>
            <w:tcW w:w="990" w:type="dxa"/>
          </w:tcPr>
          <w:p w14:paraId="313C8710" w14:textId="027937E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593" w:type="dxa"/>
          </w:tcPr>
          <w:p w14:paraId="26ACEF42" w14:textId="62CBC15A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55180E9B" w14:textId="7D010273" w:rsidTr="006771F7">
        <w:tc>
          <w:tcPr>
            <w:tcW w:w="797" w:type="dxa"/>
          </w:tcPr>
          <w:p w14:paraId="4EC6A197" w14:textId="526E3093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70" w:type="dxa"/>
          </w:tcPr>
          <w:p w14:paraId="20CFC7C4" w14:textId="3274FBAB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0" w:type="dxa"/>
          </w:tcPr>
          <w:p w14:paraId="758CEBD2" w14:textId="130A2E2D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19-22 </w:t>
            </w:r>
          </w:p>
        </w:tc>
        <w:tc>
          <w:tcPr>
            <w:tcW w:w="990" w:type="dxa"/>
          </w:tcPr>
          <w:p w14:paraId="414C7C18" w14:textId="1989FABF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593" w:type="dxa"/>
          </w:tcPr>
          <w:p w14:paraId="3A3FC429" w14:textId="5D16079C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57D6981F" w14:textId="562E592B" w:rsidTr="006771F7">
        <w:tc>
          <w:tcPr>
            <w:tcW w:w="797" w:type="dxa"/>
          </w:tcPr>
          <w:p w14:paraId="58659FEE" w14:textId="07F8B3BB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70" w:type="dxa"/>
          </w:tcPr>
          <w:p w14:paraId="5E4E5E29" w14:textId="4CE7A118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1170" w:type="dxa"/>
          </w:tcPr>
          <w:p w14:paraId="5841AFC0" w14:textId="1B80EC24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12-15 </w:t>
            </w:r>
          </w:p>
        </w:tc>
        <w:tc>
          <w:tcPr>
            <w:tcW w:w="990" w:type="dxa"/>
          </w:tcPr>
          <w:p w14:paraId="21C943D0" w14:textId="5D652E4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6B003057" w14:textId="6C72AC34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33B9BF51" w14:textId="18DFAF15" w:rsidTr="006771F7">
        <w:tc>
          <w:tcPr>
            <w:tcW w:w="797" w:type="dxa"/>
          </w:tcPr>
          <w:p w14:paraId="412C27BC" w14:textId="5FD45E64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70" w:type="dxa"/>
          </w:tcPr>
          <w:p w14:paraId="4DB39AD2" w14:textId="6D1BE49E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70" w:type="dxa"/>
          </w:tcPr>
          <w:p w14:paraId="5959B6D4" w14:textId="7A75205C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12-15 </w:t>
            </w:r>
          </w:p>
        </w:tc>
        <w:tc>
          <w:tcPr>
            <w:tcW w:w="990" w:type="dxa"/>
          </w:tcPr>
          <w:p w14:paraId="1A5DCF3C" w14:textId="0DAE33AA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61C7C937" w14:textId="2AD0B4F3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762CADDD" w14:textId="09A7D948" w:rsidTr="006771F7">
        <w:tc>
          <w:tcPr>
            <w:tcW w:w="797" w:type="dxa"/>
          </w:tcPr>
          <w:p w14:paraId="6F21A890" w14:textId="418D52F9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70" w:type="dxa"/>
          </w:tcPr>
          <w:p w14:paraId="0DAEC771" w14:textId="621E658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6434B4AE" w14:textId="69CDCD94" w:rsidR="00C74193" w:rsidRPr="002D32A4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12-15 </w:t>
            </w:r>
          </w:p>
        </w:tc>
        <w:tc>
          <w:tcPr>
            <w:tcW w:w="990" w:type="dxa"/>
          </w:tcPr>
          <w:p w14:paraId="12B8CC16" w14:textId="6F00C59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55046EDF" w14:textId="495209C5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2B1FAA20" w14:textId="579B729D" w:rsidTr="006771F7">
        <w:tc>
          <w:tcPr>
            <w:tcW w:w="797" w:type="dxa"/>
          </w:tcPr>
          <w:p w14:paraId="0959F9EF" w14:textId="66F93CB7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70" w:type="dxa"/>
          </w:tcPr>
          <w:p w14:paraId="1BA01F82" w14:textId="4328D31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14:paraId="2B608550" w14:textId="25B30879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24B92510" w14:textId="0BAA1578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30E7207C" w14:textId="1E3E4938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193" w14:paraId="644EB6AE" w14:textId="7C50F1B3" w:rsidTr="006771F7">
        <w:tc>
          <w:tcPr>
            <w:tcW w:w="797" w:type="dxa"/>
          </w:tcPr>
          <w:p w14:paraId="39F51A37" w14:textId="14878988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70" w:type="dxa"/>
          </w:tcPr>
          <w:p w14:paraId="4A1060F8" w14:textId="1037E3CB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14:paraId="1DA6DCF8" w14:textId="4CA96079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990" w:type="dxa"/>
          </w:tcPr>
          <w:p w14:paraId="4FA83728" w14:textId="689C4FD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593" w:type="dxa"/>
          </w:tcPr>
          <w:p w14:paraId="2577E6CB" w14:textId="49E5BE18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193" w14:paraId="7AF3738D" w14:textId="10509E04" w:rsidTr="006771F7">
        <w:tc>
          <w:tcPr>
            <w:tcW w:w="797" w:type="dxa"/>
          </w:tcPr>
          <w:p w14:paraId="6E871319" w14:textId="437E6A01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70" w:type="dxa"/>
          </w:tcPr>
          <w:p w14:paraId="47D68A7E" w14:textId="4B2A9792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70" w:type="dxa"/>
          </w:tcPr>
          <w:p w14:paraId="68D93464" w14:textId="69E745A9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00F9BD77" w14:textId="4FAEC54A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6FBBCE65" w14:textId="4348B34C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193" w14:paraId="79EEC66A" w14:textId="1F2DBB67" w:rsidTr="006771F7">
        <w:tc>
          <w:tcPr>
            <w:tcW w:w="797" w:type="dxa"/>
          </w:tcPr>
          <w:p w14:paraId="174EF64A" w14:textId="42D59325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170" w:type="dxa"/>
          </w:tcPr>
          <w:p w14:paraId="6FC9BEC9" w14:textId="3C05980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14:paraId="15D21940" w14:textId="060528FC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2444877B" w14:textId="7ED382D8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381F5EC1" w14:textId="19134301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193" w14:paraId="057EF12F" w14:textId="64D78AF2" w:rsidTr="006771F7">
        <w:tc>
          <w:tcPr>
            <w:tcW w:w="797" w:type="dxa"/>
          </w:tcPr>
          <w:p w14:paraId="21AAD14E" w14:textId="7E6C29C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70" w:type="dxa"/>
          </w:tcPr>
          <w:p w14:paraId="58EECE7D" w14:textId="3DA706A9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170" w:type="dxa"/>
          </w:tcPr>
          <w:p w14:paraId="7A44859B" w14:textId="5AD51886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12-15 </w:t>
            </w:r>
          </w:p>
        </w:tc>
        <w:tc>
          <w:tcPr>
            <w:tcW w:w="990" w:type="dxa"/>
          </w:tcPr>
          <w:p w14:paraId="638BEA17" w14:textId="134F85F1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31C686CB" w14:textId="3E3CA76A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04FF4E20" w14:textId="0FA264C8" w:rsidTr="006771F7">
        <w:tc>
          <w:tcPr>
            <w:tcW w:w="797" w:type="dxa"/>
          </w:tcPr>
          <w:p w14:paraId="0FC58377" w14:textId="2B13ECD3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170" w:type="dxa"/>
          </w:tcPr>
          <w:p w14:paraId="796E65FB" w14:textId="4BB7565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 </w:t>
            </w:r>
          </w:p>
        </w:tc>
        <w:tc>
          <w:tcPr>
            <w:tcW w:w="1170" w:type="dxa"/>
          </w:tcPr>
          <w:p w14:paraId="365C7A6E" w14:textId="65C38A5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12-15 </w:t>
            </w:r>
          </w:p>
        </w:tc>
        <w:tc>
          <w:tcPr>
            <w:tcW w:w="990" w:type="dxa"/>
          </w:tcPr>
          <w:p w14:paraId="664C212E" w14:textId="6CD2308F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14D1AACD" w14:textId="74D5A497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58895109" w14:textId="1643A075" w:rsidTr="006771F7">
        <w:tc>
          <w:tcPr>
            <w:tcW w:w="797" w:type="dxa"/>
          </w:tcPr>
          <w:p w14:paraId="6FE68127" w14:textId="2C799FAB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</w:tcPr>
          <w:p w14:paraId="2F7606E5" w14:textId="537906E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170" w:type="dxa"/>
          </w:tcPr>
          <w:p w14:paraId="2624A30A" w14:textId="2CC229E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12-15 </w:t>
            </w:r>
          </w:p>
        </w:tc>
        <w:tc>
          <w:tcPr>
            <w:tcW w:w="990" w:type="dxa"/>
          </w:tcPr>
          <w:p w14:paraId="055719E1" w14:textId="569DDF2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668F7C77" w14:textId="10682CD7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7FBDFBB4" w14:textId="3A61FB45" w:rsidTr="006771F7">
        <w:tc>
          <w:tcPr>
            <w:tcW w:w="797" w:type="dxa"/>
          </w:tcPr>
          <w:p w14:paraId="0521F05A" w14:textId="018A4301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70" w:type="dxa"/>
          </w:tcPr>
          <w:p w14:paraId="57642ADA" w14:textId="65099817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</w:tcPr>
          <w:p w14:paraId="5FB974B6" w14:textId="72E71B83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12-15 </w:t>
            </w:r>
          </w:p>
        </w:tc>
        <w:tc>
          <w:tcPr>
            <w:tcW w:w="990" w:type="dxa"/>
          </w:tcPr>
          <w:p w14:paraId="068E79EE" w14:textId="0185AE2A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593" w:type="dxa"/>
          </w:tcPr>
          <w:p w14:paraId="68BF5410" w14:textId="4554DD04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 methylprednisolone (10-20 mg/kg for a single maximum dose of 1 g) once per week for the final six weeks</w:t>
            </w:r>
          </w:p>
        </w:tc>
      </w:tr>
      <w:tr w:rsidR="00C74193" w14:paraId="449B6FAD" w14:textId="550D638F" w:rsidTr="006771F7">
        <w:tc>
          <w:tcPr>
            <w:tcW w:w="797" w:type="dxa"/>
          </w:tcPr>
          <w:p w14:paraId="7C4D0C7F" w14:textId="1E1ECDC1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170" w:type="dxa"/>
          </w:tcPr>
          <w:p w14:paraId="2280DB81" w14:textId="3C1C8698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70" w:type="dxa"/>
          </w:tcPr>
          <w:p w14:paraId="394395F9" w14:textId="46B9CB3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84 </w:t>
            </w:r>
          </w:p>
        </w:tc>
        <w:tc>
          <w:tcPr>
            <w:tcW w:w="990" w:type="dxa"/>
          </w:tcPr>
          <w:p w14:paraId="456C56BD" w14:textId="19AA49C7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5593" w:type="dxa"/>
          </w:tcPr>
          <w:p w14:paraId="70DD3809" w14:textId="2C186FFF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“Baseline immunosuppression”</w:t>
            </w:r>
          </w:p>
        </w:tc>
      </w:tr>
      <w:tr w:rsidR="00C74193" w14:paraId="209DB175" w14:textId="1297AA82" w:rsidTr="006771F7">
        <w:tc>
          <w:tcPr>
            <w:tcW w:w="797" w:type="dxa"/>
          </w:tcPr>
          <w:p w14:paraId="274CAF01" w14:textId="7F1A86CD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70" w:type="dxa"/>
          </w:tcPr>
          <w:p w14:paraId="5845AE0E" w14:textId="2D643FB3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70" w:type="dxa"/>
          </w:tcPr>
          <w:p w14:paraId="2731628C" w14:textId="5CC862D1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29 </w:t>
            </w:r>
          </w:p>
        </w:tc>
        <w:tc>
          <w:tcPr>
            <w:tcW w:w="990" w:type="dxa"/>
          </w:tcPr>
          <w:p w14:paraId="3E60F434" w14:textId="20D5EF04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5593" w:type="dxa"/>
          </w:tcPr>
          <w:p w14:paraId="2C9E4FAE" w14:textId="1A5F62BF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“Baseline immunosuppression”</w:t>
            </w:r>
          </w:p>
        </w:tc>
      </w:tr>
      <w:tr w:rsidR="00C74193" w14:paraId="00F7103B" w14:textId="252EB076" w:rsidTr="006771F7">
        <w:tc>
          <w:tcPr>
            <w:tcW w:w="797" w:type="dxa"/>
          </w:tcPr>
          <w:p w14:paraId="62DA8A3B" w14:textId="52B67582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70" w:type="dxa"/>
          </w:tcPr>
          <w:p w14:paraId="3D0B975C" w14:textId="79EC7EA1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70" w:type="dxa"/>
          </w:tcPr>
          <w:p w14:paraId="083ED8EE" w14:textId="749F2FD3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 </w:t>
            </w:r>
          </w:p>
        </w:tc>
        <w:tc>
          <w:tcPr>
            <w:tcW w:w="990" w:type="dxa"/>
          </w:tcPr>
          <w:p w14:paraId="1E7D2600" w14:textId="749479BA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5593" w:type="dxa"/>
          </w:tcPr>
          <w:p w14:paraId="6E14CAB2" w14:textId="69F377D0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“Baseline immunosuppression”</w:t>
            </w:r>
          </w:p>
        </w:tc>
      </w:tr>
      <w:tr w:rsidR="00C74193" w14:paraId="314763C2" w14:textId="72503FBD" w:rsidTr="006771F7">
        <w:tc>
          <w:tcPr>
            <w:tcW w:w="797" w:type="dxa"/>
          </w:tcPr>
          <w:p w14:paraId="7CC4E869" w14:textId="1880DD75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70" w:type="dxa"/>
          </w:tcPr>
          <w:p w14:paraId="0E063C74" w14:textId="00C2E712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70" w:type="dxa"/>
          </w:tcPr>
          <w:p w14:paraId="25072B15" w14:textId="29380711" w:rsidR="00C74193" w:rsidRDefault="00DC0509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0" w:type="dxa"/>
          </w:tcPr>
          <w:p w14:paraId="04C0C767" w14:textId="188C0F06" w:rsidR="00C74193" w:rsidRDefault="00DC0509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593" w:type="dxa"/>
          </w:tcPr>
          <w:p w14:paraId="4008EBB5" w14:textId="1CE2798A" w:rsidR="00C74193" w:rsidRDefault="00C74193" w:rsidP="00B437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high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-dose intravenous steroids”</w:t>
            </w:r>
          </w:p>
        </w:tc>
      </w:tr>
    </w:tbl>
    <w:p w14:paraId="6A2D58BE" w14:textId="1B635F04" w:rsidR="00C077FD" w:rsidRDefault="00C077FD"/>
    <w:p w14:paraId="1655FBBE" w14:textId="354A0980" w:rsidR="00D10F19" w:rsidRPr="00D10F19" w:rsidRDefault="00D10F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LDL-apheresis (LDL-A) protocols are detailed in the table by patient, including the time</w:t>
      </w:r>
      <w:r w:rsidR="00883B5E">
        <w:rPr>
          <w:rFonts w:ascii="Arial" w:hAnsi="Arial" w:cs="Arial"/>
          <w:sz w:val="20"/>
          <w:szCs w:val="20"/>
        </w:rPr>
        <w:t xml:space="preserve"> to treatment (“Time from transplant to LDL-A initiation”)</w:t>
      </w:r>
      <w:r>
        <w:rPr>
          <w:rFonts w:ascii="Arial" w:hAnsi="Arial" w:cs="Arial"/>
          <w:sz w:val="20"/>
          <w:szCs w:val="20"/>
        </w:rPr>
        <w:t xml:space="preserve">, the total number of LDL-A sessions administered, and the duration of weeks over which </w:t>
      </w:r>
      <w:r w:rsidR="00AB6D0D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LDL-A sessions were administered (“LDL-A Duration”). </w:t>
      </w:r>
      <w:r w:rsidR="00601F72">
        <w:rPr>
          <w:rFonts w:ascii="Arial" w:hAnsi="Arial" w:cs="Arial"/>
          <w:sz w:val="20"/>
          <w:szCs w:val="20"/>
        </w:rPr>
        <w:t>Sessions and duration were recorded as either a number or a range for each patient depending on how the values were reported in the original study.</w:t>
      </w:r>
      <w:r w:rsidR="00AB6D0D">
        <w:rPr>
          <w:rFonts w:ascii="Arial" w:hAnsi="Arial" w:cs="Arial"/>
          <w:sz w:val="20"/>
          <w:szCs w:val="20"/>
        </w:rPr>
        <w:t xml:space="preserve"> </w:t>
      </w:r>
      <w:r w:rsidR="006771F7">
        <w:rPr>
          <w:rFonts w:ascii="Arial" w:hAnsi="Arial" w:cs="Arial"/>
          <w:sz w:val="20"/>
          <w:szCs w:val="20"/>
        </w:rPr>
        <w:t xml:space="preserve">Missing values are indicated by “NR” (NR = not reported). </w:t>
      </w:r>
      <w:r w:rsidR="00AB6D0D">
        <w:rPr>
          <w:rFonts w:ascii="Arial" w:hAnsi="Arial" w:cs="Arial"/>
          <w:sz w:val="20"/>
          <w:szCs w:val="20"/>
        </w:rPr>
        <w:t>Treatments received in combination with LDL-A</w:t>
      </w:r>
      <w:r w:rsidR="006771F7">
        <w:rPr>
          <w:rFonts w:ascii="Arial" w:hAnsi="Arial" w:cs="Arial"/>
          <w:sz w:val="20"/>
          <w:szCs w:val="20"/>
        </w:rPr>
        <w:t xml:space="preserve"> as part of the protocol</w:t>
      </w:r>
      <w:r w:rsidR="00AB6D0D">
        <w:rPr>
          <w:rFonts w:ascii="Arial" w:hAnsi="Arial" w:cs="Arial"/>
          <w:sz w:val="20"/>
          <w:szCs w:val="20"/>
        </w:rPr>
        <w:t xml:space="preserve">, or </w:t>
      </w:r>
      <w:r w:rsidR="006771F7">
        <w:rPr>
          <w:rFonts w:ascii="Arial" w:hAnsi="Arial" w:cs="Arial"/>
          <w:sz w:val="20"/>
          <w:szCs w:val="20"/>
        </w:rPr>
        <w:t>any treatment received during</w:t>
      </w:r>
      <w:r w:rsidR="00AB6D0D">
        <w:rPr>
          <w:rFonts w:ascii="Arial" w:hAnsi="Arial" w:cs="Arial"/>
          <w:sz w:val="20"/>
          <w:szCs w:val="20"/>
        </w:rPr>
        <w:t xml:space="preserve"> the duration of LDL-A </w:t>
      </w:r>
      <w:r w:rsidR="00AB6D0D">
        <w:rPr>
          <w:rFonts w:ascii="Arial" w:hAnsi="Arial" w:cs="Arial"/>
          <w:sz w:val="20"/>
          <w:szCs w:val="20"/>
        </w:rPr>
        <w:t>(“Concomitant treatment(s)”)</w:t>
      </w:r>
      <w:r w:rsidR="006771F7">
        <w:rPr>
          <w:rFonts w:ascii="Arial" w:hAnsi="Arial" w:cs="Arial"/>
          <w:sz w:val="20"/>
          <w:szCs w:val="20"/>
        </w:rPr>
        <w:t>,</w:t>
      </w:r>
      <w:r w:rsidR="00AB6D0D">
        <w:rPr>
          <w:rFonts w:ascii="Arial" w:hAnsi="Arial" w:cs="Arial"/>
          <w:sz w:val="20"/>
          <w:szCs w:val="20"/>
        </w:rPr>
        <w:t xml:space="preserve"> are listed by patient as specific protocol</w:t>
      </w:r>
      <w:r w:rsidR="00C85CAF">
        <w:rPr>
          <w:rFonts w:ascii="Arial" w:hAnsi="Arial" w:cs="Arial"/>
          <w:sz w:val="20"/>
          <w:szCs w:val="20"/>
        </w:rPr>
        <w:t xml:space="preserve"> </w:t>
      </w:r>
      <w:r w:rsidR="006771F7">
        <w:rPr>
          <w:rFonts w:ascii="Arial" w:hAnsi="Arial" w:cs="Arial"/>
          <w:sz w:val="20"/>
          <w:szCs w:val="20"/>
        </w:rPr>
        <w:t>definitions</w:t>
      </w:r>
      <w:r w:rsidR="00C85CAF">
        <w:rPr>
          <w:rFonts w:ascii="Arial" w:hAnsi="Arial" w:cs="Arial"/>
          <w:sz w:val="20"/>
          <w:szCs w:val="20"/>
        </w:rPr>
        <w:t>, specific treatment details/notes for individual patients</w:t>
      </w:r>
      <w:r w:rsidR="006771F7">
        <w:rPr>
          <w:rFonts w:ascii="Arial" w:hAnsi="Arial" w:cs="Arial"/>
          <w:sz w:val="20"/>
          <w:szCs w:val="20"/>
        </w:rPr>
        <w:t xml:space="preserve">, </w:t>
      </w:r>
      <w:r w:rsidR="00AB6D0D">
        <w:rPr>
          <w:rFonts w:ascii="Arial" w:hAnsi="Arial" w:cs="Arial"/>
          <w:sz w:val="20"/>
          <w:szCs w:val="20"/>
        </w:rPr>
        <w:t xml:space="preserve">or </w:t>
      </w:r>
      <w:r w:rsidR="006771F7">
        <w:rPr>
          <w:rFonts w:ascii="Arial" w:hAnsi="Arial" w:cs="Arial"/>
          <w:sz w:val="20"/>
          <w:szCs w:val="20"/>
        </w:rPr>
        <w:t xml:space="preserve">as </w:t>
      </w:r>
      <w:r w:rsidR="00AB6D0D">
        <w:rPr>
          <w:rFonts w:ascii="Arial" w:hAnsi="Arial" w:cs="Arial"/>
          <w:sz w:val="20"/>
          <w:szCs w:val="20"/>
        </w:rPr>
        <w:t xml:space="preserve">non-specific </w:t>
      </w:r>
      <w:r w:rsidR="00C85CAF">
        <w:rPr>
          <w:rFonts w:ascii="Arial" w:hAnsi="Arial" w:cs="Arial"/>
          <w:sz w:val="20"/>
          <w:szCs w:val="20"/>
        </w:rPr>
        <w:t xml:space="preserve">protocol </w:t>
      </w:r>
      <w:r w:rsidR="006771F7">
        <w:rPr>
          <w:rFonts w:ascii="Arial" w:hAnsi="Arial" w:cs="Arial"/>
          <w:sz w:val="20"/>
          <w:szCs w:val="20"/>
        </w:rPr>
        <w:t>descriptions (indicated by phrases in quotation marks), a</w:t>
      </w:r>
      <w:r w:rsidR="00C85CAF">
        <w:rPr>
          <w:rFonts w:ascii="Arial" w:hAnsi="Arial" w:cs="Arial"/>
          <w:sz w:val="20"/>
          <w:szCs w:val="20"/>
        </w:rPr>
        <w:t>ll recorded as</w:t>
      </w:r>
      <w:r w:rsidR="006771F7">
        <w:rPr>
          <w:rFonts w:ascii="Arial" w:hAnsi="Arial" w:cs="Arial"/>
          <w:sz w:val="20"/>
          <w:szCs w:val="20"/>
        </w:rPr>
        <w:t xml:space="preserve"> written in the original study. </w:t>
      </w:r>
    </w:p>
    <w:sectPr w:rsidR="00D10F19" w:rsidRPr="00D10F19" w:rsidSect="00DE2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BF"/>
    <w:rsid w:val="0000007B"/>
    <w:rsid w:val="00062E79"/>
    <w:rsid w:val="000F7462"/>
    <w:rsid w:val="0012262C"/>
    <w:rsid w:val="0017747B"/>
    <w:rsid w:val="001E45F3"/>
    <w:rsid w:val="0022626B"/>
    <w:rsid w:val="00336152"/>
    <w:rsid w:val="0033713F"/>
    <w:rsid w:val="00344876"/>
    <w:rsid w:val="0037499D"/>
    <w:rsid w:val="00464514"/>
    <w:rsid w:val="00491B13"/>
    <w:rsid w:val="00493E78"/>
    <w:rsid w:val="0051524F"/>
    <w:rsid w:val="00544843"/>
    <w:rsid w:val="00597CA9"/>
    <w:rsid w:val="00601F72"/>
    <w:rsid w:val="00606D01"/>
    <w:rsid w:val="00615837"/>
    <w:rsid w:val="006560F8"/>
    <w:rsid w:val="006771F7"/>
    <w:rsid w:val="006E7EF6"/>
    <w:rsid w:val="00714DE2"/>
    <w:rsid w:val="007176E5"/>
    <w:rsid w:val="007B4AAC"/>
    <w:rsid w:val="00883B5E"/>
    <w:rsid w:val="00906F46"/>
    <w:rsid w:val="00964282"/>
    <w:rsid w:val="0097076E"/>
    <w:rsid w:val="009F70AE"/>
    <w:rsid w:val="00A014CD"/>
    <w:rsid w:val="00A228F8"/>
    <w:rsid w:val="00AB6D0D"/>
    <w:rsid w:val="00AC4BB4"/>
    <w:rsid w:val="00AE1076"/>
    <w:rsid w:val="00B437D7"/>
    <w:rsid w:val="00B45D4F"/>
    <w:rsid w:val="00B66BBF"/>
    <w:rsid w:val="00BB00D6"/>
    <w:rsid w:val="00C077FD"/>
    <w:rsid w:val="00C74193"/>
    <w:rsid w:val="00C85CAF"/>
    <w:rsid w:val="00D10F19"/>
    <w:rsid w:val="00D57271"/>
    <w:rsid w:val="00DC0509"/>
    <w:rsid w:val="00DE2FED"/>
    <w:rsid w:val="00E6575A"/>
    <w:rsid w:val="00E707FB"/>
    <w:rsid w:val="00E73FB7"/>
    <w:rsid w:val="00EA2B00"/>
    <w:rsid w:val="00F86302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47ABDA"/>
  <w15:chartTrackingRefBased/>
  <w15:docId w15:val="{FCBC0350-212F-2343-BFB7-C58583B6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BB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66B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B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B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B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B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BB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BB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BB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BB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B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B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B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BB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BB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BB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B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B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B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Emily T</dc:creator>
  <cp:keywords/>
  <dc:description/>
  <cp:lastModifiedBy>Hayes, Emily T</cp:lastModifiedBy>
  <cp:revision>8</cp:revision>
  <dcterms:created xsi:type="dcterms:W3CDTF">2025-11-13T00:38:00Z</dcterms:created>
  <dcterms:modified xsi:type="dcterms:W3CDTF">2025-11-13T01:10:00Z</dcterms:modified>
</cp:coreProperties>
</file>