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C03E" w14:textId="77777777" w:rsidR="008E76F5" w:rsidRDefault="008E76F5" w:rsidP="008E76F5">
      <w:pPr>
        <w:pStyle w:val="TitleSupplem"/>
      </w:pPr>
      <w:r w:rsidRPr="00E232A0">
        <w:t xml:space="preserve">Supplementary </w:t>
      </w:r>
      <w:r>
        <w:t>Information</w:t>
      </w:r>
    </w:p>
    <w:p w14:paraId="3DEECEA2" w14:textId="77777777" w:rsidR="008E76F5" w:rsidRPr="00BE01AC" w:rsidRDefault="008E76F5" w:rsidP="008E76F5">
      <w:pPr>
        <w:pStyle w:val="TitleOwn"/>
      </w:pPr>
      <w:r w:rsidRPr="00BE01AC">
        <w:t xml:space="preserve">Contrasting diurnal and seasonal root water uptake patterns among different plant life forms in a neotropical dry forest </w:t>
      </w:r>
    </w:p>
    <w:p w14:paraId="0D79FAF7" w14:textId="77777777" w:rsidR="008E76F5" w:rsidRDefault="008E76F5" w:rsidP="008E76F5">
      <w:pPr>
        <w:pStyle w:val="TitleOwn"/>
      </w:pPr>
      <w:r w:rsidRPr="00BE01AC">
        <w:t>(</w:t>
      </w:r>
      <w:r w:rsidRPr="00BE01AC">
        <w:rPr>
          <w:i/>
          <w:iCs/>
        </w:rPr>
        <w:t>Trees – Structure and Function</w:t>
      </w:r>
      <w:r w:rsidRPr="00BE01AC">
        <w:t>)</w:t>
      </w:r>
    </w:p>
    <w:p w14:paraId="1B9D8E9B" w14:textId="77777777" w:rsidR="008E76F5" w:rsidRDefault="008E76F5" w:rsidP="008E76F5">
      <w:pPr>
        <w:pStyle w:val="Authors"/>
      </w:pPr>
      <w:r w:rsidRPr="00E232A0">
        <w:t>Laura Würzberg</w:t>
      </w:r>
      <w:r w:rsidRPr="00E232A0">
        <w:rPr>
          <w:b/>
        </w:rPr>
        <w:t>*</w:t>
      </w:r>
      <w:r w:rsidRPr="00E232A0">
        <w:t>, Heinz Coners, Roger Mundry, Jürgen Homeier, Jorge Gonzaga, David Windhorst, Katja Trachte, Sebastian Scholz, Jörg Bendix, Christoph Leuschner</w:t>
      </w:r>
    </w:p>
    <w:p w14:paraId="06747E9E" w14:textId="77777777" w:rsidR="008E76F5" w:rsidRDefault="008E76F5" w:rsidP="008E76F5">
      <w:pPr>
        <w:pStyle w:val="CorrespAuthor"/>
      </w:pPr>
      <w:r w:rsidRPr="00E232A0">
        <w:rPr>
          <w:b/>
        </w:rPr>
        <w:t>*</w:t>
      </w:r>
      <w:r w:rsidRPr="00E232A0">
        <w:rPr>
          <w:b/>
          <w:vertAlign w:val="superscript"/>
        </w:rPr>
        <w:tab/>
      </w:r>
      <w:r w:rsidRPr="00E232A0">
        <w:rPr>
          <w:b/>
          <w:noProof/>
        </w:rPr>
        <w:t>corresponding autho</w:t>
      </w:r>
      <w:r w:rsidRPr="00E232A0">
        <w:rPr>
          <w:b/>
        </w:rPr>
        <w:t xml:space="preserve">r: </w:t>
      </w:r>
      <w:r w:rsidRPr="00E232A0">
        <w:t>Plant Ecology and Ecosystem Research, University of Göttingen, Göttingen,</w:t>
      </w:r>
      <w:r w:rsidRPr="00E232A0">
        <w:rPr>
          <w:b/>
        </w:rPr>
        <w:t xml:space="preserve"> </w:t>
      </w:r>
      <w:r w:rsidRPr="00E232A0">
        <w:t>Germany</w:t>
      </w:r>
      <w:r w:rsidRPr="00E232A0">
        <w:rPr>
          <w:b/>
        </w:rPr>
        <w:t xml:space="preserve">; </w:t>
      </w:r>
      <w:r>
        <w:t>laura.wuerzberg@biologie.uni-goettingen.de</w:t>
      </w:r>
    </w:p>
    <w:p w14:paraId="3E2A309E" w14:textId="77777777" w:rsidR="008E76F5" w:rsidRDefault="008E76F5" w:rsidP="008E76F5">
      <w:pPr>
        <w:pStyle w:val="Bild"/>
      </w:pPr>
      <w:r>
        <w:drawing>
          <wp:inline distT="0" distB="0" distL="0" distR="0" wp14:anchorId="6EB70C71" wp14:editId="7F654C00">
            <wp:extent cx="5040000" cy="252000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
                    <a:stretch>
                      <a:fillRect/>
                    </a:stretch>
                  </pic:blipFill>
                  <pic:spPr>
                    <a:xfrm>
                      <a:off x="0" y="0"/>
                      <a:ext cx="5040000" cy="2520000"/>
                    </a:xfrm>
                    <a:prstGeom prst="rect">
                      <a:avLst/>
                    </a:prstGeom>
                  </pic:spPr>
                </pic:pic>
              </a:graphicData>
            </a:graphic>
          </wp:inline>
        </w:drawing>
      </w:r>
    </w:p>
    <w:p w14:paraId="7397E03B" w14:textId="77777777" w:rsidR="008E76F5" w:rsidRDefault="008E76F5" w:rsidP="008E76F5">
      <w:pPr>
        <w:pStyle w:val="FigCaption"/>
        <w:rPr>
          <w:lang w:val="es-EC"/>
        </w:rPr>
      </w:pPr>
      <w:bookmarkStart w:id="0" w:name="_Hlk213327208"/>
      <w:r w:rsidRPr="007441EC">
        <w:rPr>
          <w:b/>
        </w:rPr>
        <w:t>Fig. S1</w:t>
      </w:r>
      <w:r>
        <w:rPr>
          <w:b/>
        </w:rPr>
        <w:tab/>
      </w:r>
      <w:r w:rsidRPr="007441EC">
        <w:t xml:space="preserve">Root sap flux density in </w:t>
      </w:r>
      <w:r w:rsidRPr="007441EC">
        <w:rPr>
          <w:i/>
          <w:iCs/>
        </w:rPr>
        <w:t>Eriotheca ruizii</w:t>
      </w:r>
      <w:r w:rsidRPr="007441EC">
        <w:t xml:space="preserve"> as a function of radiation (left, </w:t>
      </w:r>
      <w:r w:rsidRPr="007441EC">
        <w:rPr>
          <w:i/>
          <w:iCs/>
          <w:lang w:val="es-EC"/>
        </w:rPr>
        <w:t>R</w:t>
      </w:r>
      <w:r w:rsidRPr="007441EC">
        <w:rPr>
          <w:i/>
          <w:iCs/>
          <w:vertAlign w:val="superscript"/>
          <w:lang w:val="es-EC"/>
        </w:rPr>
        <w:t>2</w:t>
      </w:r>
      <w:r w:rsidRPr="007441EC">
        <w:rPr>
          <w:lang w:val="es-EC"/>
        </w:rPr>
        <w:t xml:space="preserve">=0.03, </w:t>
      </w:r>
      <w:r w:rsidRPr="007441EC">
        <w:rPr>
          <w:i/>
          <w:iCs/>
        </w:rPr>
        <w:t>P&lt;0.001</w:t>
      </w:r>
      <w:r w:rsidRPr="007441EC">
        <w:t xml:space="preserve">), time of day (middle, </w:t>
      </w:r>
      <w:r w:rsidRPr="007441EC">
        <w:rPr>
          <w:i/>
          <w:iCs/>
          <w:lang w:val="es-EC"/>
        </w:rPr>
        <w:t>R</w:t>
      </w:r>
      <w:r w:rsidRPr="007441EC">
        <w:rPr>
          <w:i/>
          <w:iCs/>
          <w:vertAlign w:val="superscript"/>
          <w:lang w:val="es-EC"/>
        </w:rPr>
        <w:t>2</w:t>
      </w:r>
      <w:r w:rsidRPr="007441EC">
        <w:rPr>
          <w:lang w:val="es-EC"/>
        </w:rPr>
        <w:t xml:space="preserve">=0.001, </w:t>
      </w:r>
      <w:r w:rsidRPr="007441EC">
        <w:rPr>
          <w:i/>
          <w:iCs/>
        </w:rPr>
        <w:t>P&lt;0.001</w:t>
      </w:r>
      <w:r w:rsidRPr="007441EC">
        <w:t>)</w:t>
      </w:r>
      <w:r>
        <w:t>,</w:t>
      </w:r>
      <w:r w:rsidRPr="007441EC">
        <w:t xml:space="preserve"> and crown status (right, </w:t>
      </w:r>
      <w:r w:rsidRPr="007441EC">
        <w:rPr>
          <w:i/>
          <w:iCs/>
          <w:lang w:val="es-EC"/>
        </w:rPr>
        <w:t>R</w:t>
      </w:r>
      <w:r w:rsidRPr="007441EC">
        <w:rPr>
          <w:i/>
          <w:iCs/>
          <w:vertAlign w:val="superscript"/>
          <w:lang w:val="es-EC"/>
        </w:rPr>
        <w:t>2</w:t>
      </w:r>
      <w:r w:rsidRPr="007441EC">
        <w:rPr>
          <w:lang w:val="es-EC"/>
        </w:rPr>
        <w:t xml:space="preserve">=0.02, </w:t>
      </w:r>
      <w:r w:rsidRPr="007441EC">
        <w:rPr>
          <w:i/>
          <w:iCs/>
        </w:rPr>
        <w:t>P&lt;0.001</w:t>
      </w:r>
      <w:r w:rsidRPr="007441EC">
        <w:t xml:space="preserve">). </w:t>
      </w:r>
      <w:r>
        <w:t>L</w:t>
      </w:r>
      <w:r w:rsidRPr="007441EC">
        <w:t>ines show the fitted model with all other predictors, being at their average. The extremely narrow confidence limits (see Table 1) are not displayed</w:t>
      </w:r>
      <w:r>
        <w:t xml:space="preserve"> </w:t>
      </w:r>
      <w:r w:rsidRPr="007441EC">
        <w:rPr>
          <w:lang w:val="es-EC"/>
        </w:rPr>
        <w:t>(</w:t>
      </w:r>
      <w:r w:rsidRPr="007441EC">
        <w:rPr>
          <w:i/>
          <w:iCs/>
          <w:lang w:val="es-EC"/>
        </w:rPr>
        <w:t>n</w:t>
      </w:r>
      <w:r w:rsidRPr="007441EC">
        <w:rPr>
          <w:lang w:val="es-EC"/>
        </w:rPr>
        <w:t>=</w:t>
      </w:r>
      <w:r w:rsidRPr="007441EC">
        <w:rPr>
          <w:color w:val="000000" w:themeColor="text1"/>
        </w:rPr>
        <w:t>23529</w:t>
      </w:r>
      <w:r w:rsidRPr="007441EC">
        <w:rPr>
          <w:lang w:val="es-EC"/>
        </w:rPr>
        <w:t>)</w:t>
      </w:r>
      <w:bookmarkEnd w:id="0"/>
    </w:p>
    <w:p w14:paraId="24823889" w14:textId="77777777" w:rsidR="008E76F5" w:rsidRDefault="008E76F5" w:rsidP="008E76F5">
      <w:pPr>
        <w:pStyle w:val="Bild"/>
        <w:rPr>
          <w:lang w:val="es-EC"/>
        </w:rPr>
      </w:pPr>
      <w:r>
        <w:rPr>
          <w:lang w:val="es-EC"/>
        </w:rPr>
        <w:drawing>
          <wp:inline distT="0" distB="0" distL="0" distR="0" wp14:anchorId="6C218D10" wp14:editId="5E2DA2C2">
            <wp:extent cx="3600000" cy="2400000"/>
            <wp:effectExtent l="0" t="0" r="63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
                    <a:stretch>
                      <a:fillRect/>
                    </a:stretch>
                  </pic:blipFill>
                  <pic:spPr>
                    <a:xfrm>
                      <a:off x="0" y="0"/>
                      <a:ext cx="3600000" cy="2400000"/>
                    </a:xfrm>
                    <a:prstGeom prst="rect">
                      <a:avLst/>
                    </a:prstGeom>
                  </pic:spPr>
                </pic:pic>
              </a:graphicData>
            </a:graphic>
          </wp:inline>
        </w:drawing>
      </w:r>
    </w:p>
    <w:p w14:paraId="32BFB869" w14:textId="77777777" w:rsidR="008E76F5" w:rsidRDefault="008E76F5" w:rsidP="008E76F5">
      <w:pPr>
        <w:pStyle w:val="FigCaption"/>
        <w:rPr>
          <w:lang w:val="es-EC"/>
        </w:rPr>
        <w:sectPr w:rsidR="008E76F5" w:rsidSect="008E76F5">
          <w:pgSz w:w="12701" w:h="16840"/>
          <w:pgMar w:top="1418" w:right="1418" w:bottom="1134" w:left="1418" w:header="709" w:footer="709" w:gutter="0"/>
          <w:cols w:space="708"/>
          <w:docGrid w:linePitch="360"/>
        </w:sectPr>
      </w:pPr>
      <w:r w:rsidRPr="00F9088C">
        <w:rPr>
          <w:b/>
        </w:rPr>
        <w:lastRenderedPageBreak/>
        <w:t>Fig. S2</w:t>
      </w:r>
      <w:r w:rsidRPr="00F9088C">
        <w:tab/>
        <w:t xml:space="preserve">Root sap flux density in </w:t>
      </w:r>
      <w:r w:rsidRPr="00F9088C">
        <w:rPr>
          <w:i/>
          <w:iCs/>
        </w:rPr>
        <w:t>Amatocereus laetus</w:t>
      </w:r>
      <w:r w:rsidRPr="00F9088C">
        <w:t xml:space="preserve"> as a function of radiation intensity (left,</w:t>
      </w:r>
      <w:r w:rsidRPr="00F9088C">
        <w:rPr>
          <w:i/>
          <w:iCs/>
          <w:lang w:val="es-EC"/>
        </w:rPr>
        <w:t xml:space="preserve"> R</w:t>
      </w:r>
      <w:r w:rsidRPr="00F9088C">
        <w:rPr>
          <w:i/>
          <w:iCs/>
          <w:vertAlign w:val="superscript"/>
          <w:lang w:val="es-EC"/>
        </w:rPr>
        <w:t>2</w:t>
      </w:r>
      <w:r w:rsidRPr="00F9088C">
        <w:rPr>
          <w:lang w:val="es-EC"/>
        </w:rPr>
        <w:t xml:space="preserve">=0.007, </w:t>
      </w:r>
      <w:r w:rsidRPr="00F9088C">
        <w:rPr>
          <w:i/>
          <w:iCs/>
        </w:rPr>
        <w:t>P=0.256</w:t>
      </w:r>
      <w:r w:rsidRPr="00F9088C">
        <w:t xml:space="preserve">) and time of day (right, </w:t>
      </w:r>
      <w:r w:rsidRPr="00F9088C">
        <w:rPr>
          <w:i/>
          <w:iCs/>
          <w:lang w:val="es-EC"/>
        </w:rPr>
        <w:t>R</w:t>
      </w:r>
      <w:r w:rsidRPr="00F9088C">
        <w:rPr>
          <w:i/>
          <w:iCs/>
          <w:vertAlign w:val="superscript"/>
          <w:lang w:val="es-EC"/>
        </w:rPr>
        <w:t>2</w:t>
      </w:r>
      <w:r w:rsidRPr="00F9088C">
        <w:rPr>
          <w:lang w:val="es-EC"/>
        </w:rPr>
        <w:t xml:space="preserve">=0.001, </w:t>
      </w:r>
      <w:r w:rsidRPr="00F9088C">
        <w:rPr>
          <w:i/>
          <w:iCs/>
        </w:rPr>
        <w:t>P&lt;0.001</w:t>
      </w:r>
      <w:r w:rsidRPr="00F9088C">
        <w:t xml:space="preserve">). </w:t>
      </w:r>
      <w:r>
        <w:t>L</w:t>
      </w:r>
      <w:r w:rsidRPr="00F9088C">
        <w:t xml:space="preserve">ines show the fitted model with all other predictors being at their </w:t>
      </w:r>
      <w:r w:rsidRPr="00892012">
        <w:t>average</w:t>
      </w:r>
      <w:r>
        <w:t>. D</w:t>
      </w:r>
      <w:r w:rsidRPr="00892012">
        <w:t>otted lines</w:t>
      </w:r>
      <w:r>
        <w:t xml:space="preserve"> show</w:t>
      </w:r>
      <w:r w:rsidRPr="00892012">
        <w:t xml:space="preserve"> </w:t>
      </w:r>
      <w:r>
        <w:t xml:space="preserve">the </w:t>
      </w:r>
      <w:r w:rsidRPr="00892012">
        <w:t>95% confidence intervals</w:t>
      </w:r>
      <w:r>
        <w:t>.</w:t>
      </w:r>
      <w:r w:rsidRPr="00892012">
        <w:t xml:space="preserve"> (</w:t>
      </w:r>
      <w:r w:rsidRPr="00892012">
        <w:rPr>
          <w:i/>
          <w:iCs/>
          <w:lang w:val="es-EC"/>
        </w:rPr>
        <w:t>n</w:t>
      </w:r>
      <w:r w:rsidRPr="00892012">
        <w:rPr>
          <w:lang w:val="es-EC"/>
        </w:rPr>
        <w:t>=</w:t>
      </w:r>
      <w:r w:rsidRPr="00F9088C">
        <w:rPr>
          <w:lang w:val="es-EC"/>
        </w:rPr>
        <w:t>974</w:t>
      </w:r>
      <w:r>
        <w:rPr>
          <w:lang w:val="es-EC"/>
        </w:rPr>
        <w:t>)</w:t>
      </w:r>
    </w:p>
    <w:p w14:paraId="0012696B" w14:textId="77777777" w:rsidR="008E76F5" w:rsidRPr="00F9088C" w:rsidRDefault="008E76F5" w:rsidP="008E76F5">
      <w:pPr>
        <w:pStyle w:val="FigCaption"/>
      </w:pPr>
      <w:r w:rsidRPr="00F9088C">
        <w:rPr>
          <w:b/>
        </w:rPr>
        <w:lastRenderedPageBreak/>
        <w:t>Table S1</w:t>
      </w:r>
      <w:r>
        <w:t xml:space="preserve"> </w:t>
      </w:r>
      <w:r w:rsidRPr="00F9088C">
        <w:t xml:space="preserve">Results of the root sap flux model for </w:t>
      </w:r>
      <w:r w:rsidRPr="00F9088C">
        <w:rPr>
          <w:i/>
          <w:iCs/>
        </w:rPr>
        <w:t>Amatocereus laetus</w:t>
      </w:r>
      <w:r w:rsidRPr="00F9088C">
        <w:t xml:space="preserve"> with the interaction between VPD and SWC included. Given are estimates, their standard errors, 95% confidence intervals, and results of significance tests for the </w:t>
      </w:r>
      <w:r>
        <w:t>predictors</w:t>
      </w:r>
      <w:r w:rsidRPr="00F9088C">
        <w:t xml:space="preserve"> VPD, SWC</w:t>
      </w:r>
      <w:r>
        <w:t xml:space="preserve">, </w:t>
      </w:r>
      <w:r w:rsidRPr="00F9088C">
        <w:t>time of day, radiation intensity</w:t>
      </w:r>
      <w:r>
        <w:t>, and the VPD x SWC interaction</w:t>
      </w:r>
      <w:r w:rsidRPr="00F9088C">
        <w:t>. Also given are minimum and maximum values of model estimates obtained by the of individual sap flux measurements from the model</w:t>
      </w:r>
      <w:r>
        <w:t>, one at a time</w:t>
      </w:r>
    </w:p>
    <w:tbl>
      <w:tblPr>
        <w:tblStyle w:val="TableGrid"/>
        <w:tblW w:w="9886" w:type="dxa"/>
        <w:tblLayout w:type="fixed"/>
        <w:tblLook w:val="04A0" w:firstRow="1" w:lastRow="0" w:firstColumn="1" w:lastColumn="0" w:noHBand="0" w:noVBand="1"/>
      </w:tblPr>
      <w:tblGrid>
        <w:gridCol w:w="1700"/>
        <w:gridCol w:w="1081"/>
        <w:gridCol w:w="926"/>
        <w:gridCol w:w="927"/>
        <w:gridCol w:w="926"/>
        <w:gridCol w:w="772"/>
        <w:gridCol w:w="772"/>
        <w:gridCol w:w="926"/>
        <w:gridCol w:w="927"/>
        <w:gridCol w:w="929"/>
      </w:tblGrid>
      <w:tr w:rsidR="008E76F5" w14:paraId="4BE94B92" w14:textId="77777777" w:rsidTr="008A39B9">
        <w:trPr>
          <w:trHeight w:val="320"/>
        </w:trPr>
        <w:tc>
          <w:tcPr>
            <w:tcW w:w="1700" w:type="dxa"/>
            <w:tcBorders>
              <w:top w:val="single" w:sz="4" w:space="0" w:color="auto"/>
              <w:bottom w:val="single" w:sz="12" w:space="0" w:color="auto"/>
            </w:tcBorders>
            <w:vAlign w:val="center"/>
          </w:tcPr>
          <w:p w14:paraId="5D62D61B" w14:textId="77777777" w:rsidR="008E76F5" w:rsidRDefault="008E76F5" w:rsidP="008A39B9">
            <w:r>
              <w:t>term</w:t>
            </w:r>
          </w:p>
        </w:tc>
        <w:tc>
          <w:tcPr>
            <w:tcW w:w="1081" w:type="dxa"/>
            <w:tcBorders>
              <w:top w:val="single" w:sz="4" w:space="0" w:color="auto"/>
              <w:bottom w:val="single" w:sz="12" w:space="0" w:color="auto"/>
            </w:tcBorders>
            <w:vAlign w:val="center"/>
          </w:tcPr>
          <w:p w14:paraId="33BCB868" w14:textId="77777777" w:rsidR="008E76F5" w:rsidRDefault="008E76F5" w:rsidP="008A39B9">
            <w:pPr>
              <w:jc w:val="right"/>
            </w:pPr>
            <w:r>
              <w:t>estimate</w:t>
            </w:r>
          </w:p>
        </w:tc>
        <w:tc>
          <w:tcPr>
            <w:tcW w:w="926" w:type="dxa"/>
            <w:tcBorders>
              <w:top w:val="single" w:sz="4" w:space="0" w:color="auto"/>
              <w:bottom w:val="single" w:sz="12" w:space="0" w:color="auto"/>
            </w:tcBorders>
            <w:vAlign w:val="center"/>
          </w:tcPr>
          <w:p w14:paraId="69FB32CA" w14:textId="77777777" w:rsidR="008E76F5" w:rsidRDefault="008E76F5" w:rsidP="008A39B9">
            <w:pPr>
              <w:jc w:val="right"/>
            </w:pPr>
            <w:r>
              <w:t>SE</w:t>
            </w:r>
          </w:p>
        </w:tc>
        <w:tc>
          <w:tcPr>
            <w:tcW w:w="927" w:type="dxa"/>
            <w:tcBorders>
              <w:top w:val="single" w:sz="4" w:space="0" w:color="auto"/>
              <w:bottom w:val="single" w:sz="12" w:space="0" w:color="auto"/>
            </w:tcBorders>
            <w:vAlign w:val="center"/>
          </w:tcPr>
          <w:p w14:paraId="64D85462" w14:textId="77777777" w:rsidR="008E76F5" w:rsidRPr="007E5164" w:rsidRDefault="008E76F5" w:rsidP="008A39B9">
            <w:pPr>
              <w:jc w:val="right"/>
              <w:rPr>
                <w:noProof/>
                <w:lang w:val="en-GB"/>
              </w:rPr>
            </w:pPr>
            <w:r w:rsidRPr="007E5164">
              <w:rPr>
                <w:noProof/>
                <w:lang w:val="en-GB"/>
              </w:rPr>
              <w:t>CI</w:t>
            </w:r>
            <w:r w:rsidRPr="007E5164">
              <w:rPr>
                <w:noProof/>
                <w:vertAlign w:val="subscript"/>
                <w:lang w:val="en-GB"/>
              </w:rPr>
              <w:t>lower</w:t>
            </w:r>
          </w:p>
        </w:tc>
        <w:tc>
          <w:tcPr>
            <w:tcW w:w="926" w:type="dxa"/>
            <w:tcBorders>
              <w:top w:val="single" w:sz="4" w:space="0" w:color="auto"/>
              <w:bottom w:val="single" w:sz="12" w:space="0" w:color="auto"/>
            </w:tcBorders>
            <w:vAlign w:val="center"/>
          </w:tcPr>
          <w:p w14:paraId="5A2A2E1C" w14:textId="77777777" w:rsidR="008E76F5" w:rsidRPr="007E5164" w:rsidRDefault="008E76F5" w:rsidP="008A39B9">
            <w:pPr>
              <w:jc w:val="right"/>
              <w:rPr>
                <w:noProof/>
                <w:lang w:val="en-GB"/>
              </w:rPr>
            </w:pPr>
            <w:r w:rsidRPr="007E5164">
              <w:rPr>
                <w:noProof/>
                <w:lang w:val="en-GB"/>
              </w:rPr>
              <w:t>CI</w:t>
            </w:r>
            <w:r w:rsidRPr="007E5164">
              <w:rPr>
                <w:noProof/>
                <w:vertAlign w:val="subscript"/>
                <w:lang w:val="en-GB"/>
              </w:rPr>
              <w:t>upper</w:t>
            </w:r>
          </w:p>
        </w:tc>
        <w:tc>
          <w:tcPr>
            <w:tcW w:w="772" w:type="dxa"/>
            <w:tcBorders>
              <w:top w:val="single" w:sz="4" w:space="0" w:color="auto"/>
              <w:bottom w:val="single" w:sz="12" w:space="0" w:color="auto"/>
            </w:tcBorders>
            <w:vAlign w:val="center"/>
          </w:tcPr>
          <w:p w14:paraId="1F37C157" w14:textId="77777777" w:rsidR="008E76F5" w:rsidRDefault="008E76F5" w:rsidP="008A39B9">
            <w:pPr>
              <w:jc w:val="right"/>
            </w:pPr>
            <w:r>
              <w:rPr>
                <w:i/>
                <w:iCs/>
              </w:rPr>
              <w:t>F</w:t>
            </w:r>
          </w:p>
        </w:tc>
        <w:tc>
          <w:tcPr>
            <w:tcW w:w="772" w:type="dxa"/>
            <w:tcBorders>
              <w:top w:val="single" w:sz="4" w:space="0" w:color="auto"/>
              <w:bottom w:val="single" w:sz="12" w:space="0" w:color="auto"/>
            </w:tcBorders>
            <w:vAlign w:val="center"/>
          </w:tcPr>
          <w:p w14:paraId="3900DFED" w14:textId="77777777" w:rsidR="008E76F5" w:rsidRPr="00CD59D2" w:rsidRDefault="008E76F5" w:rsidP="008A39B9">
            <w:pPr>
              <w:jc w:val="right"/>
              <w:rPr>
                <w:i/>
                <w:iCs/>
              </w:rPr>
            </w:pPr>
            <w:proofErr w:type="spellStart"/>
            <w:r>
              <w:rPr>
                <w:i/>
                <w:iCs/>
              </w:rPr>
              <w:t>df</w:t>
            </w:r>
            <w:proofErr w:type="spellEnd"/>
          </w:p>
        </w:tc>
        <w:tc>
          <w:tcPr>
            <w:tcW w:w="926" w:type="dxa"/>
            <w:tcBorders>
              <w:top w:val="single" w:sz="4" w:space="0" w:color="auto"/>
              <w:bottom w:val="single" w:sz="12" w:space="0" w:color="auto"/>
            </w:tcBorders>
            <w:vAlign w:val="center"/>
          </w:tcPr>
          <w:p w14:paraId="719B5F36" w14:textId="77777777" w:rsidR="008E76F5" w:rsidRPr="00CD59D2" w:rsidRDefault="008E76F5" w:rsidP="008A39B9">
            <w:pPr>
              <w:jc w:val="right"/>
              <w:rPr>
                <w:i/>
                <w:iCs/>
              </w:rPr>
            </w:pPr>
            <w:r w:rsidRPr="00CD59D2">
              <w:rPr>
                <w:i/>
                <w:iCs/>
              </w:rPr>
              <w:t>P</w:t>
            </w:r>
          </w:p>
        </w:tc>
        <w:tc>
          <w:tcPr>
            <w:tcW w:w="927" w:type="dxa"/>
            <w:tcBorders>
              <w:top w:val="single" w:sz="4" w:space="0" w:color="auto"/>
              <w:bottom w:val="single" w:sz="12" w:space="0" w:color="auto"/>
            </w:tcBorders>
            <w:vAlign w:val="center"/>
          </w:tcPr>
          <w:p w14:paraId="70A08BD5" w14:textId="77777777" w:rsidR="008E76F5" w:rsidRDefault="008E76F5" w:rsidP="008A39B9">
            <w:pPr>
              <w:jc w:val="right"/>
            </w:pPr>
            <w:r>
              <w:t>min</w:t>
            </w:r>
          </w:p>
        </w:tc>
        <w:tc>
          <w:tcPr>
            <w:tcW w:w="926" w:type="dxa"/>
            <w:tcBorders>
              <w:top w:val="single" w:sz="4" w:space="0" w:color="auto"/>
              <w:bottom w:val="single" w:sz="12" w:space="0" w:color="auto"/>
            </w:tcBorders>
            <w:vAlign w:val="center"/>
          </w:tcPr>
          <w:p w14:paraId="5A2155E6" w14:textId="77777777" w:rsidR="008E76F5" w:rsidRDefault="008E76F5" w:rsidP="008A39B9">
            <w:pPr>
              <w:jc w:val="right"/>
            </w:pPr>
            <w:r>
              <w:t>max</w:t>
            </w:r>
          </w:p>
        </w:tc>
      </w:tr>
      <w:tr w:rsidR="008E76F5" w14:paraId="4D156F71" w14:textId="77777777" w:rsidTr="008A39B9">
        <w:trPr>
          <w:trHeight w:val="320"/>
        </w:trPr>
        <w:tc>
          <w:tcPr>
            <w:tcW w:w="1700" w:type="dxa"/>
            <w:tcBorders>
              <w:top w:val="single" w:sz="12" w:space="0" w:color="auto"/>
            </w:tcBorders>
            <w:vAlign w:val="center"/>
          </w:tcPr>
          <w:p w14:paraId="5004F2E9" w14:textId="77777777" w:rsidR="008E76F5" w:rsidRPr="00CD59D2" w:rsidRDefault="008E76F5" w:rsidP="008A39B9">
            <w:pPr>
              <w:rPr>
                <w:b/>
                <w:bCs/>
              </w:rPr>
            </w:pPr>
            <w:r w:rsidRPr="00CD59D2">
              <w:rPr>
                <w:rFonts w:cs="Arial"/>
                <w:color w:val="000000"/>
                <w:szCs w:val="20"/>
              </w:rPr>
              <w:t>(Intercept)</w:t>
            </w:r>
          </w:p>
        </w:tc>
        <w:tc>
          <w:tcPr>
            <w:tcW w:w="1081" w:type="dxa"/>
            <w:tcBorders>
              <w:top w:val="single" w:sz="12" w:space="0" w:color="auto"/>
            </w:tcBorders>
            <w:vAlign w:val="center"/>
          </w:tcPr>
          <w:p w14:paraId="68E7AA6F" w14:textId="77777777" w:rsidR="008E76F5" w:rsidRPr="007E5164" w:rsidRDefault="008E76F5" w:rsidP="008A39B9">
            <w:pPr>
              <w:jc w:val="right"/>
              <w:rPr>
                <w:rFonts w:cs="Arial"/>
                <w:color w:val="000000"/>
                <w:sz w:val="18"/>
                <w:szCs w:val="18"/>
              </w:rPr>
            </w:pPr>
            <w:r w:rsidRPr="007E5164">
              <w:rPr>
                <w:rFonts w:cs="Arial"/>
                <w:color w:val="000000"/>
                <w:sz w:val="18"/>
                <w:szCs w:val="18"/>
              </w:rPr>
              <w:t>-0.</w:t>
            </w:r>
            <w:r>
              <w:rPr>
                <w:rFonts w:cs="Arial"/>
                <w:color w:val="000000"/>
                <w:sz w:val="18"/>
                <w:szCs w:val="18"/>
              </w:rPr>
              <w:t>603</w:t>
            </w:r>
          </w:p>
        </w:tc>
        <w:tc>
          <w:tcPr>
            <w:tcW w:w="926" w:type="dxa"/>
            <w:tcBorders>
              <w:top w:val="single" w:sz="12" w:space="0" w:color="auto"/>
            </w:tcBorders>
            <w:vAlign w:val="center"/>
          </w:tcPr>
          <w:p w14:paraId="1A8263B4" w14:textId="77777777" w:rsidR="008E76F5" w:rsidRPr="007E5164" w:rsidRDefault="008E76F5" w:rsidP="008A39B9">
            <w:pPr>
              <w:jc w:val="right"/>
              <w:rPr>
                <w:rFonts w:cs="Arial"/>
                <w:color w:val="000000"/>
                <w:sz w:val="18"/>
                <w:szCs w:val="18"/>
              </w:rPr>
            </w:pPr>
            <w:r w:rsidRPr="007E5164">
              <w:rPr>
                <w:rFonts w:cs="Arial"/>
                <w:color w:val="000000"/>
                <w:sz w:val="18"/>
                <w:szCs w:val="18"/>
              </w:rPr>
              <w:t>0.15</w:t>
            </w:r>
            <w:r>
              <w:rPr>
                <w:rFonts w:cs="Arial"/>
                <w:color w:val="000000"/>
                <w:sz w:val="18"/>
                <w:szCs w:val="18"/>
              </w:rPr>
              <w:t>7</w:t>
            </w:r>
          </w:p>
        </w:tc>
        <w:tc>
          <w:tcPr>
            <w:tcW w:w="927" w:type="dxa"/>
            <w:tcBorders>
              <w:top w:val="single" w:sz="12" w:space="0" w:color="auto"/>
            </w:tcBorders>
            <w:vAlign w:val="center"/>
          </w:tcPr>
          <w:p w14:paraId="1737C224" w14:textId="77777777" w:rsidR="008E76F5" w:rsidRDefault="008E76F5" w:rsidP="008A39B9">
            <w:pPr>
              <w:jc w:val="right"/>
            </w:pPr>
          </w:p>
        </w:tc>
        <w:tc>
          <w:tcPr>
            <w:tcW w:w="926" w:type="dxa"/>
            <w:tcBorders>
              <w:top w:val="single" w:sz="12" w:space="0" w:color="auto"/>
            </w:tcBorders>
            <w:vAlign w:val="center"/>
          </w:tcPr>
          <w:p w14:paraId="511F9912" w14:textId="77777777" w:rsidR="008E76F5" w:rsidRDefault="008E76F5" w:rsidP="008A39B9">
            <w:pPr>
              <w:jc w:val="right"/>
            </w:pPr>
          </w:p>
        </w:tc>
        <w:tc>
          <w:tcPr>
            <w:tcW w:w="772" w:type="dxa"/>
            <w:tcBorders>
              <w:top w:val="single" w:sz="12" w:space="0" w:color="auto"/>
            </w:tcBorders>
            <w:vAlign w:val="center"/>
          </w:tcPr>
          <w:p w14:paraId="44403802" w14:textId="77777777" w:rsidR="008E76F5" w:rsidRDefault="008E76F5" w:rsidP="008A39B9">
            <w:pPr>
              <w:jc w:val="right"/>
            </w:pPr>
          </w:p>
        </w:tc>
        <w:tc>
          <w:tcPr>
            <w:tcW w:w="772" w:type="dxa"/>
            <w:tcBorders>
              <w:top w:val="single" w:sz="12" w:space="0" w:color="auto"/>
            </w:tcBorders>
            <w:vAlign w:val="center"/>
          </w:tcPr>
          <w:p w14:paraId="6EB170DA" w14:textId="77777777" w:rsidR="008E76F5" w:rsidRDefault="008E76F5" w:rsidP="008A39B9">
            <w:pPr>
              <w:jc w:val="right"/>
            </w:pPr>
          </w:p>
        </w:tc>
        <w:tc>
          <w:tcPr>
            <w:tcW w:w="926" w:type="dxa"/>
            <w:tcBorders>
              <w:top w:val="single" w:sz="12" w:space="0" w:color="auto"/>
            </w:tcBorders>
            <w:vAlign w:val="center"/>
          </w:tcPr>
          <w:p w14:paraId="28434A04" w14:textId="77777777" w:rsidR="008E76F5" w:rsidRDefault="008E76F5" w:rsidP="008A39B9">
            <w:pPr>
              <w:jc w:val="right"/>
            </w:pPr>
          </w:p>
        </w:tc>
        <w:tc>
          <w:tcPr>
            <w:tcW w:w="927" w:type="dxa"/>
            <w:tcBorders>
              <w:top w:val="single" w:sz="12" w:space="0" w:color="auto"/>
            </w:tcBorders>
            <w:vAlign w:val="center"/>
          </w:tcPr>
          <w:p w14:paraId="387B47CE" w14:textId="77777777" w:rsidR="008E76F5" w:rsidRPr="0080769D" w:rsidRDefault="008E76F5" w:rsidP="008A39B9">
            <w:pPr>
              <w:jc w:val="right"/>
              <w:rPr>
                <w:rFonts w:cs="Arial"/>
                <w:color w:val="000000"/>
                <w:sz w:val="18"/>
                <w:szCs w:val="18"/>
              </w:rPr>
            </w:pPr>
            <w:r w:rsidRPr="0080769D">
              <w:rPr>
                <w:rFonts w:cs="Arial"/>
                <w:color w:val="000000"/>
                <w:sz w:val="18"/>
                <w:szCs w:val="18"/>
              </w:rPr>
              <w:t>-0.</w:t>
            </w:r>
            <w:r>
              <w:rPr>
                <w:rFonts w:cs="Arial"/>
                <w:color w:val="000000"/>
                <w:sz w:val="18"/>
                <w:szCs w:val="18"/>
              </w:rPr>
              <w:t>621</w:t>
            </w:r>
          </w:p>
        </w:tc>
        <w:tc>
          <w:tcPr>
            <w:tcW w:w="926" w:type="dxa"/>
            <w:tcBorders>
              <w:top w:val="single" w:sz="12" w:space="0" w:color="auto"/>
            </w:tcBorders>
            <w:vAlign w:val="center"/>
          </w:tcPr>
          <w:p w14:paraId="6C7E8732" w14:textId="77777777" w:rsidR="008E76F5" w:rsidRPr="0080769D" w:rsidRDefault="008E76F5" w:rsidP="008A39B9">
            <w:pPr>
              <w:jc w:val="right"/>
              <w:rPr>
                <w:rFonts w:cs="Arial"/>
                <w:color w:val="000000"/>
                <w:sz w:val="18"/>
                <w:szCs w:val="18"/>
              </w:rPr>
            </w:pPr>
            <w:r w:rsidRPr="0080769D">
              <w:rPr>
                <w:rFonts w:cs="Arial"/>
                <w:color w:val="000000"/>
                <w:sz w:val="18"/>
                <w:szCs w:val="18"/>
              </w:rPr>
              <w:t>-0.</w:t>
            </w:r>
            <w:r>
              <w:rPr>
                <w:rFonts w:cs="Arial"/>
                <w:color w:val="000000"/>
                <w:sz w:val="18"/>
                <w:szCs w:val="18"/>
              </w:rPr>
              <w:t>548</w:t>
            </w:r>
          </w:p>
        </w:tc>
      </w:tr>
      <w:tr w:rsidR="008E76F5" w14:paraId="4E53D371" w14:textId="77777777" w:rsidTr="008A39B9">
        <w:trPr>
          <w:trHeight w:val="320"/>
        </w:trPr>
        <w:tc>
          <w:tcPr>
            <w:tcW w:w="1700" w:type="dxa"/>
            <w:vAlign w:val="center"/>
          </w:tcPr>
          <w:p w14:paraId="4A6119A4" w14:textId="77777777" w:rsidR="008E76F5" w:rsidRPr="00CD59D2" w:rsidRDefault="008E76F5" w:rsidP="008A39B9">
            <w:pPr>
              <w:rPr>
                <w:rFonts w:cs="Arial"/>
                <w:b/>
                <w:bCs/>
                <w:color w:val="000000"/>
                <w:szCs w:val="20"/>
              </w:rPr>
            </w:pPr>
            <w:r w:rsidRPr="00CD59D2">
              <w:rPr>
                <w:rFonts w:cs="Arial"/>
                <w:color w:val="000000"/>
                <w:szCs w:val="20"/>
              </w:rPr>
              <w:t xml:space="preserve">VPD </w:t>
            </w:r>
            <w:r w:rsidRPr="00CD59D2">
              <w:rPr>
                <w:rFonts w:cs="Arial"/>
                <w:color w:val="000000"/>
                <w:szCs w:val="20"/>
                <w:vertAlign w:val="superscript"/>
              </w:rPr>
              <w:t>(1)</w:t>
            </w:r>
          </w:p>
        </w:tc>
        <w:tc>
          <w:tcPr>
            <w:tcW w:w="1081" w:type="dxa"/>
            <w:vAlign w:val="center"/>
          </w:tcPr>
          <w:p w14:paraId="0A218F62" w14:textId="77777777" w:rsidR="008E76F5" w:rsidRPr="007E5164" w:rsidRDefault="008E76F5" w:rsidP="008A39B9">
            <w:pPr>
              <w:jc w:val="right"/>
              <w:rPr>
                <w:rFonts w:cs="Arial"/>
                <w:color w:val="000000"/>
                <w:sz w:val="18"/>
                <w:szCs w:val="18"/>
              </w:rPr>
            </w:pPr>
            <w:r w:rsidRPr="007E5164">
              <w:rPr>
                <w:rFonts w:cs="Arial"/>
                <w:color w:val="000000"/>
                <w:sz w:val="18"/>
                <w:szCs w:val="18"/>
              </w:rPr>
              <w:t>-0.</w:t>
            </w:r>
            <w:r>
              <w:rPr>
                <w:rFonts w:cs="Arial"/>
                <w:color w:val="000000"/>
                <w:sz w:val="18"/>
                <w:szCs w:val="18"/>
              </w:rPr>
              <w:t>153</w:t>
            </w:r>
          </w:p>
        </w:tc>
        <w:tc>
          <w:tcPr>
            <w:tcW w:w="926" w:type="dxa"/>
            <w:vAlign w:val="center"/>
          </w:tcPr>
          <w:p w14:paraId="44865E2B" w14:textId="77777777" w:rsidR="008E76F5" w:rsidRPr="007E5164" w:rsidRDefault="008E76F5" w:rsidP="008A39B9">
            <w:pPr>
              <w:jc w:val="right"/>
              <w:rPr>
                <w:rFonts w:cs="Arial"/>
                <w:color w:val="000000"/>
                <w:sz w:val="18"/>
                <w:szCs w:val="18"/>
              </w:rPr>
            </w:pPr>
            <w:r w:rsidRPr="007E5164">
              <w:rPr>
                <w:rFonts w:cs="Arial"/>
                <w:color w:val="000000"/>
                <w:sz w:val="18"/>
                <w:szCs w:val="18"/>
              </w:rPr>
              <w:t>0.07</w:t>
            </w:r>
            <w:r>
              <w:rPr>
                <w:rFonts w:cs="Arial"/>
                <w:color w:val="000000"/>
                <w:sz w:val="18"/>
                <w:szCs w:val="18"/>
              </w:rPr>
              <w:t>4</w:t>
            </w:r>
          </w:p>
        </w:tc>
        <w:tc>
          <w:tcPr>
            <w:tcW w:w="927" w:type="dxa"/>
            <w:vAlign w:val="center"/>
          </w:tcPr>
          <w:p w14:paraId="71D780F8" w14:textId="77777777" w:rsidR="008E76F5" w:rsidRPr="0080769D" w:rsidRDefault="008E76F5" w:rsidP="008A39B9">
            <w:pPr>
              <w:jc w:val="right"/>
              <w:rPr>
                <w:rFonts w:cs="Arial"/>
                <w:color w:val="000000"/>
                <w:sz w:val="18"/>
                <w:szCs w:val="18"/>
              </w:rPr>
            </w:pPr>
            <w:r w:rsidRPr="0080769D">
              <w:rPr>
                <w:rFonts w:cs="Arial"/>
                <w:color w:val="000000"/>
                <w:sz w:val="18"/>
                <w:szCs w:val="18"/>
              </w:rPr>
              <w:t>-0.</w:t>
            </w:r>
            <w:r>
              <w:rPr>
                <w:rFonts w:cs="Arial"/>
                <w:color w:val="000000"/>
                <w:sz w:val="18"/>
                <w:szCs w:val="18"/>
              </w:rPr>
              <w:t>298</w:t>
            </w:r>
          </w:p>
        </w:tc>
        <w:tc>
          <w:tcPr>
            <w:tcW w:w="926" w:type="dxa"/>
            <w:vAlign w:val="center"/>
          </w:tcPr>
          <w:p w14:paraId="737B92C4"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08</w:t>
            </w:r>
          </w:p>
        </w:tc>
        <w:tc>
          <w:tcPr>
            <w:tcW w:w="772" w:type="dxa"/>
            <w:vAlign w:val="center"/>
          </w:tcPr>
          <w:p w14:paraId="66BA5FF6" w14:textId="77777777" w:rsidR="008E76F5" w:rsidRPr="0080769D" w:rsidRDefault="008E76F5" w:rsidP="008A39B9">
            <w:pPr>
              <w:jc w:val="right"/>
              <w:rPr>
                <w:rFonts w:cs="Arial"/>
                <w:color w:val="000000"/>
                <w:sz w:val="18"/>
                <w:szCs w:val="18"/>
              </w:rPr>
            </w:pPr>
          </w:p>
        </w:tc>
        <w:tc>
          <w:tcPr>
            <w:tcW w:w="772" w:type="dxa"/>
            <w:vAlign w:val="center"/>
          </w:tcPr>
          <w:p w14:paraId="17005CD3" w14:textId="77777777" w:rsidR="008E76F5" w:rsidRPr="0080769D" w:rsidRDefault="008E76F5" w:rsidP="008A39B9">
            <w:pPr>
              <w:jc w:val="right"/>
              <w:rPr>
                <w:rFonts w:cs="Arial"/>
                <w:color w:val="000000"/>
                <w:sz w:val="18"/>
                <w:szCs w:val="18"/>
              </w:rPr>
            </w:pPr>
          </w:p>
        </w:tc>
        <w:tc>
          <w:tcPr>
            <w:tcW w:w="926" w:type="dxa"/>
            <w:vAlign w:val="center"/>
          </w:tcPr>
          <w:p w14:paraId="03F5D92E"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39</w:t>
            </w:r>
          </w:p>
        </w:tc>
        <w:tc>
          <w:tcPr>
            <w:tcW w:w="927" w:type="dxa"/>
            <w:vAlign w:val="center"/>
          </w:tcPr>
          <w:p w14:paraId="09997AFA" w14:textId="77777777" w:rsidR="008E76F5" w:rsidRPr="0080769D" w:rsidRDefault="008E76F5" w:rsidP="008A39B9">
            <w:pPr>
              <w:jc w:val="right"/>
              <w:rPr>
                <w:rFonts w:cs="Arial"/>
                <w:color w:val="000000"/>
                <w:sz w:val="18"/>
                <w:szCs w:val="18"/>
              </w:rPr>
            </w:pPr>
            <w:r w:rsidRPr="0080769D">
              <w:rPr>
                <w:rFonts w:cs="Arial"/>
                <w:color w:val="000000"/>
                <w:sz w:val="18"/>
                <w:szCs w:val="18"/>
              </w:rPr>
              <w:t>-0.</w:t>
            </w:r>
            <w:r>
              <w:rPr>
                <w:rFonts w:cs="Arial"/>
                <w:color w:val="000000"/>
                <w:sz w:val="18"/>
                <w:szCs w:val="18"/>
              </w:rPr>
              <w:t>175</w:t>
            </w:r>
          </w:p>
        </w:tc>
        <w:tc>
          <w:tcPr>
            <w:tcW w:w="926" w:type="dxa"/>
            <w:vAlign w:val="center"/>
          </w:tcPr>
          <w:p w14:paraId="600F8450" w14:textId="77777777" w:rsidR="008E76F5" w:rsidRPr="0080769D" w:rsidRDefault="008E76F5" w:rsidP="008A39B9">
            <w:pPr>
              <w:jc w:val="right"/>
              <w:rPr>
                <w:rFonts w:cs="Arial"/>
                <w:color w:val="000000"/>
                <w:sz w:val="18"/>
                <w:szCs w:val="18"/>
              </w:rPr>
            </w:pPr>
            <w:r w:rsidRPr="0080769D">
              <w:rPr>
                <w:rFonts w:cs="Arial"/>
                <w:color w:val="000000"/>
                <w:sz w:val="18"/>
                <w:szCs w:val="18"/>
              </w:rPr>
              <w:t>-0.</w:t>
            </w:r>
            <w:r>
              <w:rPr>
                <w:rFonts w:cs="Arial"/>
                <w:color w:val="000000"/>
                <w:sz w:val="18"/>
                <w:szCs w:val="18"/>
              </w:rPr>
              <w:t>141</w:t>
            </w:r>
          </w:p>
        </w:tc>
      </w:tr>
      <w:tr w:rsidR="008E76F5" w14:paraId="33FA6B71" w14:textId="77777777" w:rsidTr="008A39B9">
        <w:trPr>
          <w:trHeight w:val="320"/>
        </w:trPr>
        <w:tc>
          <w:tcPr>
            <w:tcW w:w="1700" w:type="dxa"/>
            <w:vAlign w:val="center"/>
          </w:tcPr>
          <w:p w14:paraId="00E382DA" w14:textId="77777777" w:rsidR="008E76F5" w:rsidRPr="00CD59D2" w:rsidRDefault="008E76F5" w:rsidP="008A39B9">
            <w:pPr>
              <w:rPr>
                <w:rFonts w:cs="Arial"/>
                <w:b/>
                <w:bCs/>
                <w:color w:val="000000"/>
                <w:szCs w:val="20"/>
              </w:rPr>
            </w:pPr>
            <w:r w:rsidRPr="00CD59D2">
              <w:rPr>
                <w:rFonts w:cs="Arial"/>
                <w:color w:val="000000"/>
                <w:szCs w:val="20"/>
              </w:rPr>
              <w:t xml:space="preserve">SWC </w:t>
            </w:r>
            <w:r w:rsidRPr="00CD59D2">
              <w:rPr>
                <w:rFonts w:cs="Arial"/>
                <w:color w:val="000000"/>
                <w:szCs w:val="20"/>
                <w:vertAlign w:val="superscript"/>
              </w:rPr>
              <w:t>(1)</w:t>
            </w:r>
          </w:p>
        </w:tc>
        <w:tc>
          <w:tcPr>
            <w:tcW w:w="1081" w:type="dxa"/>
            <w:vAlign w:val="center"/>
          </w:tcPr>
          <w:p w14:paraId="331F8EC8" w14:textId="77777777" w:rsidR="008E76F5" w:rsidRPr="007E5164" w:rsidRDefault="008E76F5" w:rsidP="008A39B9">
            <w:pPr>
              <w:jc w:val="right"/>
              <w:rPr>
                <w:rFonts w:cs="Arial"/>
                <w:color w:val="000000"/>
                <w:sz w:val="18"/>
                <w:szCs w:val="18"/>
              </w:rPr>
            </w:pPr>
            <w:r w:rsidRPr="007E5164">
              <w:rPr>
                <w:rFonts w:cs="Arial"/>
                <w:color w:val="000000"/>
                <w:sz w:val="18"/>
                <w:szCs w:val="18"/>
              </w:rPr>
              <w:t>0.</w:t>
            </w:r>
            <w:r>
              <w:rPr>
                <w:rFonts w:cs="Arial"/>
                <w:color w:val="000000"/>
                <w:sz w:val="18"/>
                <w:szCs w:val="18"/>
              </w:rPr>
              <w:t>336</w:t>
            </w:r>
          </w:p>
        </w:tc>
        <w:tc>
          <w:tcPr>
            <w:tcW w:w="926" w:type="dxa"/>
            <w:vAlign w:val="center"/>
          </w:tcPr>
          <w:p w14:paraId="5CB5613A" w14:textId="77777777" w:rsidR="008E76F5" w:rsidRPr="007E5164" w:rsidRDefault="008E76F5" w:rsidP="008A39B9">
            <w:pPr>
              <w:jc w:val="right"/>
              <w:rPr>
                <w:rFonts w:cs="Arial"/>
                <w:color w:val="000000"/>
                <w:sz w:val="18"/>
                <w:szCs w:val="18"/>
              </w:rPr>
            </w:pPr>
            <w:r w:rsidRPr="007E5164">
              <w:rPr>
                <w:rFonts w:cs="Arial"/>
                <w:color w:val="000000"/>
                <w:sz w:val="18"/>
                <w:szCs w:val="18"/>
              </w:rPr>
              <w:t>0.0</w:t>
            </w:r>
            <w:r>
              <w:rPr>
                <w:rFonts w:cs="Arial"/>
                <w:color w:val="000000"/>
                <w:sz w:val="18"/>
                <w:szCs w:val="18"/>
              </w:rPr>
              <w:t>51</w:t>
            </w:r>
          </w:p>
        </w:tc>
        <w:tc>
          <w:tcPr>
            <w:tcW w:w="927" w:type="dxa"/>
            <w:vAlign w:val="center"/>
          </w:tcPr>
          <w:p w14:paraId="355FD9DB" w14:textId="77777777" w:rsidR="008E76F5" w:rsidRPr="0080769D" w:rsidRDefault="008E76F5" w:rsidP="008A39B9">
            <w:pPr>
              <w:jc w:val="right"/>
              <w:rPr>
                <w:rFonts w:cs="Arial"/>
                <w:color w:val="000000"/>
                <w:sz w:val="18"/>
                <w:szCs w:val="18"/>
              </w:rPr>
            </w:pPr>
            <w:r w:rsidRPr="0080769D">
              <w:rPr>
                <w:rFonts w:cs="Arial"/>
                <w:color w:val="000000"/>
                <w:sz w:val="18"/>
                <w:szCs w:val="18"/>
              </w:rPr>
              <w:t>0.</w:t>
            </w:r>
            <w:r>
              <w:rPr>
                <w:rFonts w:cs="Arial"/>
                <w:color w:val="000000"/>
                <w:sz w:val="18"/>
                <w:szCs w:val="18"/>
              </w:rPr>
              <w:t>236</w:t>
            </w:r>
          </w:p>
        </w:tc>
        <w:tc>
          <w:tcPr>
            <w:tcW w:w="926" w:type="dxa"/>
            <w:vAlign w:val="center"/>
          </w:tcPr>
          <w:p w14:paraId="39357862" w14:textId="77777777" w:rsidR="008E76F5" w:rsidRPr="0080769D" w:rsidRDefault="008E76F5" w:rsidP="008A39B9">
            <w:pPr>
              <w:jc w:val="right"/>
              <w:rPr>
                <w:rFonts w:cs="Arial"/>
                <w:color w:val="000000"/>
                <w:sz w:val="18"/>
                <w:szCs w:val="18"/>
              </w:rPr>
            </w:pPr>
            <w:r w:rsidRPr="0080769D">
              <w:rPr>
                <w:rFonts w:cs="Arial"/>
                <w:color w:val="000000"/>
                <w:sz w:val="18"/>
                <w:szCs w:val="18"/>
              </w:rPr>
              <w:t>0.4</w:t>
            </w:r>
            <w:r>
              <w:rPr>
                <w:rFonts w:cs="Arial"/>
                <w:color w:val="000000"/>
                <w:sz w:val="18"/>
                <w:szCs w:val="18"/>
              </w:rPr>
              <w:t>36</w:t>
            </w:r>
          </w:p>
        </w:tc>
        <w:tc>
          <w:tcPr>
            <w:tcW w:w="772" w:type="dxa"/>
            <w:vAlign w:val="center"/>
          </w:tcPr>
          <w:p w14:paraId="53580890" w14:textId="77777777" w:rsidR="008E76F5" w:rsidRPr="0080769D" w:rsidRDefault="008E76F5" w:rsidP="008A39B9">
            <w:pPr>
              <w:jc w:val="right"/>
              <w:rPr>
                <w:rFonts w:cs="Arial"/>
                <w:color w:val="000000"/>
                <w:sz w:val="18"/>
                <w:szCs w:val="18"/>
              </w:rPr>
            </w:pPr>
          </w:p>
        </w:tc>
        <w:tc>
          <w:tcPr>
            <w:tcW w:w="772" w:type="dxa"/>
            <w:vAlign w:val="center"/>
          </w:tcPr>
          <w:p w14:paraId="734D68A8" w14:textId="77777777" w:rsidR="008E76F5" w:rsidRPr="0080769D" w:rsidRDefault="008E76F5" w:rsidP="008A39B9">
            <w:pPr>
              <w:jc w:val="right"/>
              <w:rPr>
                <w:rFonts w:cs="Arial"/>
                <w:b/>
                <w:bCs/>
                <w:color w:val="000000"/>
                <w:sz w:val="18"/>
                <w:szCs w:val="18"/>
              </w:rPr>
            </w:pPr>
          </w:p>
        </w:tc>
        <w:tc>
          <w:tcPr>
            <w:tcW w:w="926" w:type="dxa"/>
            <w:vAlign w:val="center"/>
          </w:tcPr>
          <w:p w14:paraId="7BB4E7E5" w14:textId="77777777" w:rsidR="008E76F5" w:rsidRPr="0080769D" w:rsidRDefault="008E76F5" w:rsidP="008A39B9">
            <w:pPr>
              <w:jc w:val="right"/>
              <w:rPr>
                <w:rFonts w:cs="Arial"/>
                <w:color w:val="000000"/>
                <w:sz w:val="18"/>
                <w:szCs w:val="18"/>
              </w:rPr>
            </w:pPr>
            <w:r w:rsidRPr="0080769D">
              <w:rPr>
                <w:rFonts w:cs="Arial"/>
                <w:b/>
                <w:bCs/>
                <w:color w:val="000000"/>
                <w:sz w:val="18"/>
                <w:szCs w:val="18"/>
              </w:rPr>
              <w:t>&lt; 0.001</w:t>
            </w:r>
          </w:p>
        </w:tc>
        <w:tc>
          <w:tcPr>
            <w:tcW w:w="927" w:type="dxa"/>
            <w:vAlign w:val="center"/>
          </w:tcPr>
          <w:p w14:paraId="66312790" w14:textId="77777777" w:rsidR="008E76F5" w:rsidRPr="0080769D" w:rsidRDefault="008E76F5" w:rsidP="008A39B9">
            <w:pPr>
              <w:jc w:val="right"/>
              <w:rPr>
                <w:rFonts w:cs="Arial"/>
                <w:color w:val="000000"/>
                <w:sz w:val="18"/>
                <w:szCs w:val="18"/>
              </w:rPr>
            </w:pPr>
            <w:r w:rsidRPr="0080769D">
              <w:rPr>
                <w:rFonts w:cs="Arial"/>
                <w:color w:val="000000"/>
                <w:sz w:val="18"/>
                <w:szCs w:val="18"/>
              </w:rPr>
              <w:t>0.3</w:t>
            </w:r>
            <w:r>
              <w:rPr>
                <w:rFonts w:cs="Arial"/>
                <w:color w:val="000000"/>
                <w:sz w:val="18"/>
                <w:szCs w:val="18"/>
              </w:rPr>
              <w:t>21</w:t>
            </w:r>
          </w:p>
        </w:tc>
        <w:tc>
          <w:tcPr>
            <w:tcW w:w="926" w:type="dxa"/>
            <w:vAlign w:val="center"/>
          </w:tcPr>
          <w:p w14:paraId="06C7A465" w14:textId="77777777" w:rsidR="008E76F5" w:rsidRPr="0080769D" w:rsidRDefault="008E76F5" w:rsidP="008A39B9">
            <w:pPr>
              <w:jc w:val="right"/>
              <w:rPr>
                <w:rFonts w:cs="Arial"/>
                <w:color w:val="000000"/>
                <w:sz w:val="18"/>
                <w:szCs w:val="18"/>
              </w:rPr>
            </w:pPr>
            <w:r w:rsidRPr="0080769D">
              <w:rPr>
                <w:rFonts w:cs="Arial"/>
                <w:color w:val="000000"/>
                <w:sz w:val="18"/>
                <w:szCs w:val="18"/>
              </w:rPr>
              <w:t>0.</w:t>
            </w:r>
            <w:r>
              <w:rPr>
                <w:rFonts w:cs="Arial"/>
                <w:color w:val="000000"/>
                <w:sz w:val="18"/>
                <w:szCs w:val="18"/>
              </w:rPr>
              <w:t>343</w:t>
            </w:r>
          </w:p>
        </w:tc>
      </w:tr>
      <w:tr w:rsidR="008E76F5" w14:paraId="108752F6" w14:textId="77777777" w:rsidTr="008A39B9">
        <w:trPr>
          <w:trHeight w:val="320"/>
        </w:trPr>
        <w:tc>
          <w:tcPr>
            <w:tcW w:w="1700" w:type="dxa"/>
            <w:vAlign w:val="center"/>
          </w:tcPr>
          <w:p w14:paraId="28F8A319" w14:textId="77777777" w:rsidR="008E76F5" w:rsidRPr="00CD59D2" w:rsidRDefault="008E76F5" w:rsidP="008A39B9">
            <w:pPr>
              <w:rPr>
                <w:rFonts w:cs="Arial"/>
                <w:b/>
                <w:bCs/>
                <w:color w:val="000000"/>
                <w:szCs w:val="20"/>
              </w:rPr>
            </w:pPr>
            <w:r w:rsidRPr="00CD59D2">
              <w:rPr>
                <w:rFonts w:cs="Arial"/>
                <w:color w:val="000000"/>
                <w:szCs w:val="20"/>
              </w:rPr>
              <w:t xml:space="preserve">sin(daytime) </w:t>
            </w:r>
            <w:r w:rsidRPr="00CD59D2">
              <w:rPr>
                <w:rFonts w:cs="Arial"/>
                <w:color w:val="000000"/>
                <w:szCs w:val="20"/>
                <w:vertAlign w:val="superscript"/>
              </w:rPr>
              <w:t>(2)</w:t>
            </w:r>
          </w:p>
        </w:tc>
        <w:tc>
          <w:tcPr>
            <w:tcW w:w="1081" w:type="dxa"/>
            <w:vAlign w:val="center"/>
          </w:tcPr>
          <w:p w14:paraId="6595AFC6" w14:textId="77777777" w:rsidR="008E76F5" w:rsidRPr="007E5164" w:rsidRDefault="008E76F5" w:rsidP="008A39B9">
            <w:pPr>
              <w:jc w:val="right"/>
              <w:rPr>
                <w:rFonts w:cs="Arial"/>
                <w:color w:val="000000"/>
                <w:sz w:val="18"/>
                <w:szCs w:val="18"/>
              </w:rPr>
            </w:pPr>
            <w:r>
              <w:rPr>
                <w:rFonts w:cs="Arial"/>
                <w:color w:val="000000"/>
                <w:sz w:val="18"/>
                <w:szCs w:val="18"/>
              </w:rPr>
              <w:t>-0.001</w:t>
            </w:r>
          </w:p>
        </w:tc>
        <w:tc>
          <w:tcPr>
            <w:tcW w:w="926" w:type="dxa"/>
            <w:vAlign w:val="center"/>
          </w:tcPr>
          <w:p w14:paraId="3A8539E3" w14:textId="77777777" w:rsidR="008E76F5" w:rsidRPr="007E5164" w:rsidRDefault="008E76F5" w:rsidP="008A39B9">
            <w:pPr>
              <w:jc w:val="right"/>
              <w:rPr>
                <w:rFonts w:cs="Arial"/>
                <w:color w:val="000000"/>
                <w:sz w:val="18"/>
                <w:szCs w:val="18"/>
              </w:rPr>
            </w:pPr>
            <w:r w:rsidRPr="007E5164">
              <w:rPr>
                <w:rFonts w:cs="Arial"/>
                <w:color w:val="000000"/>
                <w:sz w:val="18"/>
                <w:szCs w:val="18"/>
              </w:rPr>
              <w:t>0.021</w:t>
            </w:r>
          </w:p>
        </w:tc>
        <w:tc>
          <w:tcPr>
            <w:tcW w:w="927" w:type="dxa"/>
            <w:vAlign w:val="center"/>
          </w:tcPr>
          <w:p w14:paraId="240A9614"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42</w:t>
            </w:r>
          </w:p>
        </w:tc>
        <w:tc>
          <w:tcPr>
            <w:tcW w:w="926" w:type="dxa"/>
            <w:vAlign w:val="center"/>
          </w:tcPr>
          <w:p w14:paraId="452C4439"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40</w:t>
            </w:r>
          </w:p>
        </w:tc>
        <w:tc>
          <w:tcPr>
            <w:tcW w:w="772" w:type="dxa"/>
            <w:vAlign w:val="center"/>
          </w:tcPr>
          <w:p w14:paraId="4E421912" w14:textId="77777777" w:rsidR="008E76F5" w:rsidRPr="00355236" w:rsidRDefault="008E76F5" w:rsidP="008A39B9">
            <w:pPr>
              <w:jc w:val="right"/>
              <w:rPr>
                <w:rFonts w:cs="Arial"/>
                <w:color w:val="000000"/>
                <w:sz w:val="18"/>
                <w:szCs w:val="18"/>
              </w:rPr>
            </w:pPr>
            <w:r w:rsidRPr="00355236">
              <w:rPr>
                <w:rFonts w:cs="Arial"/>
                <w:color w:val="000000"/>
                <w:sz w:val="18"/>
                <w:szCs w:val="18"/>
              </w:rPr>
              <w:t>0.26</w:t>
            </w:r>
            <w:r>
              <w:rPr>
                <w:rFonts w:cs="Arial"/>
                <w:color w:val="000000"/>
                <w:sz w:val="18"/>
                <w:szCs w:val="18"/>
              </w:rPr>
              <w:t>1</w:t>
            </w:r>
          </w:p>
        </w:tc>
        <w:tc>
          <w:tcPr>
            <w:tcW w:w="772" w:type="dxa"/>
            <w:vAlign w:val="center"/>
          </w:tcPr>
          <w:p w14:paraId="58C8A3A0" w14:textId="77777777" w:rsidR="008E76F5" w:rsidRPr="00355236" w:rsidRDefault="008E76F5" w:rsidP="008A39B9">
            <w:pPr>
              <w:jc w:val="right"/>
              <w:rPr>
                <w:rFonts w:cs="Arial"/>
                <w:color w:val="000000"/>
                <w:sz w:val="18"/>
                <w:szCs w:val="18"/>
              </w:rPr>
            </w:pPr>
            <w:r>
              <w:rPr>
                <w:rFonts w:cs="Arial"/>
                <w:color w:val="000000"/>
                <w:sz w:val="18"/>
                <w:szCs w:val="18"/>
              </w:rPr>
              <w:t>2</w:t>
            </w:r>
          </w:p>
        </w:tc>
        <w:tc>
          <w:tcPr>
            <w:tcW w:w="926" w:type="dxa"/>
            <w:vAlign w:val="center"/>
          </w:tcPr>
          <w:p w14:paraId="243A1408" w14:textId="77777777" w:rsidR="008E76F5" w:rsidRPr="00355236" w:rsidRDefault="008E76F5" w:rsidP="008A39B9">
            <w:pPr>
              <w:jc w:val="right"/>
              <w:rPr>
                <w:rFonts w:cs="Arial"/>
                <w:color w:val="000000"/>
                <w:sz w:val="18"/>
                <w:szCs w:val="18"/>
              </w:rPr>
            </w:pPr>
            <w:r w:rsidRPr="00355236">
              <w:rPr>
                <w:rFonts w:cs="Arial"/>
                <w:color w:val="000000"/>
                <w:sz w:val="18"/>
                <w:szCs w:val="18"/>
              </w:rPr>
              <w:t>0.768</w:t>
            </w:r>
          </w:p>
        </w:tc>
        <w:tc>
          <w:tcPr>
            <w:tcW w:w="927" w:type="dxa"/>
            <w:vAlign w:val="center"/>
          </w:tcPr>
          <w:p w14:paraId="631F47C1" w14:textId="77777777" w:rsidR="008E76F5" w:rsidRPr="0080769D" w:rsidRDefault="008E76F5" w:rsidP="008A39B9">
            <w:pPr>
              <w:jc w:val="right"/>
              <w:rPr>
                <w:rFonts w:cs="Arial"/>
                <w:color w:val="000000"/>
                <w:sz w:val="18"/>
                <w:szCs w:val="18"/>
              </w:rPr>
            </w:pPr>
            <w:r>
              <w:rPr>
                <w:rFonts w:cs="Arial"/>
                <w:color w:val="000000"/>
                <w:sz w:val="18"/>
                <w:szCs w:val="18"/>
              </w:rPr>
              <w:t>-</w:t>
            </w:r>
            <w:r w:rsidRPr="0080769D">
              <w:rPr>
                <w:rFonts w:cs="Arial"/>
                <w:color w:val="000000"/>
                <w:sz w:val="18"/>
                <w:szCs w:val="18"/>
              </w:rPr>
              <w:t>0.006</w:t>
            </w:r>
          </w:p>
        </w:tc>
        <w:tc>
          <w:tcPr>
            <w:tcW w:w="926" w:type="dxa"/>
            <w:vAlign w:val="center"/>
          </w:tcPr>
          <w:p w14:paraId="42109094"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03</w:t>
            </w:r>
          </w:p>
        </w:tc>
      </w:tr>
      <w:tr w:rsidR="008E76F5" w14:paraId="1F61AD8C" w14:textId="77777777" w:rsidTr="008A39B9">
        <w:trPr>
          <w:trHeight w:val="320"/>
        </w:trPr>
        <w:tc>
          <w:tcPr>
            <w:tcW w:w="1700" w:type="dxa"/>
            <w:vAlign w:val="center"/>
          </w:tcPr>
          <w:p w14:paraId="32866F00" w14:textId="77777777" w:rsidR="008E76F5" w:rsidRPr="00CD59D2" w:rsidRDefault="008E76F5" w:rsidP="008A39B9">
            <w:pPr>
              <w:rPr>
                <w:rFonts w:cs="Arial"/>
                <w:b/>
                <w:bCs/>
                <w:color w:val="000000"/>
                <w:szCs w:val="20"/>
              </w:rPr>
            </w:pPr>
            <w:r w:rsidRPr="00CD59D2">
              <w:rPr>
                <w:rFonts w:cs="Arial"/>
                <w:color w:val="000000"/>
                <w:szCs w:val="20"/>
              </w:rPr>
              <w:t>cos(daytime)</w:t>
            </w:r>
          </w:p>
        </w:tc>
        <w:tc>
          <w:tcPr>
            <w:tcW w:w="1081" w:type="dxa"/>
            <w:vAlign w:val="center"/>
          </w:tcPr>
          <w:p w14:paraId="6A5D1F5A" w14:textId="77777777" w:rsidR="008E76F5" w:rsidRPr="007E5164" w:rsidRDefault="008E76F5" w:rsidP="008A39B9">
            <w:pPr>
              <w:jc w:val="right"/>
              <w:rPr>
                <w:rFonts w:cs="Arial"/>
                <w:color w:val="000000"/>
                <w:sz w:val="18"/>
                <w:szCs w:val="18"/>
              </w:rPr>
            </w:pPr>
            <w:r>
              <w:rPr>
                <w:rFonts w:cs="Arial"/>
                <w:color w:val="000000"/>
                <w:sz w:val="18"/>
                <w:szCs w:val="18"/>
              </w:rPr>
              <w:t>0.018</w:t>
            </w:r>
          </w:p>
        </w:tc>
        <w:tc>
          <w:tcPr>
            <w:tcW w:w="926" w:type="dxa"/>
            <w:vAlign w:val="center"/>
          </w:tcPr>
          <w:p w14:paraId="11889D0F" w14:textId="77777777" w:rsidR="008E76F5" w:rsidRPr="007E5164" w:rsidRDefault="008E76F5" w:rsidP="008A39B9">
            <w:pPr>
              <w:jc w:val="right"/>
              <w:rPr>
                <w:rFonts w:cs="Arial"/>
                <w:color w:val="000000"/>
                <w:sz w:val="18"/>
                <w:szCs w:val="18"/>
              </w:rPr>
            </w:pPr>
            <w:r w:rsidRPr="007E5164">
              <w:rPr>
                <w:rFonts w:cs="Arial"/>
                <w:color w:val="000000"/>
                <w:sz w:val="18"/>
                <w:szCs w:val="18"/>
              </w:rPr>
              <w:t>0.026</w:t>
            </w:r>
          </w:p>
        </w:tc>
        <w:tc>
          <w:tcPr>
            <w:tcW w:w="927" w:type="dxa"/>
            <w:vAlign w:val="center"/>
          </w:tcPr>
          <w:p w14:paraId="40FE085D"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33</w:t>
            </w:r>
          </w:p>
        </w:tc>
        <w:tc>
          <w:tcPr>
            <w:tcW w:w="926" w:type="dxa"/>
            <w:vAlign w:val="center"/>
          </w:tcPr>
          <w:p w14:paraId="6C93AF4D"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69</w:t>
            </w:r>
          </w:p>
        </w:tc>
        <w:tc>
          <w:tcPr>
            <w:tcW w:w="772" w:type="dxa"/>
            <w:vAlign w:val="center"/>
          </w:tcPr>
          <w:p w14:paraId="78B8FCCE" w14:textId="77777777" w:rsidR="008E76F5" w:rsidRPr="0080769D" w:rsidRDefault="008E76F5" w:rsidP="008A39B9">
            <w:pPr>
              <w:jc w:val="right"/>
              <w:rPr>
                <w:sz w:val="18"/>
                <w:szCs w:val="18"/>
              </w:rPr>
            </w:pPr>
          </w:p>
        </w:tc>
        <w:tc>
          <w:tcPr>
            <w:tcW w:w="772" w:type="dxa"/>
            <w:vAlign w:val="center"/>
          </w:tcPr>
          <w:p w14:paraId="6BC750F6" w14:textId="77777777" w:rsidR="008E76F5" w:rsidRPr="0080769D" w:rsidRDefault="008E76F5" w:rsidP="008A39B9">
            <w:pPr>
              <w:jc w:val="right"/>
              <w:rPr>
                <w:sz w:val="18"/>
                <w:szCs w:val="18"/>
              </w:rPr>
            </w:pPr>
          </w:p>
        </w:tc>
        <w:tc>
          <w:tcPr>
            <w:tcW w:w="926" w:type="dxa"/>
            <w:vAlign w:val="center"/>
          </w:tcPr>
          <w:p w14:paraId="5879DD62" w14:textId="77777777" w:rsidR="008E76F5" w:rsidRPr="0080769D" w:rsidRDefault="008E76F5" w:rsidP="008A39B9">
            <w:pPr>
              <w:jc w:val="right"/>
              <w:rPr>
                <w:sz w:val="18"/>
                <w:szCs w:val="18"/>
              </w:rPr>
            </w:pPr>
          </w:p>
        </w:tc>
        <w:tc>
          <w:tcPr>
            <w:tcW w:w="927" w:type="dxa"/>
            <w:vAlign w:val="center"/>
          </w:tcPr>
          <w:p w14:paraId="562EE7B8"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13</w:t>
            </w:r>
          </w:p>
        </w:tc>
        <w:tc>
          <w:tcPr>
            <w:tcW w:w="926" w:type="dxa"/>
            <w:vAlign w:val="center"/>
          </w:tcPr>
          <w:p w14:paraId="607C65FE" w14:textId="77777777" w:rsidR="008E76F5" w:rsidRPr="0080769D" w:rsidRDefault="008E76F5" w:rsidP="008A39B9">
            <w:pPr>
              <w:jc w:val="right"/>
              <w:rPr>
                <w:rFonts w:cs="Arial"/>
                <w:color w:val="000000"/>
                <w:sz w:val="18"/>
                <w:szCs w:val="18"/>
              </w:rPr>
            </w:pPr>
            <w:r>
              <w:rPr>
                <w:rFonts w:cs="Arial"/>
                <w:color w:val="000000"/>
                <w:sz w:val="18"/>
                <w:szCs w:val="18"/>
              </w:rPr>
              <w:t>0.027</w:t>
            </w:r>
          </w:p>
        </w:tc>
      </w:tr>
      <w:tr w:rsidR="008E76F5" w14:paraId="2ED992D4" w14:textId="77777777" w:rsidTr="008A39B9">
        <w:trPr>
          <w:trHeight w:val="320"/>
        </w:trPr>
        <w:tc>
          <w:tcPr>
            <w:tcW w:w="1700" w:type="dxa"/>
            <w:vAlign w:val="center"/>
          </w:tcPr>
          <w:p w14:paraId="014B9966" w14:textId="77777777" w:rsidR="008E76F5" w:rsidRPr="00CD59D2" w:rsidRDefault="008E76F5" w:rsidP="008A39B9">
            <w:pPr>
              <w:rPr>
                <w:b/>
                <w:bCs/>
                <w:szCs w:val="20"/>
              </w:rPr>
            </w:pPr>
            <w:r w:rsidRPr="00CD59D2">
              <w:rPr>
                <w:szCs w:val="20"/>
              </w:rPr>
              <w:t>radiation</w:t>
            </w:r>
          </w:p>
        </w:tc>
        <w:tc>
          <w:tcPr>
            <w:tcW w:w="1081" w:type="dxa"/>
            <w:vAlign w:val="center"/>
          </w:tcPr>
          <w:p w14:paraId="4C4880BF" w14:textId="77777777" w:rsidR="008E76F5" w:rsidRPr="007E5164" w:rsidRDefault="008E76F5" w:rsidP="008A39B9">
            <w:pPr>
              <w:jc w:val="right"/>
              <w:rPr>
                <w:rFonts w:cs="Arial"/>
                <w:color w:val="000000"/>
                <w:sz w:val="18"/>
                <w:szCs w:val="18"/>
              </w:rPr>
            </w:pPr>
            <w:r w:rsidRPr="007E5164">
              <w:rPr>
                <w:rFonts w:cs="Arial"/>
                <w:color w:val="000000"/>
                <w:sz w:val="18"/>
                <w:szCs w:val="18"/>
              </w:rPr>
              <w:t>&lt; 0.001</w:t>
            </w:r>
          </w:p>
        </w:tc>
        <w:tc>
          <w:tcPr>
            <w:tcW w:w="926" w:type="dxa"/>
            <w:vAlign w:val="center"/>
          </w:tcPr>
          <w:p w14:paraId="147FFD0D" w14:textId="77777777" w:rsidR="008E76F5" w:rsidRPr="007E5164" w:rsidRDefault="008E76F5" w:rsidP="008A39B9">
            <w:pPr>
              <w:jc w:val="right"/>
              <w:rPr>
                <w:sz w:val="18"/>
                <w:szCs w:val="18"/>
              </w:rPr>
            </w:pPr>
            <w:r w:rsidRPr="007E5164">
              <w:rPr>
                <w:rFonts w:cs="Arial"/>
                <w:color w:val="000000"/>
                <w:sz w:val="18"/>
                <w:szCs w:val="18"/>
              </w:rPr>
              <w:t>&lt;</w:t>
            </w:r>
            <w:r>
              <w:rPr>
                <w:rFonts w:cs="Arial"/>
                <w:color w:val="000000"/>
                <w:sz w:val="18"/>
                <w:szCs w:val="18"/>
              </w:rPr>
              <w:t xml:space="preserve"> </w:t>
            </w:r>
            <w:r w:rsidRPr="007E5164">
              <w:rPr>
                <w:rFonts w:cs="Arial"/>
                <w:color w:val="000000"/>
                <w:sz w:val="18"/>
                <w:szCs w:val="18"/>
              </w:rPr>
              <w:t>0.001</w:t>
            </w:r>
          </w:p>
        </w:tc>
        <w:tc>
          <w:tcPr>
            <w:tcW w:w="927" w:type="dxa"/>
            <w:vAlign w:val="center"/>
          </w:tcPr>
          <w:p w14:paraId="0D1B9C9D" w14:textId="77777777" w:rsidR="008E76F5" w:rsidRPr="0080769D" w:rsidRDefault="008E76F5" w:rsidP="008A39B9">
            <w:pPr>
              <w:jc w:val="right"/>
              <w:rPr>
                <w:sz w:val="18"/>
                <w:szCs w:val="18"/>
              </w:rPr>
            </w:pPr>
            <w:r w:rsidRPr="0080769D">
              <w:rPr>
                <w:rFonts w:cs="Arial"/>
                <w:color w:val="000000"/>
                <w:sz w:val="18"/>
                <w:szCs w:val="18"/>
              </w:rPr>
              <w:t>&lt; 0.001</w:t>
            </w:r>
          </w:p>
        </w:tc>
        <w:tc>
          <w:tcPr>
            <w:tcW w:w="926" w:type="dxa"/>
            <w:vAlign w:val="center"/>
          </w:tcPr>
          <w:p w14:paraId="7753F20C" w14:textId="77777777" w:rsidR="008E76F5" w:rsidRPr="0080769D" w:rsidRDefault="008E76F5" w:rsidP="008A39B9">
            <w:pPr>
              <w:jc w:val="right"/>
              <w:rPr>
                <w:sz w:val="18"/>
                <w:szCs w:val="18"/>
              </w:rPr>
            </w:pPr>
            <w:r w:rsidRPr="0080769D">
              <w:rPr>
                <w:rFonts w:cs="Arial"/>
                <w:color w:val="000000"/>
                <w:sz w:val="18"/>
                <w:szCs w:val="18"/>
              </w:rPr>
              <w:t>&lt; 0.001</w:t>
            </w:r>
          </w:p>
        </w:tc>
        <w:tc>
          <w:tcPr>
            <w:tcW w:w="772" w:type="dxa"/>
            <w:vAlign w:val="center"/>
          </w:tcPr>
          <w:p w14:paraId="6A79AD58" w14:textId="77777777" w:rsidR="008E76F5" w:rsidRPr="0080769D" w:rsidRDefault="008E76F5" w:rsidP="008A39B9">
            <w:pPr>
              <w:jc w:val="right"/>
              <w:rPr>
                <w:sz w:val="18"/>
                <w:szCs w:val="18"/>
              </w:rPr>
            </w:pPr>
            <w:r>
              <w:rPr>
                <w:rFonts w:cs="Arial"/>
                <w:color w:val="000000"/>
                <w:sz w:val="18"/>
                <w:szCs w:val="18"/>
              </w:rPr>
              <w:t>6.942</w:t>
            </w:r>
          </w:p>
        </w:tc>
        <w:tc>
          <w:tcPr>
            <w:tcW w:w="772" w:type="dxa"/>
            <w:vAlign w:val="center"/>
          </w:tcPr>
          <w:p w14:paraId="58FBF3E4" w14:textId="77777777" w:rsidR="008E76F5" w:rsidRPr="0080769D" w:rsidRDefault="008E76F5" w:rsidP="008A39B9">
            <w:pPr>
              <w:jc w:val="right"/>
              <w:rPr>
                <w:rFonts w:cs="Arial"/>
                <w:b/>
                <w:bCs/>
                <w:color w:val="000000"/>
                <w:sz w:val="18"/>
                <w:szCs w:val="18"/>
              </w:rPr>
            </w:pPr>
            <w:r>
              <w:rPr>
                <w:rFonts w:cs="Arial"/>
                <w:b/>
                <w:bCs/>
                <w:color w:val="000000"/>
                <w:sz w:val="18"/>
                <w:szCs w:val="18"/>
              </w:rPr>
              <w:t>1</w:t>
            </w:r>
          </w:p>
        </w:tc>
        <w:tc>
          <w:tcPr>
            <w:tcW w:w="926" w:type="dxa"/>
            <w:vAlign w:val="center"/>
          </w:tcPr>
          <w:p w14:paraId="54C85362" w14:textId="77777777" w:rsidR="008E76F5" w:rsidRPr="0080769D" w:rsidRDefault="008E76F5" w:rsidP="008A39B9">
            <w:pPr>
              <w:jc w:val="right"/>
              <w:rPr>
                <w:rFonts w:cs="Arial"/>
                <w:b/>
                <w:bCs/>
                <w:color w:val="000000"/>
                <w:sz w:val="18"/>
                <w:szCs w:val="18"/>
              </w:rPr>
            </w:pPr>
            <w:r w:rsidRPr="0080769D">
              <w:rPr>
                <w:rFonts w:cs="Arial"/>
                <w:b/>
                <w:bCs/>
                <w:color w:val="000000"/>
                <w:sz w:val="18"/>
                <w:szCs w:val="18"/>
              </w:rPr>
              <w:t>&lt; 0.001</w:t>
            </w:r>
          </w:p>
        </w:tc>
        <w:tc>
          <w:tcPr>
            <w:tcW w:w="927" w:type="dxa"/>
            <w:vAlign w:val="center"/>
          </w:tcPr>
          <w:p w14:paraId="2433C379" w14:textId="77777777" w:rsidR="008E76F5" w:rsidRPr="0080769D" w:rsidRDefault="008E76F5" w:rsidP="008A39B9">
            <w:pPr>
              <w:jc w:val="right"/>
              <w:rPr>
                <w:sz w:val="18"/>
                <w:szCs w:val="18"/>
              </w:rPr>
            </w:pPr>
            <w:r w:rsidRPr="0080769D">
              <w:rPr>
                <w:rFonts w:cs="Arial"/>
                <w:color w:val="000000"/>
                <w:sz w:val="18"/>
                <w:szCs w:val="18"/>
              </w:rPr>
              <w:t>&lt; 0.001</w:t>
            </w:r>
          </w:p>
        </w:tc>
        <w:tc>
          <w:tcPr>
            <w:tcW w:w="926" w:type="dxa"/>
            <w:vAlign w:val="center"/>
          </w:tcPr>
          <w:p w14:paraId="70DECFDF" w14:textId="77777777" w:rsidR="008E76F5" w:rsidRPr="0080769D" w:rsidRDefault="008E76F5" w:rsidP="008A39B9">
            <w:pPr>
              <w:jc w:val="right"/>
              <w:rPr>
                <w:sz w:val="18"/>
                <w:szCs w:val="18"/>
              </w:rPr>
            </w:pPr>
            <w:r w:rsidRPr="0080769D">
              <w:rPr>
                <w:rFonts w:cs="Arial"/>
                <w:color w:val="000000"/>
                <w:sz w:val="18"/>
                <w:szCs w:val="18"/>
              </w:rPr>
              <w:t>&lt; 0.001</w:t>
            </w:r>
          </w:p>
        </w:tc>
      </w:tr>
      <w:tr w:rsidR="008E76F5" w14:paraId="4416B71E" w14:textId="77777777" w:rsidTr="008A39B9">
        <w:trPr>
          <w:trHeight w:val="320"/>
        </w:trPr>
        <w:tc>
          <w:tcPr>
            <w:tcW w:w="1700" w:type="dxa"/>
            <w:tcBorders>
              <w:bottom w:val="single" w:sz="4" w:space="0" w:color="auto"/>
            </w:tcBorders>
            <w:vAlign w:val="center"/>
          </w:tcPr>
          <w:p w14:paraId="6BE28962" w14:textId="77777777" w:rsidR="008E76F5" w:rsidRPr="00CD59D2" w:rsidRDefault="008E76F5" w:rsidP="008A39B9">
            <w:pPr>
              <w:rPr>
                <w:rFonts w:cs="Arial"/>
                <w:b/>
                <w:bCs/>
                <w:color w:val="000000"/>
                <w:szCs w:val="20"/>
              </w:rPr>
            </w:pPr>
            <w:r w:rsidRPr="00CD59D2">
              <w:rPr>
                <w:rFonts w:cs="Arial"/>
                <w:color w:val="000000"/>
                <w:szCs w:val="20"/>
              </w:rPr>
              <w:t>VPD</w:t>
            </w:r>
            <w:r>
              <w:rPr>
                <w:rFonts w:cs="Arial"/>
                <w:color w:val="000000"/>
                <w:szCs w:val="20"/>
              </w:rPr>
              <w:t xml:space="preserve"> x </w:t>
            </w:r>
            <w:r w:rsidRPr="00CD59D2">
              <w:rPr>
                <w:rFonts w:cs="Arial"/>
                <w:color w:val="000000"/>
                <w:szCs w:val="20"/>
              </w:rPr>
              <w:t>SWC</w:t>
            </w:r>
            <w:r>
              <w:rPr>
                <w:rFonts w:cs="Arial"/>
                <w:color w:val="000000"/>
                <w:szCs w:val="20"/>
              </w:rPr>
              <w:t xml:space="preserve"> </w:t>
            </w:r>
            <w:r w:rsidRPr="00CD59D2">
              <w:rPr>
                <w:rFonts w:cs="Arial"/>
                <w:color w:val="000000"/>
                <w:szCs w:val="20"/>
                <w:vertAlign w:val="superscript"/>
              </w:rPr>
              <w:t>(1)</w:t>
            </w:r>
            <w:r>
              <w:rPr>
                <w:rFonts w:cs="Arial"/>
                <w:color w:val="000000"/>
                <w:szCs w:val="20"/>
              </w:rPr>
              <w:t xml:space="preserve"> </w:t>
            </w:r>
          </w:p>
        </w:tc>
        <w:tc>
          <w:tcPr>
            <w:tcW w:w="1081" w:type="dxa"/>
            <w:tcBorders>
              <w:bottom w:val="single" w:sz="4" w:space="0" w:color="auto"/>
            </w:tcBorders>
            <w:vAlign w:val="center"/>
          </w:tcPr>
          <w:p w14:paraId="6CBD618B" w14:textId="77777777" w:rsidR="008E76F5" w:rsidRPr="007E5164" w:rsidRDefault="008E76F5" w:rsidP="008A39B9">
            <w:pPr>
              <w:jc w:val="right"/>
              <w:rPr>
                <w:rFonts w:cs="Arial"/>
                <w:color w:val="000000"/>
                <w:sz w:val="18"/>
                <w:szCs w:val="18"/>
              </w:rPr>
            </w:pPr>
            <w:r w:rsidRPr="007E5164">
              <w:rPr>
                <w:rFonts w:cs="Arial"/>
                <w:color w:val="000000"/>
                <w:sz w:val="18"/>
                <w:szCs w:val="18"/>
              </w:rPr>
              <w:t>0.0</w:t>
            </w:r>
            <w:r>
              <w:rPr>
                <w:rFonts w:cs="Arial"/>
                <w:color w:val="000000"/>
                <w:sz w:val="18"/>
                <w:szCs w:val="18"/>
              </w:rPr>
              <w:t>43</w:t>
            </w:r>
          </w:p>
        </w:tc>
        <w:tc>
          <w:tcPr>
            <w:tcW w:w="926" w:type="dxa"/>
            <w:tcBorders>
              <w:bottom w:val="single" w:sz="4" w:space="0" w:color="auto"/>
            </w:tcBorders>
            <w:vAlign w:val="center"/>
          </w:tcPr>
          <w:p w14:paraId="385415E5" w14:textId="77777777" w:rsidR="008E76F5" w:rsidRPr="007E5164" w:rsidRDefault="008E76F5" w:rsidP="008A39B9">
            <w:pPr>
              <w:jc w:val="right"/>
              <w:rPr>
                <w:rFonts w:cs="Arial"/>
                <w:color w:val="000000"/>
                <w:sz w:val="18"/>
                <w:szCs w:val="18"/>
              </w:rPr>
            </w:pPr>
            <w:r w:rsidRPr="007E5164">
              <w:rPr>
                <w:rFonts w:cs="Arial"/>
                <w:color w:val="000000"/>
                <w:sz w:val="18"/>
                <w:szCs w:val="18"/>
              </w:rPr>
              <w:t>0.02</w:t>
            </w:r>
            <w:r>
              <w:rPr>
                <w:rFonts w:cs="Arial"/>
                <w:color w:val="000000"/>
                <w:sz w:val="18"/>
                <w:szCs w:val="18"/>
              </w:rPr>
              <w:t>6</w:t>
            </w:r>
          </w:p>
        </w:tc>
        <w:tc>
          <w:tcPr>
            <w:tcW w:w="927" w:type="dxa"/>
            <w:tcBorders>
              <w:bottom w:val="single" w:sz="4" w:space="0" w:color="auto"/>
            </w:tcBorders>
            <w:vAlign w:val="center"/>
          </w:tcPr>
          <w:p w14:paraId="0CD8CA89"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08</w:t>
            </w:r>
          </w:p>
        </w:tc>
        <w:tc>
          <w:tcPr>
            <w:tcW w:w="926" w:type="dxa"/>
            <w:tcBorders>
              <w:bottom w:val="single" w:sz="4" w:space="0" w:color="auto"/>
            </w:tcBorders>
            <w:vAlign w:val="center"/>
          </w:tcPr>
          <w:p w14:paraId="73DEA329"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94</w:t>
            </w:r>
          </w:p>
        </w:tc>
        <w:tc>
          <w:tcPr>
            <w:tcW w:w="772" w:type="dxa"/>
            <w:tcBorders>
              <w:bottom w:val="single" w:sz="4" w:space="0" w:color="auto"/>
            </w:tcBorders>
            <w:vAlign w:val="center"/>
          </w:tcPr>
          <w:p w14:paraId="3F266158" w14:textId="77777777" w:rsidR="008E76F5" w:rsidRPr="0080769D" w:rsidRDefault="008E76F5" w:rsidP="008A39B9">
            <w:pPr>
              <w:jc w:val="right"/>
              <w:rPr>
                <w:rFonts w:cs="Arial"/>
                <w:color w:val="000000"/>
                <w:sz w:val="18"/>
                <w:szCs w:val="18"/>
              </w:rPr>
            </w:pPr>
            <w:r>
              <w:rPr>
                <w:rFonts w:cs="Arial"/>
                <w:color w:val="000000"/>
                <w:sz w:val="18"/>
                <w:szCs w:val="18"/>
              </w:rPr>
              <w:t>0.038</w:t>
            </w:r>
          </w:p>
        </w:tc>
        <w:tc>
          <w:tcPr>
            <w:tcW w:w="772" w:type="dxa"/>
            <w:tcBorders>
              <w:bottom w:val="single" w:sz="4" w:space="0" w:color="auto"/>
            </w:tcBorders>
            <w:vAlign w:val="center"/>
          </w:tcPr>
          <w:p w14:paraId="3E7133C7" w14:textId="77777777" w:rsidR="008E76F5" w:rsidRPr="0080769D" w:rsidRDefault="008E76F5" w:rsidP="008A39B9">
            <w:pPr>
              <w:jc w:val="right"/>
              <w:rPr>
                <w:rFonts w:cs="Arial"/>
                <w:color w:val="000000"/>
                <w:sz w:val="18"/>
                <w:szCs w:val="18"/>
              </w:rPr>
            </w:pPr>
            <w:r>
              <w:rPr>
                <w:rFonts w:cs="Arial"/>
                <w:color w:val="000000"/>
                <w:sz w:val="18"/>
                <w:szCs w:val="18"/>
              </w:rPr>
              <w:t>1</w:t>
            </w:r>
          </w:p>
        </w:tc>
        <w:tc>
          <w:tcPr>
            <w:tcW w:w="926" w:type="dxa"/>
            <w:tcBorders>
              <w:bottom w:val="single" w:sz="4" w:space="0" w:color="auto"/>
            </w:tcBorders>
            <w:vAlign w:val="center"/>
          </w:tcPr>
          <w:p w14:paraId="17DC25B9" w14:textId="77777777" w:rsidR="008E76F5" w:rsidRPr="0080769D" w:rsidRDefault="008E76F5" w:rsidP="008A39B9">
            <w:pPr>
              <w:jc w:val="right"/>
              <w:rPr>
                <w:rFonts w:cs="Arial"/>
                <w:color w:val="000000"/>
                <w:sz w:val="18"/>
                <w:szCs w:val="18"/>
              </w:rPr>
            </w:pPr>
            <w:r w:rsidRPr="0080769D">
              <w:rPr>
                <w:rFonts w:cs="Arial"/>
                <w:color w:val="000000"/>
                <w:sz w:val="18"/>
                <w:szCs w:val="18"/>
              </w:rPr>
              <w:t>0.</w:t>
            </w:r>
            <w:r>
              <w:rPr>
                <w:rFonts w:cs="Arial"/>
                <w:color w:val="000000"/>
                <w:sz w:val="18"/>
                <w:szCs w:val="18"/>
              </w:rPr>
              <w:t>102</w:t>
            </w:r>
          </w:p>
        </w:tc>
        <w:tc>
          <w:tcPr>
            <w:tcW w:w="927" w:type="dxa"/>
            <w:tcBorders>
              <w:bottom w:val="single" w:sz="4" w:space="0" w:color="auto"/>
            </w:tcBorders>
            <w:vAlign w:val="center"/>
          </w:tcPr>
          <w:p w14:paraId="739FE82B" w14:textId="77777777" w:rsidR="008E76F5" w:rsidRPr="0080769D" w:rsidRDefault="008E76F5" w:rsidP="008A39B9">
            <w:pPr>
              <w:jc w:val="right"/>
              <w:rPr>
                <w:sz w:val="18"/>
                <w:szCs w:val="18"/>
              </w:rPr>
            </w:pPr>
            <w:r>
              <w:rPr>
                <w:rFonts w:cs="Arial"/>
                <w:color w:val="000000"/>
                <w:sz w:val="18"/>
                <w:szCs w:val="18"/>
              </w:rPr>
              <w:t>0.039</w:t>
            </w:r>
          </w:p>
        </w:tc>
        <w:tc>
          <w:tcPr>
            <w:tcW w:w="926" w:type="dxa"/>
            <w:tcBorders>
              <w:bottom w:val="single" w:sz="4" w:space="0" w:color="auto"/>
            </w:tcBorders>
            <w:vAlign w:val="center"/>
          </w:tcPr>
          <w:p w14:paraId="589AC224" w14:textId="77777777" w:rsidR="008E76F5" w:rsidRPr="0080769D" w:rsidRDefault="008E76F5" w:rsidP="008A39B9">
            <w:pPr>
              <w:jc w:val="right"/>
              <w:rPr>
                <w:rFonts w:cs="Arial"/>
                <w:color w:val="000000"/>
                <w:sz w:val="18"/>
                <w:szCs w:val="18"/>
              </w:rPr>
            </w:pPr>
            <w:r w:rsidRPr="0080769D">
              <w:rPr>
                <w:rFonts w:cs="Arial"/>
                <w:color w:val="000000"/>
                <w:sz w:val="18"/>
                <w:szCs w:val="18"/>
              </w:rPr>
              <w:t>0.0</w:t>
            </w:r>
            <w:r>
              <w:rPr>
                <w:rFonts w:cs="Arial"/>
                <w:color w:val="000000"/>
                <w:sz w:val="18"/>
                <w:szCs w:val="18"/>
              </w:rPr>
              <w:t>52</w:t>
            </w:r>
          </w:p>
        </w:tc>
      </w:tr>
      <w:tr w:rsidR="008E76F5" w14:paraId="5713A2B2" w14:textId="77777777" w:rsidTr="008A39B9">
        <w:trPr>
          <w:trHeight w:val="1204"/>
        </w:trPr>
        <w:tc>
          <w:tcPr>
            <w:tcW w:w="9886" w:type="dxa"/>
            <w:gridSpan w:val="10"/>
            <w:tcBorders>
              <w:top w:val="single" w:sz="4" w:space="0" w:color="auto"/>
            </w:tcBorders>
          </w:tcPr>
          <w:p w14:paraId="367BE426" w14:textId="77777777" w:rsidR="008E76F5" w:rsidRPr="00DB74A7" w:rsidRDefault="008E76F5" w:rsidP="008A39B9">
            <w:pPr>
              <w:rPr>
                <w:rFonts w:cs="Arial"/>
                <w:color w:val="000000"/>
                <w:sz w:val="18"/>
                <w:szCs w:val="18"/>
              </w:rPr>
            </w:pPr>
            <w:r w:rsidRPr="00DB74A7">
              <w:rPr>
                <w:rFonts w:cs="Arial"/>
                <w:color w:val="000000"/>
                <w:sz w:val="18"/>
                <w:szCs w:val="18"/>
                <w:vertAlign w:val="superscript"/>
              </w:rPr>
              <w:t xml:space="preserve">(1) </w:t>
            </w:r>
            <w:r w:rsidRPr="00DB74A7">
              <w:rPr>
                <w:rFonts w:cs="Arial"/>
                <w:color w:val="000000"/>
                <w:sz w:val="18"/>
                <w:szCs w:val="18"/>
              </w:rPr>
              <w:t>log-transformed</w:t>
            </w:r>
            <w:r>
              <w:rPr>
                <w:rFonts w:cs="Arial"/>
                <w:color w:val="000000"/>
                <w:sz w:val="18"/>
                <w:szCs w:val="18"/>
              </w:rPr>
              <w:t xml:space="preserve"> and then z-transformed to a mean of 0 and a standard deviation (</w:t>
            </w:r>
            <w:proofErr w:type="spellStart"/>
            <w:r>
              <w:rPr>
                <w:rFonts w:cs="Arial"/>
                <w:color w:val="000000"/>
                <w:sz w:val="18"/>
                <w:szCs w:val="18"/>
              </w:rPr>
              <w:t>sd</w:t>
            </w:r>
            <w:proofErr w:type="spellEnd"/>
            <w:r>
              <w:rPr>
                <w:rFonts w:cs="Arial"/>
                <w:color w:val="000000"/>
                <w:sz w:val="18"/>
                <w:szCs w:val="18"/>
              </w:rPr>
              <w:t>) of 1</w:t>
            </w:r>
            <w:r>
              <w:rPr>
                <w:rFonts w:cs="Arial"/>
                <w:color w:val="000000"/>
                <w:sz w:val="18"/>
                <w:szCs w:val="18"/>
              </w:rPr>
              <w:br/>
              <w:t xml:space="preserve">    orig. means (</w:t>
            </w:r>
            <w:proofErr w:type="spellStart"/>
            <w:r>
              <w:rPr>
                <w:rFonts w:cs="Arial"/>
                <w:color w:val="000000"/>
                <w:sz w:val="18"/>
                <w:szCs w:val="18"/>
              </w:rPr>
              <w:t>sd</w:t>
            </w:r>
            <w:proofErr w:type="spellEnd"/>
            <w:r>
              <w:rPr>
                <w:rFonts w:cs="Arial"/>
                <w:color w:val="000000"/>
                <w:sz w:val="18"/>
                <w:szCs w:val="18"/>
              </w:rPr>
              <w:t>): natural log. of VPD: 1.727 (0.984) and natural log. of SWC: 2.559 (0.440)</w:t>
            </w:r>
          </w:p>
          <w:p w14:paraId="49EC4F02" w14:textId="77777777" w:rsidR="008E76F5" w:rsidRPr="00DB74A7" w:rsidRDefault="008E76F5" w:rsidP="008A39B9">
            <w:pPr>
              <w:rPr>
                <w:rFonts w:cs="Arial"/>
                <w:color w:val="000000"/>
                <w:sz w:val="18"/>
                <w:szCs w:val="18"/>
              </w:rPr>
            </w:pPr>
            <w:r w:rsidRPr="00DB74A7">
              <w:rPr>
                <w:rFonts w:cs="Arial"/>
                <w:color w:val="000000"/>
                <w:sz w:val="18"/>
                <w:szCs w:val="18"/>
                <w:vertAlign w:val="superscript"/>
              </w:rPr>
              <w:t>(2)</w:t>
            </w:r>
            <w:r w:rsidRPr="00DB74A7">
              <w:rPr>
                <w:rFonts w:cs="Arial"/>
                <w:color w:val="000000"/>
                <w:sz w:val="18"/>
                <w:szCs w:val="18"/>
              </w:rPr>
              <w:t xml:space="preserve"> the indicated test refers to the overall effect of daytime</w:t>
            </w:r>
          </w:p>
          <w:p w14:paraId="099FEB54" w14:textId="77777777" w:rsidR="008E76F5" w:rsidRPr="00DB74A7" w:rsidRDefault="008E76F5" w:rsidP="008A39B9">
            <w:pPr>
              <w:rPr>
                <w:rFonts w:cs="Arial"/>
                <w:color w:val="000000"/>
                <w:sz w:val="18"/>
                <w:szCs w:val="18"/>
              </w:rPr>
            </w:pPr>
            <w:r>
              <w:rPr>
                <w:rFonts w:cs="Arial"/>
                <w:color w:val="000000"/>
                <w:sz w:val="18"/>
                <w:szCs w:val="18"/>
              </w:rPr>
              <w:t xml:space="preserve">Statistical significance of all predictors was tested using </w:t>
            </w:r>
            <w:r w:rsidRPr="003F1226">
              <w:rPr>
                <w:rFonts w:cs="Arial"/>
                <w:i/>
                <w:iCs/>
                <w:color w:val="000000"/>
                <w:sz w:val="18"/>
                <w:szCs w:val="18"/>
              </w:rPr>
              <w:t>F</w:t>
            </w:r>
            <w:r>
              <w:rPr>
                <w:rFonts w:cs="Arial"/>
                <w:color w:val="000000"/>
                <w:sz w:val="18"/>
                <w:szCs w:val="18"/>
              </w:rPr>
              <w:t>-tests with denominator degrees of freedom of 962</w:t>
            </w:r>
          </w:p>
        </w:tc>
      </w:tr>
    </w:tbl>
    <w:p w14:paraId="275574CF" w14:textId="77777777" w:rsidR="008E76F5" w:rsidRPr="00BE01AC" w:rsidRDefault="008E76F5" w:rsidP="008E76F5">
      <w:pPr>
        <w:pStyle w:val="Bild"/>
        <w:ind w:left="0" w:firstLine="0"/>
        <w:jc w:val="left"/>
        <w:rPr>
          <w:lang w:val="es-EC"/>
        </w:rPr>
      </w:pPr>
      <w:r>
        <w:drawing>
          <wp:anchor distT="0" distB="0" distL="114300" distR="114300" simplePos="0" relativeHeight="251659264" behindDoc="0" locked="0" layoutInCell="1" allowOverlap="1" wp14:anchorId="17C9E7BD" wp14:editId="37CBE96B">
            <wp:simplePos x="0" y="0"/>
            <wp:positionH relativeFrom="column">
              <wp:posOffset>2301240</wp:posOffset>
            </wp:positionH>
            <wp:positionV relativeFrom="paragraph">
              <wp:posOffset>170815</wp:posOffset>
            </wp:positionV>
            <wp:extent cx="1889332" cy="2520000"/>
            <wp:effectExtent l="0" t="0" r="0" b="0"/>
            <wp:wrapSquare wrapText="bothSides"/>
            <wp:docPr id="1694931477" name="Picture 169493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6008" b="-1"/>
                    <a:stretch/>
                  </pic:blipFill>
                  <pic:spPr bwMode="auto">
                    <a:xfrm>
                      <a:off x="0" y="0"/>
                      <a:ext cx="1889332" cy="25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0288" behindDoc="0" locked="0" layoutInCell="1" allowOverlap="1" wp14:anchorId="24C68AB6" wp14:editId="6FC41D9D">
            <wp:simplePos x="0" y="0"/>
            <wp:positionH relativeFrom="margin">
              <wp:align>left</wp:align>
            </wp:positionH>
            <wp:positionV relativeFrom="paragraph">
              <wp:posOffset>170815</wp:posOffset>
            </wp:positionV>
            <wp:extent cx="1887669" cy="2520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632" t="5725" r="7511" b="277"/>
                    <a:stretch/>
                  </pic:blipFill>
                  <pic:spPr bwMode="auto">
                    <a:xfrm>
                      <a:off x="0" y="0"/>
                      <a:ext cx="1887669" cy="25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6F037E" w14:textId="77777777" w:rsidR="008E76F5" w:rsidRDefault="008E76F5" w:rsidP="008E76F5">
      <w:pPr>
        <w:jc w:val="both"/>
        <w:rPr>
          <w:rFonts w:ascii="Arial" w:hAnsi="Arial" w:cs="Arial"/>
          <w:b/>
          <w:bCs/>
          <w:sz w:val="20"/>
          <w:szCs w:val="20"/>
        </w:rPr>
      </w:pPr>
    </w:p>
    <w:p w14:paraId="01E5A788" w14:textId="77777777" w:rsidR="008E76F5" w:rsidRDefault="008E76F5" w:rsidP="008E76F5">
      <w:pPr>
        <w:jc w:val="both"/>
        <w:rPr>
          <w:rFonts w:ascii="Arial" w:hAnsi="Arial" w:cs="Arial"/>
          <w:b/>
          <w:bCs/>
          <w:sz w:val="20"/>
          <w:szCs w:val="20"/>
        </w:rPr>
      </w:pPr>
    </w:p>
    <w:p w14:paraId="6258CD11" w14:textId="77777777" w:rsidR="008E76F5" w:rsidRDefault="008E76F5" w:rsidP="008E76F5">
      <w:pPr>
        <w:jc w:val="both"/>
        <w:rPr>
          <w:rFonts w:ascii="Arial" w:hAnsi="Arial" w:cs="Arial"/>
          <w:b/>
          <w:bCs/>
          <w:sz w:val="20"/>
          <w:szCs w:val="20"/>
        </w:rPr>
      </w:pPr>
    </w:p>
    <w:p w14:paraId="03BFFC05" w14:textId="77777777" w:rsidR="008E76F5" w:rsidRDefault="008E76F5" w:rsidP="008E76F5">
      <w:pPr>
        <w:jc w:val="both"/>
        <w:rPr>
          <w:rFonts w:ascii="Arial" w:hAnsi="Arial" w:cs="Arial"/>
          <w:b/>
          <w:bCs/>
          <w:sz w:val="20"/>
          <w:szCs w:val="20"/>
        </w:rPr>
      </w:pPr>
    </w:p>
    <w:p w14:paraId="7733F313" w14:textId="77777777" w:rsidR="008E76F5" w:rsidRDefault="008E76F5" w:rsidP="008E76F5">
      <w:pPr>
        <w:jc w:val="both"/>
        <w:rPr>
          <w:rFonts w:ascii="Arial" w:hAnsi="Arial" w:cs="Arial"/>
          <w:b/>
          <w:bCs/>
          <w:sz w:val="20"/>
          <w:szCs w:val="20"/>
        </w:rPr>
      </w:pPr>
    </w:p>
    <w:p w14:paraId="1F012700" w14:textId="77777777" w:rsidR="008E76F5" w:rsidRDefault="008E76F5" w:rsidP="008E76F5">
      <w:pPr>
        <w:jc w:val="both"/>
        <w:rPr>
          <w:rFonts w:ascii="Arial" w:hAnsi="Arial" w:cs="Arial"/>
          <w:b/>
          <w:bCs/>
          <w:sz w:val="20"/>
          <w:szCs w:val="20"/>
        </w:rPr>
      </w:pPr>
    </w:p>
    <w:p w14:paraId="0A41F1A9" w14:textId="77777777" w:rsidR="008E76F5" w:rsidRDefault="008E76F5" w:rsidP="008E76F5">
      <w:pPr>
        <w:jc w:val="both"/>
        <w:rPr>
          <w:rFonts w:ascii="Arial" w:hAnsi="Arial" w:cs="Arial"/>
          <w:b/>
          <w:bCs/>
          <w:sz w:val="20"/>
          <w:szCs w:val="20"/>
        </w:rPr>
      </w:pPr>
    </w:p>
    <w:p w14:paraId="1EE09EE3" w14:textId="77777777" w:rsidR="008E76F5" w:rsidRDefault="008E76F5" w:rsidP="008E76F5">
      <w:pPr>
        <w:jc w:val="both"/>
        <w:rPr>
          <w:rFonts w:ascii="Arial" w:hAnsi="Arial" w:cs="Arial"/>
          <w:b/>
          <w:bCs/>
          <w:sz w:val="20"/>
          <w:szCs w:val="20"/>
        </w:rPr>
      </w:pPr>
    </w:p>
    <w:p w14:paraId="2A3C30AD" w14:textId="77777777" w:rsidR="008E76F5" w:rsidRDefault="008E76F5" w:rsidP="008E76F5">
      <w:pPr>
        <w:jc w:val="both"/>
        <w:rPr>
          <w:rFonts w:ascii="Arial" w:hAnsi="Arial" w:cs="Arial"/>
          <w:b/>
          <w:bCs/>
          <w:sz w:val="20"/>
          <w:szCs w:val="20"/>
        </w:rPr>
      </w:pPr>
    </w:p>
    <w:p w14:paraId="622417E4" w14:textId="5FA2A997" w:rsidR="008E76F5" w:rsidRDefault="008E76F5" w:rsidP="008E76F5">
      <w:pPr>
        <w:jc w:val="both"/>
        <w:rPr>
          <w:rFonts w:ascii="Arial" w:hAnsi="Arial" w:cs="Arial"/>
          <w:sz w:val="20"/>
          <w:szCs w:val="20"/>
        </w:rPr>
        <w:sectPr w:rsidR="008E76F5" w:rsidSect="00887E6A">
          <w:pgSz w:w="12701" w:h="16840"/>
          <w:pgMar w:top="1418" w:right="1418" w:bottom="1134" w:left="1418" w:header="709" w:footer="709" w:gutter="0"/>
          <w:cols w:space="708"/>
          <w:docGrid w:linePitch="360"/>
        </w:sectPr>
      </w:pPr>
      <w:r w:rsidRPr="00BE01AC">
        <w:rPr>
          <w:rFonts w:ascii="Arial" w:hAnsi="Arial" w:cs="Arial"/>
          <w:b/>
          <w:bCs/>
          <w:sz w:val="20"/>
          <w:szCs w:val="20"/>
        </w:rPr>
        <w:t>Fig. S3</w:t>
      </w:r>
      <w:r>
        <w:rPr>
          <w:rFonts w:ascii="Arial" w:hAnsi="Arial" w:cs="Arial"/>
          <w:sz w:val="20"/>
          <w:szCs w:val="20"/>
        </w:rPr>
        <w:tab/>
        <w:t xml:space="preserve">Miniature sap flow sensor head (left picture) with two thermocouples and the heat resistor in between, and the installation of a miniature sap flow sensor on a living small-diameter root in the upper soil (right picture) </w:t>
      </w:r>
      <w:r w:rsidRPr="00BB3661">
        <w:rPr>
          <w:rFonts w:ascii="Arial" w:hAnsi="Arial" w:cs="Arial"/>
          <w:sz w:val="16"/>
          <w:szCs w:val="16"/>
        </w:rPr>
        <w:t>(</w:t>
      </w:r>
      <w:r>
        <w:rPr>
          <w:sz w:val="16"/>
          <w:szCs w:val="16"/>
        </w:rPr>
        <w:t>©</w:t>
      </w:r>
      <w:r w:rsidRPr="00BB3661">
        <w:rPr>
          <w:rFonts w:ascii="Arial" w:hAnsi="Arial" w:cs="Arial"/>
          <w:sz w:val="16"/>
          <w:szCs w:val="16"/>
        </w:rPr>
        <w:t xml:space="preserve"> Laura Würzberg</w:t>
      </w:r>
      <w:r>
        <w:rPr>
          <w:rFonts w:ascii="Arial" w:hAnsi="Arial" w:cs="Arial"/>
          <w:sz w:val="16"/>
          <w:szCs w:val="16"/>
        </w:rPr>
        <w:t>, 2022</w:t>
      </w:r>
      <w:r w:rsidR="0055024A">
        <w:rPr>
          <w:rFonts w:ascii="Arial" w:hAnsi="Arial" w:cs="Arial"/>
          <w:sz w:val="16"/>
          <w:szCs w:val="16"/>
        </w:rPr>
        <w:t>)</w:t>
      </w:r>
    </w:p>
    <w:p w14:paraId="23549AC5" w14:textId="77777777" w:rsidR="0055024A" w:rsidRDefault="008E76F5" w:rsidP="008E76F5">
      <w:pPr>
        <w:pStyle w:val="FigCaption"/>
        <w:rPr>
          <w:b/>
          <w:bCs w:val="0"/>
        </w:rPr>
      </w:pPr>
      <w:r>
        <w:lastRenderedPageBreak/>
        <w:drawing>
          <wp:anchor distT="0" distB="0" distL="114300" distR="114300" simplePos="0" relativeHeight="251661312" behindDoc="0" locked="0" layoutInCell="1" allowOverlap="1" wp14:anchorId="51B10466" wp14:editId="0F029A58">
            <wp:simplePos x="0" y="0"/>
            <wp:positionH relativeFrom="margin">
              <wp:align>left</wp:align>
            </wp:positionH>
            <wp:positionV relativeFrom="paragraph">
              <wp:posOffset>55</wp:posOffset>
            </wp:positionV>
            <wp:extent cx="2942479" cy="3924000"/>
            <wp:effectExtent l="0" t="0" r="0" b="635"/>
            <wp:wrapSquare wrapText="bothSides"/>
            <wp:docPr id="1006852862" name="Picture 100685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2479" cy="39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1D14">
        <w:drawing>
          <wp:anchor distT="0" distB="0" distL="114300" distR="114300" simplePos="0" relativeHeight="251662336" behindDoc="0" locked="0" layoutInCell="1" allowOverlap="1" wp14:anchorId="71E7DAE9" wp14:editId="66C61EA5">
            <wp:simplePos x="0" y="0"/>
            <wp:positionH relativeFrom="margin">
              <wp:align>right</wp:align>
            </wp:positionH>
            <wp:positionV relativeFrom="paragraph">
              <wp:posOffset>563</wp:posOffset>
            </wp:positionV>
            <wp:extent cx="2943241" cy="3924000"/>
            <wp:effectExtent l="0" t="0" r="0"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3241" cy="39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E76BFF" w14:textId="043FEC30" w:rsidR="008E76F5" w:rsidRPr="0055024A" w:rsidRDefault="008E76F5" w:rsidP="008E76F5">
      <w:pPr>
        <w:pStyle w:val="FigCaption"/>
        <w:rPr>
          <w:b/>
          <w:bCs w:val="0"/>
        </w:rPr>
      </w:pPr>
      <w:r w:rsidRPr="00A21D14">
        <w:rPr>
          <w:b/>
          <w:bCs w:val="0"/>
        </w:rPr>
        <w:t>Fig. S4</w:t>
      </w:r>
      <w:r w:rsidRPr="00A21D14">
        <w:t xml:space="preserve"> Leaves (left picture) and tree (right picture) of a </w:t>
      </w:r>
      <w:r w:rsidRPr="00BB3661">
        <w:rPr>
          <w:i/>
          <w:iCs/>
        </w:rPr>
        <w:t>Vachellia macracantha</w:t>
      </w:r>
      <w:r w:rsidRPr="00A21D14">
        <w:t xml:space="preserve"> </w:t>
      </w:r>
      <w:r>
        <w:t>tree</w:t>
      </w:r>
      <w:r w:rsidRPr="00A21D14">
        <w:t xml:space="preserve"> in the study area at 600 m a.s.l.</w:t>
      </w:r>
      <w:bookmarkStart w:id="1" w:name="_Hlk213661230"/>
      <w:r>
        <w:t xml:space="preserve"> during the early dry season in May 2022 </w:t>
      </w:r>
      <w:r w:rsidRPr="00BB3661">
        <w:rPr>
          <w:sz w:val="16"/>
          <w:szCs w:val="16"/>
        </w:rPr>
        <w:t>(</w:t>
      </w:r>
      <w:r>
        <w:rPr>
          <w:sz w:val="16"/>
          <w:szCs w:val="16"/>
        </w:rPr>
        <w:t>©</w:t>
      </w:r>
      <w:r w:rsidRPr="00BB3661">
        <w:rPr>
          <w:sz w:val="16"/>
          <w:szCs w:val="16"/>
        </w:rPr>
        <w:t xml:space="preserve"> Laura Würzberg</w:t>
      </w:r>
      <w:r>
        <w:rPr>
          <w:sz w:val="16"/>
          <w:szCs w:val="16"/>
        </w:rPr>
        <w:t>, 2022</w:t>
      </w:r>
      <w:r w:rsidRPr="00BB3661">
        <w:rPr>
          <w:sz w:val="16"/>
          <w:szCs w:val="16"/>
        </w:rPr>
        <w:t>)</w:t>
      </w:r>
    </w:p>
    <w:p w14:paraId="132709B4" w14:textId="77777777" w:rsidR="008E76F5" w:rsidRDefault="008E76F5" w:rsidP="008E76F5">
      <w:pPr>
        <w:pStyle w:val="Bild"/>
      </w:pPr>
      <w:r>
        <w:lastRenderedPageBreak/>
        <w:drawing>
          <wp:inline distT="0" distB="0" distL="0" distR="0" wp14:anchorId="59927F79" wp14:editId="2860F9B4">
            <wp:extent cx="6238875" cy="4724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39793" cy="4725095"/>
                    </a:xfrm>
                    <a:prstGeom prst="rect">
                      <a:avLst/>
                    </a:prstGeom>
                    <a:noFill/>
                    <a:ln>
                      <a:noFill/>
                    </a:ln>
                  </pic:spPr>
                </pic:pic>
              </a:graphicData>
            </a:graphic>
          </wp:inline>
        </w:drawing>
      </w:r>
    </w:p>
    <w:p w14:paraId="5BABFFBA" w14:textId="3CA9F82D" w:rsidR="008E76F5" w:rsidRDefault="008E76F5" w:rsidP="008E76F5">
      <w:pPr>
        <w:pStyle w:val="FigCaption"/>
        <w:sectPr w:rsidR="008E76F5" w:rsidSect="00887E6A">
          <w:pgSz w:w="12701" w:h="16840"/>
          <w:pgMar w:top="1418" w:right="1418" w:bottom="1134" w:left="1418" w:header="709" w:footer="709" w:gutter="0"/>
          <w:cols w:space="708"/>
          <w:docGrid w:linePitch="360"/>
        </w:sectPr>
      </w:pPr>
      <w:r w:rsidRPr="007E1D6D">
        <w:rPr>
          <w:b/>
          <w:bCs w:val="0"/>
        </w:rPr>
        <w:t>Fig. S5</w:t>
      </w:r>
      <w:r w:rsidRPr="00A13CA5">
        <w:t xml:space="preserve"> </w:t>
      </w:r>
      <w:r w:rsidRPr="007E1D6D">
        <w:rPr>
          <w:i/>
          <w:iCs/>
        </w:rPr>
        <w:t>Armatocereus laetus</w:t>
      </w:r>
      <w:r w:rsidRPr="00A13CA5">
        <w:t xml:space="preserve"> </w:t>
      </w:r>
      <w:r>
        <w:t xml:space="preserve">individuals </w:t>
      </w:r>
      <w:r w:rsidRPr="00A13CA5">
        <w:t xml:space="preserve">(front) and </w:t>
      </w:r>
      <w:r>
        <w:t xml:space="preserve">a fully foliated, deciduous stem-succulent </w:t>
      </w:r>
      <w:r w:rsidRPr="007E1D6D">
        <w:rPr>
          <w:i/>
          <w:iCs/>
        </w:rPr>
        <w:t>Ceiba trischistandra</w:t>
      </w:r>
      <w:r w:rsidRPr="00A13CA5">
        <w:t xml:space="preserve"> </w:t>
      </w:r>
      <w:r>
        <w:t xml:space="preserve">tree </w:t>
      </w:r>
      <w:r w:rsidRPr="00A13CA5">
        <w:t>(background) in the study area at 600 m a.s.l</w:t>
      </w:r>
      <w:r>
        <w:t xml:space="preserve">. during the rainy season in March 2023 </w:t>
      </w:r>
      <w:r w:rsidRPr="00BB3661">
        <w:rPr>
          <w:sz w:val="16"/>
          <w:szCs w:val="16"/>
        </w:rPr>
        <w:t>(</w:t>
      </w:r>
      <w:r>
        <w:rPr>
          <w:sz w:val="16"/>
          <w:szCs w:val="16"/>
        </w:rPr>
        <w:t>©</w:t>
      </w:r>
      <w:r w:rsidRPr="00BB3661">
        <w:rPr>
          <w:sz w:val="16"/>
          <w:szCs w:val="16"/>
        </w:rPr>
        <w:t xml:space="preserve"> L</w:t>
      </w:r>
      <w:r>
        <w:rPr>
          <w:sz w:val="16"/>
          <w:szCs w:val="16"/>
        </w:rPr>
        <w:t>ea Kerwer, 2023</w:t>
      </w:r>
      <w:r w:rsidRPr="00BB3661">
        <w:rPr>
          <w:sz w:val="16"/>
          <w:szCs w:val="16"/>
        </w:rPr>
        <w:t>)</w:t>
      </w:r>
    </w:p>
    <w:p w14:paraId="707E6B64" w14:textId="77777777" w:rsidR="008E76F5" w:rsidRDefault="008E76F5" w:rsidP="008E76F5">
      <w:pPr>
        <w:pStyle w:val="Bild"/>
      </w:pPr>
      <w:r>
        <w:lastRenderedPageBreak/>
        <w:drawing>
          <wp:inline distT="0" distB="0" distL="0" distR="0" wp14:anchorId="4EDE4298" wp14:editId="3FADABEB">
            <wp:extent cx="6239084" cy="4680000"/>
            <wp:effectExtent l="0" t="0" r="952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39084" cy="4680000"/>
                    </a:xfrm>
                    <a:prstGeom prst="rect">
                      <a:avLst/>
                    </a:prstGeom>
                    <a:noFill/>
                    <a:ln>
                      <a:noFill/>
                    </a:ln>
                  </pic:spPr>
                </pic:pic>
              </a:graphicData>
            </a:graphic>
          </wp:inline>
        </w:drawing>
      </w:r>
    </w:p>
    <w:p w14:paraId="3CEADFF4" w14:textId="7FC24D48" w:rsidR="008E76F5" w:rsidRDefault="008E76F5" w:rsidP="008E76F5">
      <w:pPr>
        <w:pStyle w:val="FigCaption"/>
        <w:rPr>
          <w:sz w:val="16"/>
          <w:szCs w:val="16"/>
        </w:rPr>
      </w:pPr>
      <w:r w:rsidRPr="007E1D6D">
        <w:rPr>
          <w:b/>
          <w:bCs w:val="0"/>
        </w:rPr>
        <w:t>Fig. S6</w:t>
      </w:r>
      <w:r>
        <w:t xml:space="preserve"> Depicted are</w:t>
      </w:r>
      <w:r w:rsidRPr="00A13CA5">
        <w:t xml:space="preserve"> fully foliated individuals of </w:t>
      </w:r>
      <w:r>
        <w:t>the deciduous root-succulent</w:t>
      </w:r>
      <w:r w:rsidRPr="00A13CA5">
        <w:t xml:space="preserve"> </w:t>
      </w:r>
      <w:r w:rsidRPr="00A13CA5">
        <w:rPr>
          <w:i/>
          <w:iCs/>
        </w:rPr>
        <w:t xml:space="preserve">Eriotheca ruizii </w:t>
      </w:r>
      <w:r w:rsidRPr="00DE6A15">
        <w:t>(two</w:t>
      </w:r>
      <w:r>
        <w:t xml:space="preserve"> trees on the</w:t>
      </w:r>
      <w:r w:rsidRPr="00DE6A15">
        <w:t xml:space="preserve"> left) in </w:t>
      </w:r>
      <w:r w:rsidRPr="00A13CA5">
        <w:t>the study area at 600 m a.s.l.</w:t>
      </w:r>
      <w:r>
        <w:t xml:space="preserve"> during the rainy season in March 2023 </w:t>
      </w:r>
      <w:r w:rsidRPr="00BB3661">
        <w:rPr>
          <w:sz w:val="16"/>
          <w:szCs w:val="16"/>
        </w:rPr>
        <w:t>(</w:t>
      </w:r>
      <w:r>
        <w:rPr>
          <w:sz w:val="16"/>
          <w:szCs w:val="16"/>
        </w:rPr>
        <w:t>©</w:t>
      </w:r>
      <w:r w:rsidRPr="00BB3661">
        <w:rPr>
          <w:sz w:val="16"/>
          <w:szCs w:val="16"/>
        </w:rPr>
        <w:t xml:space="preserve"> L</w:t>
      </w:r>
      <w:r>
        <w:rPr>
          <w:sz w:val="16"/>
          <w:szCs w:val="16"/>
        </w:rPr>
        <w:t>ea Kerwer, 2023</w:t>
      </w:r>
      <w:r w:rsidRPr="00BB3661">
        <w:rPr>
          <w:sz w:val="16"/>
          <w:szCs w:val="16"/>
        </w:rPr>
        <w:t>)</w:t>
      </w:r>
      <w:bookmarkEnd w:id="1"/>
    </w:p>
    <w:p w14:paraId="199E5A9A" w14:textId="77777777" w:rsidR="008E76F5" w:rsidRPr="00347658" w:rsidRDefault="008E76F5" w:rsidP="008E76F5">
      <w:pPr>
        <w:pStyle w:val="Bild"/>
        <w:rPr>
          <w:b w:val="0"/>
          <w:bCs w:val="0"/>
        </w:rPr>
      </w:pPr>
      <w:r w:rsidRPr="00867FF9">
        <w:lastRenderedPageBreak/>
        <w:drawing>
          <wp:inline distT="0" distB="0" distL="0" distR="0" wp14:anchorId="04A92307" wp14:editId="67B1700C">
            <wp:extent cx="6239083" cy="4680000"/>
            <wp:effectExtent l="0" t="0" r="9525" b="6350"/>
            <wp:docPr id="1461508337" name="Picture 1461508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39083" cy="4680000"/>
                    </a:xfrm>
                    <a:prstGeom prst="rect">
                      <a:avLst/>
                    </a:prstGeom>
                    <a:noFill/>
                    <a:ln>
                      <a:noFill/>
                    </a:ln>
                  </pic:spPr>
                </pic:pic>
              </a:graphicData>
            </a:graphic>
          </wp:inline>
        </w:drawing>
      </w:r>
    </w:p>
    <w:p w14:paraId="6B0679F1" w14:textId="77777777" w:rsidR="008E76F5" w:rsidRPr="00867FF9" w:rsidRDefault="008E76F5" w:rsidP="008E76F5">
      <w:pPr>
        <w:pStyle w:val="FigCaption"/>
        <w:rPr>
          <w:sz w:val="16"/>
          <w:szCs w:val="16"/>
        </w:rPr>
      </w:pPr>
      <w:r w:rsidRPr="007E1D6D">
        <w:rPr>
          <w:b/>
          <w:bCs w:val="0"/>
        </w:rPr>
        <w:t>Fig. S</w:t>
      </w:r>
      <w:r>
        <w:rPr>
          <w:b/>
          <w:bCs w:val="0"/>
        </w:rPr>
        <w:t>7</w:t>
      </w:r>
      <w:r>
        <w:t xml:space="preserve"> Depicted are individuals of the tall, evergreen cactus </w:t>
      </w:r>
      <w:r w:rsidRPr="007E1D6D">
        <w:rPr>
          <w:i/>
          <w:iCs/>
        </w:rPr>
        <w:t>Armatocereus laetus</w:t>
      </w:r>
      <w:r w:rsidRPr="00A13CA5">
        <w:t xml:space="preserve"> </w:t>
      </w:r>
      <w:r>
        <w:t xml:space="preserve">(on the left, in the middle and on the right), </w:t>
      </w:r>
      <w:r w:rsidRPr="00A13CA5">
        <w:t xml:space="preserve">of </w:t>
      </w:r>
      <w:r>
        <w:t>the deciduous root-succulent</w:t>
      </w:r>
      <w:r w:rsidRPr="00A13CA5">
        <w:t xml:space="preserve"> </w:t>
      </w:r>
      <w:r w:rsidRPr="00A13CA5">
        <w:rPr>
          <w:i/>
          <w:iCs/>
        </w:rPr>
        <w:t xml:space="preserve">Eriotheca ruizii </w:t>
      </w:r>
      <w:r>
        <w:t xml:space="preserve">(grey bark, two individuals in the middle), and of the deciduous stem-succulent </w:t>
      </w:r>
      <w:r w:rsidRPr="007E1D6D">
        <w:rPr>
          <w:i/>
          <w:iCs/>
        </w:rPr>
        <w:t>Ceiba trischistandra</w:t>
      </w:r>
      <w:r w:rsidRPr="00A13CA5">
        <w:t xml:space="preserve"> </w:t>
      </w:r>
      <w:r>
        <w:t xml:space="preserve">(green bark, on the right) </w:t>
      </w:r>
      <w:r w:rsidRPr="00A13CA5">
        <w:t>in the study area at 600 m a.s.l.</w:t>
      </w:r>
      <w:r>
        <w:t xml:space="preserve"> during the late dry season in November 2023. All deciduous species are leafless </w:t>
      </w:r>
      <w:r w:rsidRPr="00BB3661">
        <w:rPr>
          <w:sz w:val="16"/>
          <w:szCs w:val="16"/>
        </w:rPr>
        <w:t>(</w:t>
      </w:r>
      <w:r>
        <w:rPr>
          <w:sz w:val="16"/>
          <w:szCs w:val="16"/>
        </w:rPr>
        <w:t>©</w:t>
      </w:r>
      <w:r w:rsidRPr="00BB3661">
        <w:rPr>
          <w:sz w:val="16"/>
          <w:szCs w:val="16"/>
        </w:rPr>
        <w:t xml:space="preserve"> L</w:t>
      </w:r>
      <w:r>
        <w:rPr>
          <w:sz w:val="16"/>
          <w:szCs w:val="16"/>
        </w:rPr>
        <w:t>ea Kerwer, 2023</w:t>
      </w:r>
      <w:r w:rsidRPr="00BB3661">
        <w:rPr>
          <w:sz w:val="16"/>
          <w:szCs w:val="16"/>
        </w:rPr>
        <w:t>)</w:t>
      </w:r>
    </w:p>
    <w:p w14:paraId="5D0F83FB" w14:textId="62D87282" w:rsidR="008E76F5" w:rsidRDefault="008E76F5" w:rsidP="00887E6A">
      <w:pPr>
        <w:pStyle w:val="Headlinesa"/>
        <w:spacing w:line="360" w:lineRule="auto"/>
      </w:pPr>
      <w:r w:rsidRPr="00887E6A">
        <w:rPr>
          <w:b/>
          <w:bCs w:val="0"/>
        </w:rPr>
        <w:t>Detailed information on “2.4</w:t>
      </w:r>
      <w:r w:rsidRPr="003B762A">
        <w:rPr>
          <w:b/>
          <w:bCs w:val="0"/>
        </w:rPr>
        <w:t xml:space="preserve"> The physical background and sensor calibration</w:t>
      </w:r>
      <w:r>
        <w:t>”</w:t>
      </w:r>
      <w:r w:rsidR="00887E6A">
        <w:tab/>
      </w:r>
      <w:r w:rsidR="00887E6A">
        <w:br/>
      </w:r>
      <w:r w:rsidR="00887E6A">
        <w:br/>
      </w:r>
      <w:r w:rsidRPr="009E7FE0">
        <w:t xml:space="preserve">We excised all root segments after the field measurements and calibrated each sensor individually in the laboratory on the respective root segment. For transport and storage, we conserved the segments in 70% ethanol. In the laboratory, the segments were re-cut under water (outermost 5 mm discarded) and connected via PVC tubes to the Xyl’em </w:t>
      </w:r>
      <w:r w:rsidRPr="00C10BC3">
        <w:t>apparatus (Cochard et al. 2013), a</w:t>
      </w:r>
      <w:r w:rsidRPr="009E7FE0">
        <w:t xml:space="preserve"> flow meter which measures flow in the root segment under a pressure of 0.12 MPa supplied by a reservoir containing water under pressure. A Liquiflow flow meter (Bronkhorst, Kamen, Germany) and flow-regulator placed between the water source and the segment was used to measure and control water flow through the segment. Flow was decreased in steps of 0.2 g h</w:t>
      </w:r>
      <w:r w:rsidRPr="009E7FE0">
        <w:rPr>
          <w:vertAlign w:val="superscript"/>
        </w:rPr>
        <w:t>-1</w:t>
      </w:r>
      <w:r w:rsidRPr="009E7FE0">
        <w:t xml:space="preserve"> within the range of 5 to 0 g h</w:t>
      </w:r>
      <w:r w:rsidRPr="009E7FE0">
        <w:rPr>
          <w:vertAlign w:val="superscript"/>
        </w:rPr>
        <w:t>-1</w:t>
      </w:r>
      <w:r w:rsidRPr="009E7FE0">
        <w:t>, starting at 5 g h</w:t>
      </w:r>
      <w:r w:rsidRPr="009E7FE0">
        <w:rPr>
          <w:vertAlign w:val="superscript"/>
        </w:rPr>
        <w:t>-1</w:t>
      </w:r>
      <w:r w:rsidRPr="009E7FE0">
        <w:t>. With the flow gauge attached to the root segment, we recorded the HRM values simultaneously, with the heat pulses set every 15 min. After finishing a HRM measurement cycle, the datalogger set the flow meter to the next flow rate, thus enabling an automated calibration run for each flow gauge and root segment over a period of several hours.</w:t>
      </w:r>
    </w:p>
    <w:p w14:paraId="37470C13" w14:textId="77777777" w:rsidR="008E76F5" w:rsidRPr="009E7FE0" w:rsidRDefault="008E76F5" w:rsidP="00887E6A">
      <w:pPr>
        <w:pStyle w:val="TextEinzug"/>
        <w:spacing w:line="360" w:lineRule="auto"/>
      </w:pPr>
      <w:r w:rsidRPr="009E7FE0">
        <w:lastRenderedPageBreak/>
        <w:t xml:space="preserve">Preliminary experiments proved the conclusion </w:t>
      </w:r>
      <w:r w:rsidRPr="006915DA">
        <w:t>of Clearwater et al. (2009) that the</w:t>
      </w:r>
      <w:r w:rsidRPr="009E7FE0">
        <w:t xml:space="preserve"> correlation between HRM values and measured water flow is linear in the range of 0 to approx</w:t>
      </w:r>
      <w:r>
        <w:t>imately</w:t>
      </w:r>
      <w:r w:rsidRPr="009E7FE0">
        <w:t xml:space="preserve"> 2 g h</w:t>
      </w:r>
      <w:r w:rsidRPr="009E7FE0">
        <w:rPr>
          <w:vertAlign w:val="superscript"/>
        </w:rPr>
        <w:t>-1</w:t>
      </w:r>
      <w:r w:rsidRPr="009E7FE0">
        <w:t>. At higher flow rates, the curve flatten</w:t>
      </w:r>
      <w:r>
        <w:t>ed</w:t>
      </w:r>
      <w:r w:rsidRPr="009E7FE0">
        <w:t xml:space="preserve"> and a linear relationship can no longer be assumed. However, the observed HRM values in the field never exceeded this range. The laboratory calibration was thus restricted to a measurement range from 0 to 2 g h</w:t>
      </w:r>
      <w:r w:rsidRPr="009E7FE0">
        <w:rPr>
          <w:vertAlign w:val="superscript"/>
        </w:rPr>
        <w:t>-1</w:t>
      </w:r>
      <w:r w:rsidRPr="009E7FE0">
        <w:t>.</w:t>
      </w:r>
    </w:p>
    <w:p w14:paraId="3BA71137" w14:textId="77777777" w:rsidR="008E76F5" w:rsidRPr="000744D6" w:rsidRDefault="008E76F5" w:rsidP="00887E6A">
      <w:pPr>
        <w:pStyle w:val="Headlinesa"/>
        <w:spacing w:line="360" w:lineRule="auto"/>
      </w:pPr>
      <w:r w:rsidRPr="00887E6A">
        <w:rPr>
          <w:b/>
          <w:bCs w:val="0"/>
        </w:rPr>
        <w:t>Detailed information on “2.</w:t>
      </w:r>
      <w:r w:rsidRPr="000744D6">
        <w:rPr>
          <w:b/>
          <w:bCs w:val="0"/>
        </w:rPr>
        <w:t>6 Data processing and statistical analyses</w:t>
      </w:r>
      <w:r w:rsidRPr="000744D6">
        <w:t>”</w:t>
      </w:r>
    </w:p>
    <w:p w14:paraId="134C3C6E" w14:textId="77777777" w:rsidR="008E76F5" w:rsidRPr="003F1226" w:rsidRDefault="008E76F5" w:rsidP="00887E6A">
      <w:pPr>
        <w:pStyle w:val="TextEinzug"/>
        <w:spacing w:line="360" w:lineRule="auto"/>
        <w:ind w:firstLine="0"/>
        <w:rPr>
          <w:sz w:val="16"/>
          <w:szCs w:val="16"/>
        </w:rPr>
      </w:pPr>
      <w:r w:rsidRPr="000744D6">
        <w:t xml:space="preserve">We further assessed whether collinearity among the predictors of each model was an issue by calculating Variance Inflation Factors (VIF, Field 2005), which were derived using the function vif of the R package car (version 3.1-2; Fox and Weisberg 2011). The highest VIF values were 6.002 and 4.783 for SWC and crown status, respectively, in the model for </w:t>
      </w:r>
      <w:r w:rsidRPr="000744D6">
        <w:rPr>
          <w:i/>
          <w:iCs/>
        </w:rPr>
        <w:t>E. ruizii</w:t>
      </w:r>
      <w:r w:rsidRPr="000744D6">
        <w:t xml:space="preserve">. We therefore plotted SWC against crown status (leafless vs. leaf-bearing) and detected a higher dispersion of SWC values when leaves were present. However, as SWC varied considerably for leafless and leaf-bearing crown status, we are confident that the model is able to differentiate the effects of both predictors on the response. As an overall test of the effect of SWC, VPD, and their interaction on sap flux and to avoid “cryptic multiple testing” (Forstmeier and Schielzeth 2011), we compared the fit of each full model with that of a respective null model lacking these terms and their interaction. To obtain significance tests for the effect of daytime, radiation intensity, and crown status (the latter only for </w:t>
      </w:r>
      <w:r w:rsidRPr="000744D6">
        <w:rPr>
          <w:i/>
          <w:iCs/>
        </w:rPr>
        <w:t>E. ruizii</w:t>
      </w:r>
      <w:r w:rsidRPr="000744D6">
        <w:t>, since the cactus is evergreen) on mean sap flux, we</w:t>
      </w:r>
      <w:r w:rsidRPr="009E6A76">
        <w:t xml:space="preserve"> further compared each full model with a corresponding reduced model lacking these predictors one at a time by applying an F-test (model for </w:t>
      </w:r>
      <w:r w:rsidRPr="009E6A76">
        <w:rPr>
          <w:i/>
          <w:iCs/>
        </w:rPr>
        <w:t>A. laetus</w:t>
      </w:r>
      <w:r w:rsidRPr="009E6A76">
        <w:t xml:space="preserve">) or a likelihood ratio test (model for </w:t>
      </w:r>
      <w:r w:rsidRPr="009E6A76">
        <w:rPr>
          <w:i/>
          <w:iCs/>
        </w:rPr>
        <w:t>E. ruizii</w:t>
      </w:r>
      <w:r w:rsidRPr="009E6A76">
        <w:t xml:space="preserve">). To test for the effect of daytime, we removed the sine and cosine of daytime from the full model. The main reason to do so was that daytime was represented by two terms in the model (sind and cosine of daytime) which can only be interpreted in conjuction, but an overall test of their effects was needed. We then tested the other effects using the same approach for reasons of consistency (but it should be noted that the obtained </w:t>
      </w:r>
      <w:r w:rsidRPr="009E6A76">
        <w:rPr>
          <w:i/>
          <w:iCs/>
        </w:rPr>
        <w:t>P</w:t>
      </w:r>
      <w:r w:rsidRPr="009E6A76">
        <w:t>-values should be essentially the same as those revealed by the standard model output). The reason for using a likelihood ratio test in case of the fitted model for E. ruizii was that the model was fitted using Maximum Likelihood in which case a likelyhood ratio test is the only option when using the function glmmTMB.</w:t>
      </w:r>
    </w:p>
    <w:p w14:paraId="5F690743" w14:textId="77777777" w:rsidR="00764B59" w:rsidRDefault="00764B59"/>
    <w:p w14:paraId="3C39764D" w14:textId="35E654DD" w:rsidR="00887E6A" w:rsidRPr="00887E6A" w:rsidRDefault="00887E6A">
      <w:pPr>
        <w:rPr>
          <w:rFonts w:ascii="Arial" w:hAnsi="Arial" w:cs="Arial"/>
          <w:b/>
          <w:bCs/>
        </w:rPr>
      </w:pPr>
      <w:r w:rsidRPr="00887E6A">
        <w:rPr>
          <w:rFonts w:ascii="Arial" w:hAnsi="Arial" w:cs="Arial"/>
          <w:b/>
          <w:bCs/>
        </w:rPr>
        <w:t xml:space="preserve">References </w:t>
      </w:r>
    </w:p>
    <w:p w14:paraId="7373D7A9" w14:textId="77777777" w:rsidR="00887E6A" w:rsidRPr="00887E6A" w:rsidRDefault="00887E6A" w:rsidP="00887E6A">
      <w:pPr>
        <w:jc w:val="both"/>
        <w:rPr>
          <w:rFonts w:ascii="Arial" w:hAnsi="Arial" w:cs="Arial"/>
        </w:rPr>
      </w:pPr>
      <w:r w:rsidRPr="00887E6A">
        <w:rPr>
          <w:rFonts w:ascii="Arial" w:hAnsi="Arial" w:cs="Arial"/>
          <w:noProof/>
          <w:lang w:val="en-GB"/>
        </w:rPr>
        <w:t xml:space="preserve">Clearwater MJ, Luo Z, Mazzeo M, Dichio B (2009) An external heat pulse method for measurement of sap flow through fruit pedicels, leaf petioles and other small-diameter stems. Plant Cell Environ 32:1652-1663. </w:t>
      </w:r>
      <w:r w:rsidRPr="00887E6A">
        <w:rPr>
          <w:rFonts w:ascii="Arial" w:hAnsi="Arial" w:cs="Arial"/>
        </w:rPr>
        <w:t>https://doi.org/10.1111/j.1365-3040.2009.02026.x</w:t>
      </w:r>
    </w:p>
    <w:p w14:paraId="7AE831C2" w14:textId="77777777" w:rsidR="00887E6A" w:rsidRPr="00887E6A" w:rsidRDefault="00887E6A" w:rsidP="00887E6A">
      <w:pPr>
        <w:spacing w:line="276" w:lineRule="auto"/>
        <w:jc w:val="both"/>
        <w:rPr>
          <w:rFonts w:ascii="Arial" w:hAnsi="Arial" w:cs="Arial"/>
          <w:noProof/>
          <w:lang w:val="en-GB"/>
        </w:rPr>
      </w:pPr>
      <w:r w:rsidRPr="00887E6A">
        <w:rPr>
          <w:rFonts w:ascii="Arial" w:hAnsi="Arial" w:cs="Arial"/>
          <w:noProof/>
          <w:lang w:val="en-GB"/>
        </w:rPr>
        <w:t xml:space="preserve">Cochard H, Badel E, Herbette S, Delzon S,  Choat B, Jansen S 2013 Methods for measuring plant vulnerability to cavitation: a critical review. J Exp Bot 64: 4779-4791. </w:t>
      </w:r>
      <w:r w:rsidRPr="00887E6A">
        <w:rPr>
          <w:rFonts w:ascii="Arial" w:hAnsi="Arial" w:cs="Arial"/>
          <w:bdr w:val="none" w:sz="0" w:space="0" w:color="auto" w:frame="1"/>
          <w:shd w:val="clear" w:color="auto" w:fill="FFFFFF"/>
        </w:rPr>
        <w:t>https://doi.org/10.1093/jxb/ert193</w:t>
      </w:r>
    </w:p>
    <w:p w14:paraId="0C4CE47C" w14:textId="77777777" w:rsidR="00887E6A" w:rsidRPr="00887E6A" w:rsidRDefault="00887E6A" w:rsidP="00887E6A">
      <w:pPr>
        <w:spacing w:line="276" w:lineRule="auto"/>
        <w:jc w:val="both"/>
        <w:rPr>
          <w:rFonts w:ascii="Arial" w:hAnsi="Arial" w:cs="Arial"/>
          <w:noProof/>
          <w:lang w:val="en-GB"/>
        </w:rPr>
      </w:pPr>
      <w:r w:rsidRPr="00887E6A">
        <w:rPr>
          <w:rFonts w:ascii="Arial" w:hAnsi="Arial" w:cs="Arial"/>
          <w:noProof/>
          <w:lang w:val="en-GB"/>
        </w:rPr>
        <w:t>Field A (2005) Discovering Statistics using SPSS. Sage Publications, London</w:t>
      </w:r>
    </w:p>
    <w:p w14:paraId="366B5831" w14:textId="77777777" w:rsidR="00887E6A" w:rsidRPr="00887E6A" w:rsidRDefault="00887E6A" w:rsidP="00887E6A">
      <w:pPr>
        <w:spacing w:line="276" w:lineRule="auto"/>
        <w:jc w:val="both"/>
        <w:rPr>
          <w:rFonts w:ascii="Arial" w:hAnsi="Arial" w:cs="Arial"/>
          <w:noProof/>
          <w:lang w:val="en-GB"/>
        </w:rPr>
      </w:pPr>
      <w:r w:rsidRPr="00887E6A">
        <w:rPr>
          <w:rFonts w:ascii="Arial" w:hAnsi="Arial" w:cs="Arial"/>
          <w:noProof/>
          <w:lang w:val="en-GB"/>
        </w:rPr>
        <w:lastRenderedPageBreak/>
        <w:t xml:space="preserve">Forstmeier W, Schielzeth H (2011) Cryptic multiple hypotheses testing in linear models: overestimated effect sizes and the winner’s curse. Behav Ecol and Sociobiol 65:47-55. </w:t>
      </w:r>
      <w:r w:rsidRPr="00887E6A">
        <w:rPr>
          <w:rFonts w:ascii="Arial" w:hAnsi="Arial" w:cs="Arial"/>
          <w:color w:val="222222"/>
          <w:shd w:val="clear" w:color="auto" w:fill="FFFFFF"/>
        </w:rPr>
        <w:t>https://doi.org/10.1007/s00265-010-1038-5</w:t>
      </w:r>
    </w:p>
    <w:p w14:paraId="73560C4C" w14:textId="056E4C8F" w:rsidR="00887E6A" w:rsidRPr="00887E6A" w:rsidRDefault="00887E6A">
      <w:pPr>
        <w:rPr>
          <w:rFonts w:ascii="Arial" w:hAnsi="Arial" w:cs="Arial"/>
        </w:rPr>
      </w:pPr>
      <w:r w:rsidRPr="00887E6A">
        <w:rPr>
          <w:rFonts w:ascii="Arial" w:hAnsi="Arial" w:cs="Arial"/>
        </w:rPr>
        <w:t>Fox J, Weisberg S (2011) An R Companion to Applied Regression. Sage, Thousand Oaks CA, second edition</w:t>
      </w:r>
    </w:p>
    <w:p w14:paraId="6AF9C8F8" w14:textId="77777777" w:rsidR="00887E6A" w:rsidRDefault="00887E6A">
      <w:pPr>
        <w:rPr>
          <w:rFonts w:ascii="Arial" w:hAnsi="Arial" w:cs="Arial"/>
        </w:rPr>
      </w:pPr>
    </w:p>
    <w:p w14:paraId="3BBCCEA9" w14:textId="77777777" w:rsidR="00887E6A" w:rsidRPr="00887E6A" w:rsidRDefault="00887E6A">
      <w:pPr>
        <w:rPr>
          <w:rFonts w:ascii="Arial" w:hAnsi="Arial" w:cs="Arial"/>
        </w:rPr>
      </w:pPr>
    </w:p>
    <w:sectPr w:rsidR="00887E6A" w:rsidRPr="00887E6A" w:rsidSect="00887E6A">
      <w:pgSz w:w="12701" w:h="16840"/>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F5"/>
    <w:rsid w:val="000744D6"/>
    <w:rsid w:val="00126957"/>
    <w:rsid w:val="0055024A"/>
    <w:rsid w:val="00634F9F"/>
    <w:rsid w:val="006915DA"/>
    <w:rsid w:val="00764B59"/>
    <w:rsid w:val="0082401C"/>
    <w:rsid w:val="00887E6A"/>
    <w:rsid w:val="008E76F5"/>
    <w:rsid w:val="00B13117"/>
    <w:rsid w:val="00C10BC3"/>
    <w:rsid w:val="00FD255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0937B"/>
  <w15:chartTrackingRefBased/>
  <w15:docId w15:val="{18D3DFD4-771E-4FAE-A5B7-FAAAA491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6F5"/>
    <w:pPr>
      <w:spacing w:line="259" w:lineRule="auto"/>
    </w:pPr>
    <w:rPr>
      <w:kern w:val="0"/>
      <w:sz w:val="22"/>
      <w:szCs w:val="22"/>
      <w14:ligatures w14:val="none"/>
    </w:rPr>
  </w:style>
  <w:style w:type="paragraph" w:styleId="Heading1">
    <w:name w:val="heading 1"/>
    <w:basedOn w:val="Normal"/>
    <w:next w:val="Normal"/>
    <w:link w:val="Heading1Char"/>
    <w:uiPriority w:val="9"/>
    <w:qFormat/>
    <w:rsid w:val="008E76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76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76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76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76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76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6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6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6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6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76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76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76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76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76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6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6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6F5"/>
    <w:rPr>
      <w:rFonts w:eastAsiaTheme="majorEastAsia" w:cstheme="majorBidi"/>
      <w:color w:val="272727" w:themeColor="text1" w:themeTint="D8"/>
    </w:rPr>
  </w:style>
  <w:style w:type="paragraph" w:styleId="Title">
    <w:name w:val="Title"/>
    <w:basedOn w:val="Normal"/>
    <w:next w:val="Normal"/>
    <w:link w:val="TitleChar"/>
    <w:uiPriority w:val="10"/>
    <w:qFormat/>
    <w:rsid w:val="008E7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6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6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6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6F5"/>
    <w:pPr>
      <w:spacing w:before="160"/>
      <w:jc w:val="center"/>
    </w:pPr>
    <w:rPr>
      <w:i/>
      <w:iCs/>
      <w:color w:val="404040" w:themeColor="text1" w:themeTint="BF"/>
    </w:rPr>
  </w:style>
  <w:style w:type="character" w:customStyle="1" w:styleId="QuoteChar">
    <w:name w:val="Quote Char"/>
    <w:basedOn w:val="DefaultParagraphFont"/>
    <w:link w:val="Quote"/>
    <w:uiPriority w:val="29"/>
    <w:rsid w:val="008E76F5"/>
    <w:rPr>
      <w:i/>
      <w:iCs/>
      <w:color w:val="404040" w:themeColor="text1" w:themeTint="BF"/>
    </w:rPr>
  </w:style>
  <w:style w:type="paragraph" w:styleId="ListParagraph">
    <w:name w:val="List Paragraph"/>
    <w:basedOn w:val="Normal"/>
    <w:uiPriority w:val="34"/>
    <w:qFormat/>
    <w:rsid w:val="008E76F5"/>
    <w:pPr>
      <w:ind w:left="720"/>
      <w:contextualSpacing/>
    </w:pPr>
  </w:style>
  <w:style w:type="character" w:styleId="IntenseEmphasis">
    <w:name w:val="Intense Emphasis"/>
    <w:basedOn w:val="DefaultParagraphFont"/>
    <w:uiPriority w:val="21"/>
    <w:qFormat/>
    <w:rsid w:val="008E76F5"/>
    <w:rPr>
      <w:i/>
      <w:iCs/>
      <w:color w:val="2F5496" w:themeColor="accent1" w:themeShade="BF"/>
    </w:rPr>
  </w:style>
  <w:style w:type="paragraph" w:styleId="IntenseQuote">
    <w:name w:val="Intense Quote"/>
    <w:basedOn w:val="Normal"/>
    <w:next w:val="Normal"/>
    <w:link w:val="IntenseQuoteChar"/>
    <w:uiPriority w:val="30"/>
    <w:qFormat/>
    <w:rsid w:val="008E76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76F5"/>
    <w:rPr>
      <w:i/>
      <w:iCs/>
      <w:color w:val="2F5496" w:themeColor="accent1" w:themeShade="BF"/>
    </w:rPr>
  </w:style>
  <w:style w:type="character" w:styleId="IntenseReference">
    <w:name w:val="Intense Reference"/>
    <w:basedOn w:val="DefaultParagraphFont"/>
    <w:uiPriority w:val="32"/>
    <w:qFormat/>
    <w:rsid w:val="008E76F5"/>
    <w:rPr>
      <w:b/>
      <w:bCs/>
      <w:smallCaps/>
      <w:color w:val="2F5496" w:themeColor="accent1" w:themeShade="BF"/>
      <w:spacing w:val="5"/>
    </w:rPr>
  </w:style>
  <w:style w:type="paragraph" w:customStyle="1" w:styleId="TextEinzug">
    <w:name w:val="Text Einzug"/>
    <w:basedOn w:val="Normal"/>
    <w:qFormat/>
    <w:rsid w:val="008E76F5"/>
    <w:pPr>
      <w:spacing w:after="0" w:line="480" w:lineRule="auto"/>
      <w:ind w:firstLine="851"/>
      <w:contextualSpacing/>
      <w:jc w:val="both"/>
    </w:pPr>
    <w:rPr>
      <w:rFonts w:ascii="Arial" w:hAnsi="Arial"/>
      <w:noProof/>
    </w:rPr>
  </w:style>
  <w:style w:type="table" w:styleId="TableGrid">
    <w:name w:val="Table Grid"/>
    <w:basedOn w:val="TableNormal"/>
    <w:uiPriority w:val="39"/>
    <w:rsid w:val="008E76F5"/>
    <w:pPr>
      <w:spacing w:after="0" w:line="240" w:lineRule="auto"/>
    </w:pPr>
    <w:rPr>
      <w:rFonts w:ascii="Arial" w:hAnsi="Arial"/>
      <w:kern w:val="0"/>
      <w:sz w:val="20"/>
      <w:szCs w:val="22"/>
      <w14:ligatures w14:val="none"/>
    </w:rPr>
    <w:tblPr/>
  </w:style>
  <w:style w:type="paragraph" w:customStyle="1" w:styleId="TitleOwn">
    <w:name w:val="Title Own"/>
    <w:basedOn w:val="Normal"/>
    <w:qFormat/>
    <w:rsid w:val="008E76F5"/>
    <w:pPr>
      <w:spacing w:after="240" w:line="480" w:lineRule="auto"/>
      <w:contextualSpacing/>
      <w:jc w:val="center"/>
    </w:pPr>
    <w:rPr>
      <w:rFonts w:ascii="Arial" w:hAnsi="Arial" w:cs="Arial"/>
      <w:sz w:val="28"/>
      <w:szCs w:val="32"/>
    </w:rPr>
  </w:style>
  <w:style w:type="paragraph" w:customStyle="1" w:styleId="TitleSupplem">
    <w:name w:val="Title Supplem"/>
    <w:basedOn w:val="Normal"/>
    <w:qFormat/>
    <w:rsid w:val="008E76F5"/>
    <w:pPr>
      <w:spacing w:after="240"/>
      <w:jc w:val="center"/>
    </w:pPr>
    <w:rPr>
      <w:rFonts w:ascii="Arial" w:hAnsi="Arial" w:cs="Arial"/>
      <w:b/>
      <w:bCs/>
      <w:sz w:val="28"/>
      <w:szCs w:val="28"/>
    </w:rPr>
  </w:style>
  <w:style w:type="paragraph" w:customStyle="1" w:styleId="Authors">
    <w:name w:val="Authors"/>
    <w:basedOn w:val="TitleOwn"/>
    <w:qFormat/>
    <w:rsid w:val="008E76F5"/>
    <w:pPr>
      <w:spacing w:after="120" w:line="240" w:lineRule="auto"/>
    </w:pPr>
    <w:rPr>
      <w:noProof/>
      <w:sz w:val="20"/>
      <w:szCs w:val="20"/>
    </w:rPr>
  </w:style>
  <w:style w:type="paragraph" w:customStyle="1" w:styleId="CorrespAuthor">
    <w:name w:val="Corresp. Author"/>
    <w:basedOn w:val="TitleOwn"/>
    <w:qFormat/>
    <w:rsid w:val="008E76F5"/>
    <w:pPr>
      <w:spacing w:after="480" w:line="276" w:lineRule="auto"/>
      <w:ind w:left="227" w:hanging="227"/>
      <w:jc w:val="both"/>
    </w:pPr>
    <w:rPr>
      <w:bCs/>
      <w:sz w:val="20"/>
      <w:szCs w:val="20"/>
    </w:rPr>
  </w:style>
  <w:style w:type="paragraph" w:customStyle="1" w:styleId="Bild">
    <w:name w:val="Bild"/>
    <w:basedOn w:val="CorrespAuthor"/>
    <w:qFormat/>
    <w:rsid w:val="0055024A"/>
    <w:pPr>
      <w:spacing w:before="240" w:after="240" w:line="240" w:lineRule="auto"/>
      <w:jc w:val="center"/>
    </w:pPr>
    <w:rPr>
      <w:b/>
      <w:noProof/>
    </w:rPr>
  </w:style>
  <w:style w:type="paragraph" w:customStyle="1" w:styleId="FigCaption">
    <w:name w:val="Fig. Caption"/>
    <w:basedOn w:val="Bild"/>
    <w:qFormat/>
    <w:rsid w:val="008E76F5"/>
    <w:pPr>
      <w:spacing w:before="120"/>
      <w:ind w:left="0" w:firstLine="0"/>
      <w:jc w:val="both"/>
    </w:pPr>
    <w:rPr>
      <w:rFonts w:eastAsia="Times New Roman"/>
      <w:b w:val="0"/>
      <w:lang w:val="en-GB"/>
    </w:rPr>
  </w:style>
  <w:style w:type="paragraph" w:customStyle="1" w:styleId="Headlinesa">
    <w:name w:val="Headlines a"/>
    <w:basedOn w:val="Normal"/>
    <w:qFormat/>
    <w:rsid w:val="008E76F5"/>
    <w:pPr>
      <w:spacing w:before="480" w:after="480" w:line="240" w:lineRule="auto"/>
      <w:contextualSpacing/>
      <w:jc w:val="both"/>
    </w:pPr>
    <w:rPr>
      <w:rFonts w:ascii="Arial" w:eastAsia="Times New Roman" w:hAnsi="Arial" w:cs="Arial"/>
      <w:bCs/>
      <w:noProof/>
      <w:lang w:val="en-GB"/>
    </w:rPr>
  </w:style>
  <w:style w:type="character" w:styleId="LineNumber">
    <w:name w:val="line number"/>
    <w:basedOn w:val="DefaultParagraphFont"/>
    <w:uiPriority w:val="99"/>
    <w:semiHidden/>
    <w:unhideWhenUsed/>
    <w:rsid w:val="008E7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Wuerzberg, Laura</dc:creator>
  <cp:keywords/>
  <dc:description/>
  <cp:lastModifiedBy>Wuerzberg, Laura</cp:lastModifiedBy>
  <cp:revision>5</cp:revision>
  <dcterms:created xsi:type="dcterms:W3CDTF">2026-05-16T08:07:00Z</dcterms:created>
  <dcterms:modified xsi:type="dcterms:W3CDTF">2026-05-16T08:39:00Z</dcterms:modified>
</cp:coreProperties>
</file>