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B22AB6" w14:textId="019DA386" w:rsidR="009E4003" w:rsidRDefault="003A132C">
      <w:pPr>
        <w:rPr>
          <w:b/>
          <w:bCs/>
          <w:lang w:val="en-GB"/>
        </w:rPr>
      </w:pPr>
      <w:r w:rsidRPr="003A132C">
        <w:rPr>
          <w:b/>
          <w:bCs/>
          <w:lang w:val="en-GB"/>
        </w:rPr>
        <w:t xml:space="preserve">Supplementary Material </w:t>
      </w:r>
      <w:r w:rsidR="00962AA2" w:rsidRPr="003A132C">
        <w:rPr>
          <w:b/>
          <w:bCs/>
          <w:lang w:val="en-GB"/>
        </w:rPr>
        <w:t>S2</w:t>
      </w:r>
    </w:p>
    <w:p w14:paraId="20D59BF9" w14:textId="184F5B46" w:rsidR="009E4003" w:rsidRDefault="00DC40E6">
      <w:pPr>
        <w:rPr>
          <w:b/>
          <w:bCs/>
          <w:lang w:val="en-GB"/>
        </w:rPr>
      </w:pPr>
      <w:r>
        <w:rPr>
          <w:b/>
          <w:bCs/>
          <w:lang w:val="en-GB"/>
        </w:rPr>
        <w:t>Figures</w:t>
      </w:r>
    </w:p>
    <w:p w14:paraId="6D903A2E" w14:textId="33DE48AC" w:rsidR="00BF2D41" w:rsidRPr="001D3895" w:rsidRDefault="00D326F5">
      <w:pPr>
        <w:rPr>
          <w:lang w:val="en-GB"/>
        </w:rPr>
      </w:pPr>
      <w:r w:rsidRPr="00D326F5">
        <w:rPr>
          <w:b/>
          <w:bCs/>
          <w:noProof/>
          <w:lang w:val="en-GB"/>
        </w:rPr>
        <w:drawing>
          <wp:inline distT="0" distB="0" distL="0" distR="0" wp14:anchorId="19087142" wp14:editId="5F51E119">
            <wp:extent cx="6120130" cy="4017645"/>
            <wp:effectExtent l="0" t="0" r="0" b="1905"/>
            <wp:docPr id="1395551895" name="Immagine 1" descr="Immagine che contiene testo, schermata, diagramm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551895" name="Immagine 1" descr="Immagine che contiene testo, schermata, diagramma, Diagramma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E5150" w14:textId="7422A57F" w:rsidR="00962AA2" w:rsidRDefault="00962AA2" w:rsidP="00962AA2">
      <w:pPr>
        <w:jc w:val="both"/>
        <w:rPr>
          <w:rFonts w:cs="Times New Roman"/>
          <w:lang w:val="en-US"/>
        </w:rPr>
      </w:pPr>
      <w:r w:rsidRPr="251A2463">
        <w:rPr>
          <w:rFonts w:cs="Times New Roman"/>
          <w:lang w:val="en-US"/>
        </w:rPr>
        <w:t>Fig.</w:t>
      </w:r>
      <w:r w:rsidR="00DF0861">
        <w:rPr>
          <w:rFonts w:cs="Times New Roman"/>
          <w:lang w:val="en-US"/>
        </w:rPr>
        <w:t xml:space="preserve"> S</w:t>
      </w:r>
      <w:r w:rsidR="003E0241">
        <w:rPr>
          <w:rFonts w:cs="Times New Roman"/>
          <w:lang w:val="en-US"/>
        </w:rPr>
        <w:t>1</w:t>
      </w:r>
      <w:r w:rsidRPr="251A2463">
        <w:rPr>
          <w:rFonts w:cs="Times New Roman"/>
          <w:lang w:val="en-US"/>
        </w:rPr>
        <w:t xml:space="preserve"> Spearman </w:t>
      </w:r>
      <w:r w:rsidR="00F9745F">
        <w:rPr>
          <w:rFonts w:cs="Times New Roman"/>
          <w:lang w:val="en-US"/>
        </w:rPr>
        <w:t xml:space="preserve">coefficient </w:t>
      </w:r>
      <w:r w:rsidRPr="251A2463">
        <w:rPr>
          <w:rFonts w:cs="Times New Roman"/>
          <w:lang w:val="en-US"/>
        </w:rPr>
        <w:t>correlation coefficients between phenological ground observations (BBCH code, x-axis) and remotely sensed phenometrics</w:t>
      </w:r>
      <w:r>
        <w:rPr>
          <w:rFonts w:cs="Times New Roman"/>
          <w:lang w:val="en-US"/>
        </w:rPr>
        <w:t xml:space="preserve"> in pixels with more than 75% of hazelnut coverage </w:t>
      </w:r>
      <w:r w:rsidRPr="001D3895">
        <w:rPr>
          <w:lang w:val="en-GB"/>
        </w:rPr>
        <w:t>(</w:t>
      </w:r>
      <w:r>
        <w:rPr>
          <w:lang w:val="en-GB"/>
        </w:rPr>
        <w:t xml:space="preserve">orchards </w:t>
      </w:r>
      <w:r w:rsidR="00F014AC">
        <w:rPr>
          <w:lang w:val="en-GB"/>
        </w:rPr>
        <w:t>ID</w:t>
      </w:r>
      <w:r w:rsidRPr="001D3895">
        <w:rPr>
          <w:lang w:val="en-GB"/>
        </w:rPr>
        <w:t xml:space="preserve">02, </w:t>
      </w:r>
      <w:r w:rsidR="00F014AC">
        <w:rPr>
          <w:lang w:val="en-GB"/>
        </w:rPr>
        <w:t>ID</w:t>
      </w:r>
      <w:r w:rsidRPr="001D3895">
        <w:rPr>
          <w:lang w:val="en-GB"/>
        </w:rPr>
        <w:t xml:space="preserve">06, </w:t>
      </w:r>
      <w:r w:rsidR="00F014AC">
        <w:rPr>
          <w:lang w:val="en-GB"/>
        </w:rPr>
        <w:t>ID</w:t>
      </w:r>
      <w:r w:rsidRPr="001D3895">
        <w:rPr>
          <w:lang w:val="en-GB"/>
        </w:rPr>
        <w:t xml:space="preserve">10, </w:t>
      </w:r>
      <w:r w:rsidR="00F014AC">
        <w:rPr>
          <w:lang w:val="en-GB"/>
        </w:rPr>
        <w:t>ID</w:t>
      </w:r>
      <w:r w:rsidRPr="001D3895">
        <w:rPr>
          <w:lang w:val="en-GB"/>
        </w:rPr>
        <w:t>11,</w:t>
      </w:r>
      <w:r>
        <w:rPr>
          <w:lang w:val="en-GB"/>
        </w:rPr>
        <w:t xml:space="preserve"> </w:t>
      </w:r>
      <w:r w:rsidR="00F014AC">
        <w:rPr>
          <w:lang w:val="en-GB"/>
        </w:rPr>
        <w:t>ID</w:t>
      </w:r>
      <w:r w:rsidRPr="001D3895">
        <w:rPr>
          <w:lang w:val="en-GB"/>
        </w:rPr>
        <w:t>14,</w:t>
      </w:r>
      <w:r>
        <w:rPr>
          <w:lang w:val="en-GB"/>
        </w:rPr>
        <w:t xml:space="preserve"> </w:t>
      </w:r>
      <w:r w:rsidR="00F014AC">
        <w:rPr>
          <w:lang w:val="en-GB"/>
        </w:rPr>
        <w:t>ID</w:t>
      </w:r>
      <w:r w:rsidRPr="001D3895">
        <w:rPr>
          <w:lang w:val="en-GB"/>
        </w:rPr>
        <w:t>16,</w:t>
      </w:r>
      <w:r>
        <w:rPr>
          <w:lang w:val="en-GB"/>
        </w:rPr>
        <w:t xml:space="preserve"> </w:t>
      </w:r>
      <w:r w:rsidR="00F014AC">
        <w:rPr>
          <w:lang w:val="en-GB"/>
        </w:rPr>
        <w:t>ID</w:t>
      </w:r>
      <w:r w:rsidRPr="001D3895">
        <w:rPr>
          <w:lang w:val="en-GB"/>
        </w:rPr>
        <w:t>18,</w:t>
      </w:r>
      <w:r>
        <w:rPr>
          <w:lang w:val="en-GB"/>
        </w:rPr>
        <w:t xml:space="preserve"> </w:t>
      </w:r>
      <w:r w:rsidR="00F014AC">
        <w:rPr>
          <w:lang w:val="en-GB"/>
        </w:rPr>
        <w:t>ID</w:t>
      </w:r>
      <w:r w:rsidRPr="001D3895">
        <w:rPr>
          <w:lang w:val="en-GB"/>
        </w:rPr>
        <w:t>19,</w:t>
      </w:r>
      <w:r>
        <w:rPr>
          <w:lang w:val="en-GB"/>
        </w:rPr>
        <w:t xml:space="preserve"> </w:t>
      </w:r>
      <w:r w:rsidR="00F014AC">
        <w:rPr>
          <w:lang w:val="en-GB"/>
        </w:rPr>
        <w:t>ID</w:t>
      </w:r>
      <w:r w:rsidRPr="001D3895">
        <w:rPr>
          <w:lang w:val="en-GB"/>
        </w:rPr>
        <w:t>20)</w:t>
      </w:r>
      <w:r w:rsidRPr="251A2463">
        <w:rPr>
          <w:rFonts w:cs="Times New Roman"/>
          <w:lang w:val="en-US"/>
        </w:rPr>
        <w:t xml:space="preserve">. Positive correlations are highlighted in blue, negative correlations in red with darker color indicate higher correlation strength. The cross indicates significance at </w:t>
      </w:r>
      <w:r w:rsidRPr="00C7469F">
        <w:rPr>
          <w:rFonts w:cs="Times New Roman"/>
          <w:i/>
          <w:iCs/>
          <w:lang w:val="en-US"/>
        </w:rPr>
        <w:t>p</w:t>
      </w:r>
      <w:r w:rsidRPr="251A2463">
        <w:rPr>
          <w:rFonts w:cs="Times New Roman"/>
          <w:lang w:val="en-US"/>
        </w:rPr>
        <w:t xml:space="preserve"> = 0.05. </w:t>
      </w:r>
    </w:p>
    <w:p w14:paraId="12CA19F5" w14:textId="77777777" w:rsidR="00D326F5" w:rsidRDefault="00D326F5" w:rsidP="00962AA2">
      <w:pPr>
        <w:jc w:val="both"/>
        <w:rPr>
          <w:rFonts w:cs="Times New Roman"/>
          <w:lang w:val="en-US"/>
        </w:rPr>
      </w:pPr>
    </w:p>
    <w:p w14:paraId="593AE166" w14:textId="77777777" w:rsidR="00D326F5" w:rsidRDefault="00D326F5" w:rsidP="00962AA2">
      <w:pPr>
        <w:jc w:val="both"/>
        <w:rPr>
          <w:rFonts w:cs="Times New Roman"/>
          <w:lang w:val="en-US"/>
        </w:rPr>
      </w:pPr>
    </w:p>
    <w:p w14:paraId="2D039976" w14:textId="7741633B" w:rsidR="00F224A2" w:rsidRPr="00DF0861" w:rsidRDefault="00D326F5" w:rsidP="00DF0861">
      <w:pPr>
        <w:jc w:val="both"/>
        <w:rPr>
          <w:lang w:val="en-GB"/>
        </w:rPr>
      </w:pPr>
      <w:r w:rsidRPr="00D326F5">
        <w:rPr>
          <w:noProof/>
          <w:lang w:val="en-GB"/>
        </w:rPr>
        <w:lastRenderedPageBreak/>
        <w:drawing>
          <wp:inline distT="0" distB="0" distL="0" distR="0" wp14:anchorId="4C75F8FF" wp14:editId="54F80162">
            <wp:extent cx="6120130" cy="4008755"/>
            <wp:effectExtent l="0" t="0" r="0" b="0"/>
            <wp:docPr id="1384545276" name="Immagine 1" descr="Immagine che contiene testo, diagramma, schermat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545276" name="Immagine 1" descr="Immagine che contiene testo, diagramma, schermata, Diagramma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0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3AF1F" w14:textId="118A5777" w:rsidR="00962AA2" w:rsidRPr="00DF0861" w:rsidRDefault="00962AA2" w:rsidP="00962AA2">
      <w:pPr>
        <w:jc w:val="both"/>
        <w:rPr>
          <w:rFonts w:cs="Times New Roman"/>
          <w:lang w:val="en-US"/>
        </w:rPr>
      </w:pPr>
      <w:r w:rsidRPr="251A2463">
        <w:rPr>
          <w:rFonts w:cs="Times New Roman"/>
          <w:lang w:val="en-US"/>
        </w:rPr>
        <w:t xml:space="preserve">Fig. </w:t>
      </w:r>
      <w:r w:rsidR="00DF0861">
        <w:rPr>
          <w:rFonts w:cs="Times New Roman"/>
          <w:lang w:val="en-US"/>
        </w:rPr>
        <w:t>S</w:t>
      </w:r>
      <w:r w:rsidR="003E0241">
        <w:rPr>
          <w:rFonts w:cs="Times New Roman"/>
          <w:lang w:val="en-US"/>
        </w:rPr>
        <w:t>2</w:t>
      </w:r>
      <w:r w:rsidRPr="251A2463">
        <w:rPr>
          <w:rFonts w:cs="Times New Roman"/>
          <w:lang w:val="en-US"/>
        </w:rPr>
        <w:t xml:space="preserve"> Spearman </w:t>
      </w:r>
      <w:r w:rsidR="00F9745F">
        <w:rPr>
          <w:rFonts w:cs="Times New Roman"/>
          <w:lang w:val="en-US"/>
        </w:rPr>
        <w:t xml:space="preserve">coefficient </w:t>
      </w:r>
      <w:r w:rsidRPr="251A2463">
        <w:rPr>
          <w:rFonts w:cs="Times New Roman"/>
          <w:lang w:val="en-US"/>
        </w:rPr>
        <w:t>correlation coefficients between phenological ground observations (BBCH code, x-axis) and remotely sensed phenometrics</w:t>
      </w:r>
      <w:r>
        <w:rPr>
          <w:rFonts w:cs="Times New Roman"/>
          <w:lang w:val="en-US"/>
        </w:rPr>
        <w:t xml:space="preserve"> in pixels with less than 75% of hazelnut coverage </w:t>
      </w:r>
      <w:r w:rsidRPr="001D3895">
        <w:rPr>
          <w:lang w:val="en-GB"/>
        </w:rPr>
        <w:t>(</w:t>
      </w:r>
      <w:r>
        <w:rPr>
          <w:lang w:val="en-GB"/>
        </w:rPr>
        <w:t>orchards (</w:t>
      </w:r>
      <w:r w:rsidR="00F014AC">
        <w:rPr>
          <w:lang w:val="en-GB"/>
        </w:rPr>
        <w:t>ID</w:t>
      </w:r>
      <w:r w:rsidRPr="001D3895">
        <w:rPr>
          <w:lang w:val="en-GB"/>
        </w:rPr>
        <w:t>01,</w:t>
      </w:r>
      <w:r>
        <w:rPr>
          <w:lang w:val="en-GB"/>
        </w:rPr>
        <w:t xml:space="preserve"> </w:t>
      </w:r>
      <w:r w:rsidR="00F014AC">
        <w:rPr>
          <w:lang w:val="en-GB"/>
        </w:rPr>
        <w:t>ID</w:t>
      </w:r>
      <w:r w:rsidRPr="001D3895">
        <w:rPr>
          <w:lang w:val="en-GB"/>
        </w:rPr>
        <w:t>03,</w:t>
      </w:r>
      <w:r>
        <w:rPr>
          <w:lang w:val="en-GB"/>
        </w:rPr>
        <w:t xml:space="preserve"> </w:t>
      </w:r>
      <w:r w:rsidR="00F014AC">
        <w:rPr>
          <w:lang w:val="en-GB"/>
        </w:rPr>
        <w:t>ID</w:t>
      </w:r>
      <w:r w:rsidRPr="001D3895">
        <w:rPr>
          <w:lang w:val="en-GB"/>
        </w:rPr>
        <w:t>04,</w:t>
      </w:r>
      <w:r>
        <w:rPr>
          <w:lang w:val="en-GB"/>
        </w:rPr>
        <w:t xml:space="preserve"> </w:t>
      </w:r>
      <w:r w:rsidR="00F014AC">
        <w:rPr>
          <w:lang w:val="en-GB"/>
        </w:rPr>
        <w:t>ID</w:t>
      </w:r>
      <w:r w:rsidRPr="001D3895">
        <w:rPr>
          <w:lang w:val="en-GB"/>
        </w:rPr>
        <w:t>05,</w:t>
      </w:r>
      <w:r>
        <w:rPr>
          <w:lang w:val="en-GB"/>
        </w:rPr>
        <w:t xml:space="preserve"> </w:t>
      </w:r>
      <w:r w:rsidR="00F014AC">
        <w:rPr>
          <w:lang w:val="en-GB"/>
        </w:rPr>
        <w:t>ID</w:t>
      </w:r>
      <w:r w:rsidRPr="001D3895">
        <w:rPr>
          <w:lang w:val="en-GB"/>
        </w:rPr>
        <w:t>07,</w:t>
      </w:r>
      <w:r>
        <w:rPr>
          <w:lang w:val="en-GB"/>
        </w:rPr>
        <w:t xml:space="preserve"> </w:t>
      </w:r>
      <w:r w:rsidR="00F014AC">
        <w:rPr>
          <w:lang w:val="en-GB"/>
        </w:rPr>
        <w:t>ID</w:t>
      </w:r>
      <w:r w:rsidRPr="001D3895">
        <w:rPr>
          <w:lang w:val="en-GB"/>
        </w:rPr>
        <w:t>08,</w:t>
      </w:r>
      <w:r>
        <w:rPr>
          <w:lang w:val="en-GB"/>
        </w:rPr>
        <w:t xml:space="preserve"> </w:t>
      </w:r>
      <w:r w:rsidR="00F014AC">
        <w:rPr>
          <w:lang w:val="en-GB"/>
        </w:rPr>
        <w:t>ID</w:t>
      </w:r>
      <w:r w:rsidRPr="001D3895">
        <w:rPr>
          <w:lang w:val="en-GB"/>
        </w:rPr>
        <w:t>09,</w:t>
      </w:r>
      <w:r>
        <w:rPr>
          <w:lang w:val="en-GB"/>
        </w:rPr>
        <w:t xml:space="preserve"> </w:t>
      </w:r>
      <w:r w:rsidR="00F014AC">
        <w:rPr>
          <w:lang w:val="en-GB"/>
        </w:rPr>
        <w:t>ID</w:t>
      </w:r>
      <w:r w:rsidRPr="001D3895">
        <w:rPr>
          <w:lang w:val="en-GB"/>
        </w:rPr>
        <w:t>12,</w:t>
      </w:r>
      <w:r>
        <w:rPr>
          <w:lang w:val="en-GB"/>
        </w:rPr>
        <w:t xml:space="preserve"> </w:t>
      </w:r>
      <w:r w:rsidR="00F014AC">
        <w:rPr>
          <w:lang w:val="en-GB"/>
        </w:rPr>
        <w:t>ID</w:t>
      </w:r>
      <w:r w:rsidRPr="001D3895">
        <w:rPr>
          <w:lang w:val="en-GB"/>
        </w:rPr>
        <w:t>13,</w:t>
      </w:r>
      <w:r>
        <w:rPr>
          <w:lang w:val="en-GB"/>
        </w:rPr>
        <w:t xml:space="preserve"> </w:t>
      </w:r>
      <w:r w:rsidR="00F014AC">
        <w:rPr>
          <w:lang w:val="en-GB"/>
        </w:rPr>
        <w:t>ID</w:t>
      </w:r>
      <w:r w:rsidRPr="001D3895">
        <w:rPr>
          <w:lang w:val="en-GB"/>
        </w:rPr>
        <w:t>15,</w:t>
      </w:r>
      <w:r>
        <w:rPr>
          <w:lang w:val="en-GB"/>
        </w:rPr>
        <w:t xml:space="preserve"> </w:t>
      </w:r>
      <w:r w:rsidR="00F014AC">
        <w:rPr>
          <w:lang w:val="en-GB"/>
        </w:rPr>
        <w:t>ID</w:t>
      </w:r>
      <w:r w:rsidRPr="001D3895">
        <w:rPr>
          <w:lang w:val="en-GB"/>
        </w:rPr>
        <w:t>17)</w:t>
      </w:r>
      <w:r w:rsidRPr="251A2463">
        <w:rPr>
          <w:rFonts w:cs="Times New Roman"/>
          <w:lang w:val="en-US"/>
        </w:rPr>
        <w:t xml:space="preserve">. Positive correlations are highlighted in blue, negative correlations in red with darker color indicate higher correlation strength. The cross indicates significance at </w:t>
      </w:r>
      <w:r w:rsidRPr="00C7469F">
        <w:rPr>
          <w:rFonts w:cs="Times New Roman"/>
          <w:i/>
          <w:iCs/>
          <w:lang w:val="en-US"/>
        </w:rPr>
        <w:t xml:space="preserve">p </w:t>
      </w:r>
      <w:r w:rsidRPr="251A2463">
        <w:rPr>
          <w:rFonts w:cs="Times New Roman"/>
          <w:lang w:val="en-US"/>
        </w:rPr>
        <w:t xml:space="preserve">= 0.05. </w:t>
      </w:r>
    </w:p>
    <w:p w14:paraId="1135467B" w14:textId="076C6DFA" w:rsidR="008E3E0B" w:rsidRPr="00962AA2" w:rsidRDefault="008E3E0B">
      <w:pPr>
        <w:rPr>
          <w:lang w:val="en-GB"/>
        </w:rPr>
      </w:pPr>
    </w:p>
    <w:sectPr w:rsidR="008E3E0B" w:rsidRPr="00962A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6E8"/>
    <w:rsid w:val="000331C5"/>
    <w:rsid w:val="00093BC6"/>
    <w:rsid w:val="00152329"/>
    <w:rsid w:val="001D3895"/>
    <w:rsid w:val="00217908"/>
    <w:rsid w:val="002A5DC5"/>
    <w:rsid w:val="002B092A"/>
    <w:rsid w:val="002F5233"/>
    <w:rsid w:val="0036458A"/>
    <w:rsid w:val="003A132C"/>
    <w:rsid w:val="003E0241"/>
    <w:rsid w:val="003E698D"/>
    <w:rsid w:val="003F0FD3"/>
    <w:rsid w:val="00510903"/>
    <w:rsid w:val="00600C8C"/>
    <w:rsid w:val="00610F2D"/>
    <w:rsid w:val="00613D18"/>
    <w:rsid w:val="006F1FF7"/>
    <w:rsid w:val="007260D1"/>
    <w:rsid w:val="007976FC"/>
    <w:rsid w:val="007D26FF"/>
    <w:rsid w:val="008609A5"/>
    <w:rsid w:val="008E3E0B"/>
    <w:rsid w:val="00962AA2"/>
    <w:rsid w:val="00971EDB"/>
    <w:rsid w:val="009E4003"/>
    <w:rsid w:val="009E60E6"/>
    <w:rsid w:val="00A236E8"/>
    <w:rsid w:val="00A83F5C"/>
    <w:rsid w:val="00A96A08"/>
    <w:rsid w:val="00AB4E26"/>
    <w:rsid w:val="00B63C82"/>
    <w:rsid w:val="00B96F7D"/>
    <w:rsid w:val="00BF2D41"/>
    <w:rsid w:val="00C7469F"/>
    <w:rsid w:val="00C91C2F"/>
    <w:rsid w:val="00CA0234"/>
    <w:rsid w:val="00D326F5"/>
    <w:rsid w:val="00DC31C1"/>
    <w:rsid w:val="00DC40E6"/>
    <w:rsid w:val="00DE002B"/>
    <w:rsid w:val="00DF0861"/>
    <w:rsid w:val="00ED0C4B"/>
    <w:rsid w:val="00F014AC"/>
    <w:rsid w:val="00F224A2"/>
    <w:rsid w:val="00F50B15"/>
    <w:rsid w:val="00F55A0E"/>
    <w:rsid w:val="00F9745F"/>
    <w:rsid w:val="00FA0488"/>
    <w:rsid w:val="00FE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0C047"/>
  <w15:chartTrackingRefBased/>
  <w15:docId w15:val="{77329EBD-2007-43CB-801C-F095DF14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236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36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36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36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36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36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36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36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36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36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36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36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36E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36E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36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36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36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36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36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23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36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3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36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36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236E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236E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36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36E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36E8"/>
    <w:rPr>
      <w:b/>
      <w:bCs/>
      <w:smallCaps/>
      <w:color w:val="0F4761" w:themeColor="accent1" w:themeShade="BF"/>
      <w:spacing w:val="5"/>
    </w:rPr>
  </w:style>
  <w:style w:type="paragraph" w:styleId="Revisione">
    <w:name w:val="Revision"/>
    <w:hidden/>
    <w:uiPriority w:val="99"/>
    <w:semiHidden/>
    <w:rsid w:val="00D326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2F867-5376-453E-90A4-BB148C1F7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Giulio, Mara (CREA-AA)</dc:creator>
  <cp:keywords/>
  <dc:description/>
  <cp:lastModifiedBy>Di Giulio, Mara (CREA-AA)</cp:lastModifiedBy>
  <cp:revision>14</cp:revision>
  <dcterms:created xsi:type="dcterms:W3CDTF">2024-05-30T13:50:00Z</dcterms:created>
  <dcterms:modified xsi:type="dcterms:W3CDTF">2024-07-30T14:59:00Z</dcterms:modified>
</cp:coreProperties>
</file>