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C30C" w14:textId="77777777" w:rsidR="003C2BC8" w:rsidRDefault="003C2BC8" w:rsidP="003C2BC8">
      <w:pPr>
        <w:spacing w:line="480" w:lineRule="auto"/>
        <w:jc w:val="both"/>
        <w:rPr>
          <w:rFonts w:ascii="Arial Unicode MS" w:hAnsi="Arial Unicode MS" w:cs="Arial Unicode MS"/>
          <w:b/>
          <w:bCs/>
          <w:sz w:val="28"/>
          <w:szCs w:val="28"/>
        </w:rPr>
      </w:pPr>
      <w:r>
        <w:rPr>
          <w:rFonts w:ascii="Arial Unicode MS" w:hAnsi="Arial" w:cs="Arial Unicode MS"/>
          <w:b/>
          <w:bCs/>
          <w:sz w:val="28"/>
          <w:szCs w:val="28"/>
        </w:rPr>
        <w:t>Supplementary Material:</w:t>
      </w:r>
    </w:p>
    <w:tbl>
      <w:tblPr>
        <w:tblW w:w="8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7"/>
        <w:gridCol w:w="1176"/>
        <w:gridCol w:w="1694"/>
        <w:gridCol w:w="1176"/>
        <w:gridCol w:w="1694"/>
        <w:gridCol w:w="1176"/>
      </w:tblGrid>
      <w:tr w:rsidR="003C2BC8" w14:paraId="0977CA31" w14:textId="77777777" w:rsidTr="003C2BC8">
        <w:tc>
          <w:tcPr>
            <w:tcW w:w="2017" w:type="dxa"/>
            <w:vMerge w:val="restart"/>
            <w:vAlign w:val="center"/>
          </w:tcPr>
          <w:p w14:paraId="693088A9" w14:textId="77777777" w:rsidR="003C2BC8" w:rsidRDefault="003C2BC8" w:rsidP="008B0A22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Arial" w:cs="Arial Unicode MS"/>
                <w:color w:val="264A60"/>
              </w:rPr>
              <w:t>Bio-</w:t>
            </w:r>
            <w:proofErr w:type="spellStart"/>
            <w:r>
              <w:rPr>
                <w:rFonts w:ascii="Arial Unicode MS" w:hAnsi="Arial" w:cs="Arial Unicode MS"/>
                <w:color w:val="264A60"/>
              </w:rPr>
              <w:t>synop</w:t>
            </w:r>
            <w:proofErr w:type="spellEnd"/>
            <w:r>
              <w:rPr>
                <w:rFonts w:ascii="Arial Unicode MS" w:hAnsi="Arial" w:cs="Arial Unicode MS"/>
                <w:color w:val="264A60"/>
              </w:rPr>
              <w:t xml:space="preserve"> class</w:t>
            </w:r>
          </w:p>
        </w:tc>
        <w:tc>
          <w:tcPr>
            <w:tcW w:w="6916" w:type="dxa"/>
            <w:gridSpan w:val="5"/>
          </w:tcPr>
          <w:p w14:paraId="05F7AB6B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Did SAH events occur?</w:t>
            </w:r>
          </w:p>
        </w:tc>
      </w:tr>
      <w:tr w:rsidR="003C2BC8" w14:paraId="126B9454" w14:textId="77777777" w:rsidTr="003C2BC8">
        <w:tc>
          <w:tcPr>
            <w:tcW w:w="2017" w:type="dxa"/>
            <w:vMerge/>
          </w:tcPr>
          <w:p w14:paraId="5394749E" w14:textId="77777777" w:rsidR="003C2BC8" w:rsidRDefault="003C2BC8" w:rsidP="008B0A22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264A60"/>
              </w:rPr>
            </w:pPr>
          </w:p>
        </w:tc>
        <w:tc>
          <w:tcPr>
            <w:tcW w:w="2870" w:type="dxa"/>
            <w:gridSpan w:val="2"/>
          </w:tcPr>
          <w:p w14:paraId="014AC1CC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No</w:t>
            </w:r>
          </w:p>
        </w:tc>
        <w:tc>
          <w:tcPr>
            <w:tcW w:w="2870" w:type="dxa"/>
            <w:gridSpan w:val="2"/>
          </w:tcPr>
          <w:p w14:paraId="2BF94DE8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Yes</w:t>
            </w:r>
          </w:p>
        </w:tc>
        <w:tc>
          <w:tcPr>
            <w:tcW w:w="1176" w:type="dxa"/>
          </w:tcPr>
          <w:p w14:paraId="162E89D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Total</w:t>
            </w:r>
          </w:p>
        </w:tc>
      </w:tr>
      <w:tr w:rsidR="003C2BC8" w14:paraId="56E319FA" w14:textId="77777777" w:rsidTr="003C2BC8">
        <w:tc>
          <w:tcPr>
            <w:tcW w:w="2017" w:type="dxa"/>
            <w:vMerge/>
          </w:tcPr>
          <w:p w14:paraId="44261CB7" w14:textId="77777777" w:rsidR="003C2BC8" w:rsidRDefault="003C2BC8" w:rsidP="008B0A22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264A60"/>
              </w:rPr>
            </w:pPr>
          </w:p>
        </w:tc>
        <w:tc>
          <w:tcPr>
            <w:tcW w:w="1176" w:type="dxa"/>
          </w:tcPr>
          <w:p w14:paraId="05287189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N</w:t>
            </w:r>
          </w:p>
        </w:tc>
        <w:tc>
          <w:tcPr>
            <w:tcW w:w="1694" w:type="dxa"/>
          </w:tcPr>
          <w:p w14:paraId="7B9856DA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Row %</w:t>
            </w:r>
          </w:p>
        </w:tc>
        <w:tc>
          <w:tcPr>
            <w:tcW w:w="1176" w:type="dxa"/>
          </w:tcPr>
          <w:p w14:paraId="1E48F158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N</w:t>
            </w:r>
          </w:p>
        </w:tc>
        <w:tc>
          <w:tcPr>
            <w:tcW w:w="1694" w:type="dxa"/>
          </w:tcPr>
          <w:p w14:paraId="6F5F7217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Row %</w:t>
            </w:r>
          </w:p>
        </w:tc>
        <w:tc>
          <w:tcPr>
            <w:tcW w:w="1176" w:type="dxa"/>
          </w:tcPr>
          <w:p w14:paraId="3BA8D43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N</w:t>
            </w:r>
          </w:p>
        </w:tc>
      </w:tr>
      <w:tr w:rsidR="003C2BC8" w14:paraId="5BCB3E8A" w14:textId="77777777" w:rsidTr="003C2BC8">
        <w:tc>
          <w:tcPr>
            <w:tcW w:w="2017" w:type="dxa"/>
            <w:vAlign w:val="center"/>
          </w:tcPr>
          <w:p w14:paraId="61686249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1</w:t>
            </w:r>
          </w:p>
        </w:tc>
        <w:tc>
          <w:tcPr>
            <w:tcW w:w="1176" w:type="dxa"/>
          </w:tcPr>
          <w:p w14:paraId="7C8F7BE2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341</w:t>
            </w:r>
          </w:p>
        </w:tc>
        <w:tc>
          <w:tcPr>
            <w:tcW w:w="1694" w:type="dxa"/>
          </w:tcPr>
          <w:p w14:paraId="2790867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96.1%</w:t>
            </w:r>
          </w:p>
        </w:tc>
        <w:tc>
          <w:tcPr>
            <w:tcW w:w="1176" w:type="dxa"/>
          </w:tcPr>
          <w:p w14:paraId="6E8426C6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14</w:t>
            </w:r>
          </w:p>
        </w:tc>
        <w:tc>
          <w:tcPr>
            <w:tcW w:w="1694" w:type="dxa"/>
          </w:tcPr>
          <w:p w14:paraId="5ED07110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3.9%</w:t>
            </w:r>
          </w:p>
        </w:tc>
        <w:tc>
          <w:tcPr>
            <w:tcW w:w="1176" w:type="dxa"/>
          </w:tcPr>
          <w:p w14:paraId="7D8E6BD1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355</w:t>
            </w:r>
          </w:p>
        </w:tc>
      </w:tr>
      <w:tr w:rsidR="003C2BC8" w14:paraId="6163CDA8" w14:textId="77777777" w:rsidTr="003C2BC8">
        <w:tc>
          <w:tcPr>
            <w:tcW w:w="2017" w:type="dxa"/>
            <w:vAlign w:val="center"/>
          </w:tcPr>
          <w:p w14:paraId="1F2B19AA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2</w:t>
            </w:r>
          </w:p>
        </w:tc>
        <w:tc>
          <w:tcPr>
            <w:tcW w:w="1176" w:type="dxa"/>
          </w:tcPr>
          <w:p w14:paraId="538446F4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2288</w:t>
            </w:r>
          </w:p>
        </w:tc>
        <w:tc>
          <w:tcPr>
            <w:tcW w:w="1694" w:type="dxa"/>
          </w:tcPr>
          <w:p w14:paraId="14A2E153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95.7%</w:t>
            </w:r>
          </w:p>
        </w:tc>
        <w:tc>
          <w:tcPr>
            <w:tcW w:w="1176" w:type="dxa"/>
          </w:tcPr>
          <w:p w14:paraId="47AAE918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103</w:t>
            </w:r>
          </w:p>
        </w:tc>
        <w:tc>
          <w:tcPr>
            <w:tcW w:w="1694" w:type="dxa"/>
          </w:tcPr>
          <w:p w14:paraId="02BD238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4.3%</w:t>
            </w:r>
          </w:p>
        </w:tc>
        <w:tc>
          <w:tcPr>
            <w:tcW w:w="1176" w:type="dxa"/>
          </w:tcPr>
          <w:p w14:paraId="2D0985E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2391</w:t>
            </w:r>
          </w:p>
        </w:tc>
      </w:tr>
      <w:tr w:rsidR="003C2BC8" w14:paraId="5316F922" w14:textId="77777777" w:rsidTr="003C2BC8">
        <w:tc>
          <w:tcPr>
            <w:tcW w:w="2017" w:type="dxa"/>
            <w:vAlign w:val="center"/>
          </w:tcPr>
          <w:p w14:paraId="4CD5A0D7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3</w:t>
            </w:r>
          </w:p>
        </w:tc>
        <w:tc>
          <w:tcPr>
            <w:tcW w:w="1176" w:type="dxa"/>
          </w:tcPr>
          <w:p w14:paraId="3A8826C8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1188</w:t>
            </w:r>
          </w:p>
        </w:tc>
        <w:tc>
          <w:tcPr>
            <w:tcW w:w="1694" w:type="dxa"/>
          </w:tcPr>
          <w:p w14:paraId="144495DC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94.1%</w:t>
            </w:r>
          </w:p>
        </w:tc>
        <w:tc>
          <w:tcPr>
            <w:tcW w:w="1176" w:type="dxa"/>
          </w:tcPr>
          <w:p w14:paraId="2635CC2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75</w:t>
            </w:r>
          </w:p>
        </w:tc>
        <w:tc>
          <w:tcPr>
            <w:tcW w:w="1694" w:type="dxa"/>
          </w:tcPr>
          <w:p w14:paraId="78E6971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5.9%</w:t>
            </w:r>
          </w:p>
        </w:tc>
        <w:tc>
          <w:tcPr>
            <w:tcW w:w="1176" w:type="dxa"/>
          </w:tcPr>
          <w:p w14:paraId="4140194A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1263</w:t>
            </w:r>
          </w:p>
        </w:tc>
      </w:tr>
      <w:tr w:rsidR="003C2BC8" w14:paraId="00CE4181" w14:textId="77777777" w:rsidTr="003C2BC8">
        <w:tc>
          <w:tcPr>
            <w:tcW w:w="2017" w:type="dxa"/>
            <w:vAlign w:val="center"/>
          </w:tcPr>
          <w:p w14:paraId="3360719B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4</w:t>
            </w:r>
          </w:p>
        </w:tc>
        <w:tc>
          <w:tcPr>
            <w:tcW w:w="1176" w:type="dxa"/>
          </w:tcPr>
          <w:p w14:paraId="15F32280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1148</w:t>
            </w:r>
          </w:p>
        </w:tc>
        <w:tc>
          <w:tcPr>
            <w:tcW w:w="1694" w:type="dxa"/>
          </w:tcPr>
          <w:p w14:paraId="2B7F3E26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94.4%</w:t>
            </w:r>
          </w:p>
        </w:tc>
        <w:tc>
          <w:tcPr>
            <w:tcW w:w="1176" w:type="dxa"/>
          </w:tcPr>
          <w:p w14:paraId="4B8013B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68</w:t>
            </w:r>
          </w:p>
        </w:tc>
        <w:tc>
          <w:tcPr>
            <w:tcW w:w="1694" w:type="dxa"/>
          </w:tcPr>
          <w:p w14:paraId="0B8234FF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5.6%</w:t>
            </w:r>
          </w:p>
        </w:tc>
        <w:tc>
          <w:tcPr>
            <w:tcW w:w="1176" w:type="dxa"/>
          </w:tcPr>
          <w:p w14:paraId="1D37CD5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1216</w:t>
            </w:r>
          </w:p>
        </w:tc>
      </w:tr>
      <w:tr w:rsidR="003C2BC8" w14:paraId="74C57461" w14:textId="77777777" w:rsidTr="003C2BC8">
        <w:tc>
          <w:tcPr>
            <w:tcW w:w="2017" w:type="dxa"/>
            <w:vAlign w:val="center"/>
          </w:tcPr>
          <w:p w14:paraId="03B3A7B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5</w:t>
            </w:r>
          </w:p>
        </w:tc>
        <w:tc>
          <w:tcPr>
            <w:tcW w:w="1176" w:type="dxa"/>
          </w:tcPr>
          <w:p w14:paraId="1E36C824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5794</w:t>
            </w:r>
          </w:p>
        </w:tc>
        <w:tc>
          <w:tcPr>
            <w:tcW w:w="1694" w:type="dxa"/>
          </w:tcPr>
          <w:p w14:paraId="36A8E12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95.0%</w:t>
            </w:r>
          </w:p>
        </w:tc>
        <w:tc>
          <w:tcPr>
            <w:tcW w:w="1176" w:type="dxa"/>
          </w:tcPr>
          <w:p w14:paraId="07D382EF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306</w:t>
            </w:r>
          </w:p>
        </w:tc>
        <w:tc>
          <w:tcPr>
            <w:tcW w:w="1694" w:type="dxa"/>
          </w:tcPr>
          <w:p w14:paraId="5852C51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5.0%</w:t>
            </w:r>
          </w:p>
        </w:tc>
        <w:tc>
          <w:tcPr>
            <w:tcW w:w="1176" w:type="dxa"/>
          </w:tcPr>
          <w:p w14:paraId="7A60F5DF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6100</w:t>
            </w:r>
          </w:p>
        </w:tc>
      </w:tr>
      <w:tr w:rsidR="003C2BC8" w14:paraId="0319EA72" w14:textId="77777777" w:rsidTr="003C2BC8">
        <w:tc>
          <w:tcPr>
            <w:tcW w:w="2017" w:type="dxa"/>
            <w:vAlign w:val="center"/>
          </w:tcPr>
          <w:p w14:paraId="560E9D8E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Missing</w:t>
            </w:r>
          </w:p>
        </w:tc>
        <w:tc>
          <w:tcPr>
            <w:tcW w:w="1176" w:type="dxa"/>
          </w:tcPr>
          <w:p w14:paraId="09BF3538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61</w:t>
            </w:r>
          </w:p>
        </w:tc>
        <w:tc>
          <w:tcPr>
            <w:tcW w:w="1694" w:type="dxa"/>
          </w:tcPr>
          <w:p w14:paraId="076956A6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</w:p>
        </w:tc>
        <w:tc>
          <w:tcPr>
            <w:tcW w:w="1176" w:type="dxa"/>
          </w:tcPr>
          <w:p w14:paraId="6F2DE5B5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0</w:t>
            </w:r>
          </w:p>
        </w:tc>
        <w:tc>
          <w:tcPr>
            <w:tcW w:w="1694" w:type="dxa"/>
          </w:tcPr>
          <w:p w14:paraId="4ED254ED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</w:p>
        </w:tc>
        <w:tc>
          <w:tcPr>
            <w:tcW w:w="1176" w:type="dxa"/>
          </w:tcPr>
          <w:p w14:paraId="7610F1D2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61</w:t>
            </w:r>
          </w:p>
        </w:tc>
      </w:tr>
      <w:tr w:rsidR="003C2BC8" w14:paraId="1FB57018" w14:textId="77777777" w:rsidTr="003C2BC8">
        <w:tc>
          <w:tcPr>
            <w:tcW w:w="2017" w:type="dxa"/>
            <w:vAlign w:val="center"/>
          </w:tcPr>
          <w:p w14:paraId="1443D349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264A60"/>
              </w:rPr>
            </w:pPr>
            <w:r>
              <w:rPr>
                <w:rFonts w:ascii="Arial Unicode MS" w:hAnsi="Arial" w:cs="Arial Unicode MS"/>
                <w:color w:val="264A60"/>
              </w:rPr>
              <w:t>Total</w:t>
            </w:r>
          </w:p>
        </w:tc>
        <w:tc>
          <w:tcPr>
            <w:tcW w:w="1176" w:type="dxa"/>
          </w:tcPr>
          <w:p w14:paraId="090D5006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10820</w:t>
            </w:r>
          </w:p>
        </w:tc>
        <w:tc>
          <w:tcPr>
            <w:tcW w:w="1694" w:type="dxa"/>
          </w:tcPr>
          <w:p w14:paraId="5EC398A5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95.0%</w:t>
            </w:r>
          </w:p>
        </w:tc>
        <w:tc>
          <w:tcPr>
            <w:tcW w:w="1176" w:type="dxa"/>
          </w:tcPr>
          <w:p w14:paraId="10C3E110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566</w:t>
            </w:r>
          </w:p>
        </w:tc>
        <w:tc>
          <w:tcPr>
            <w:tcW w:w="1694" w:type="dxa"/>
          </w:tcPr>
          <w:p w14:paraId="459DE499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5.0%</w:t>
            </w:r>
          </w:p>
        </w:tc>
        <w:tc>
          <w:tcPr>
            <w:tcW w:w="1176" w:type="dxa"/>
          </w:tcPr>
          <w:p w14:paraId="5557ADDA" w14:textId="77777777" w:rsidR="003C2BC8" w:rsidRDefault="003C2BC8" w:rsidP="008B0A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hAnsi="Arial Unicode MS" w:cs="Arial Unicode MS"/>
                <w:color w:val="010205"/>
              </w:rPr>
            </w:pPr>
            <w:r>
              <w:rPr>
                <w:rFonts w:ascii="Arial Unicode MS" w:hAnsi="Arial" w:cs="Arial Unicode MS"/>
                <w:color w:val="010205"/>
              </w:rPr>
              <w:t>11386</w:t>
            </w:r>
          </w:p>
        </w:tc>
      </w:tr>
    </w:tbl>
    <w:p w14:paraId="0E9A11C7" w14:textId="77777777" w:rsidR="003C2BC8" w:rsidRDefault="003C2BC8" w:rsidP="003C2BC8">
      <w:pPr>
        <w:spacing w:line="480" w:lineRule="auto"/>
        <w:jc w:val="both"/>
        <w:rPr>
          <w:rFonts w:ascii="Arial Unicode MS" w:hAnsi="Arial Unicode MS" w:cs="Arial Unicode MS"/>
        </w:rPr>
      </w:pPr>
    </w:p>
    <w:p w14:paraId="47A8B697" w14:textId="77777777" w:rsidR="003C2BC8" w:rsidRDefault="003C2BC8" w:rsidP="003C2BC8">
      <w:pPr>
        <w:spacing w:line="480" w:lineRule="auto"/>
        <w:jc w:val="both"/>
        <w:rPr>
          <w:rFonts w:ascii="Arial Unicode MS" w:hAnsi="Arial Unicode MS" w:cs="Arial Unicode MS"/>
        </w:rPr>
      </w:pPr>
      <w:r>
        <w:rPr>
          <w:rFonts w:ascii="Arial Unicode MS" w:hAnsi="Arial" w:cs="Arial Unicode MS"/>
          <w:b/>
          <w:bCs/>
        </w:rPr>
        <w:t>Table</w:t>
      </w:r>
      <w:r>
        <w:rPr>
          <w:rFonts w:ascii="Arial Unicode MS" w:hAnsi="Arial" w:cs="Arial Unicode MS"/>
          <w:b/>
          <w:bCs/>
        </w:rPr>
        <w:t> </w:t>
      </w:r>
      <w:r>
        <w:rPr>
          <w:rFonts w:ascii="Arial Unicode MS" w:hAnsi="Arial" w:cs="Arial Unicode MS"/>
          <w:b/>
          <w:bCs/>
        </w:rPr>
        <w:t>2.</w:t>
      </w:r>
      <w:r>
        <w:rPr>
          <w:rFonts w:ascii="Arial Unicode MS" w:hAnsi="Arial" w:cs="Arial Unicode MS"/>
        </w:rPr>
        <w:t xml:space="preserve"> Absolute and relative frequencies of 12-hour periods with and without SAH events.</w:t>
      </w:r>
    </w:p>
    <w:p w14:paraId="548E40AF" w14:textId="77777777" w:rsidR="005E56B7" w:rsidRDefault="005E56B7"/>
    <w:sectPr w:rsidR="005E56B7" w:rsidSect="003C2BC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C8"/>
    <w:rsid w:val="000149B3"/>
    <w:rsid w:val="00020033"/>
    <w:rsid w:val="001605A6"/>
    <w:rsid w:val="003C2BC8"/>
    <w:rsid w:val="003D1B9C"/>
    <w:rsid w:val="0053498C"/>
    <w:rsid w:val="005B5975"/>
    <w:rsid w:val="005E56B7"/>
    <w:rsid w:val="00721126"/>
    <w:rsid w:val="007211FD"/>
    <w:rsid w:val="007657F5"/>
    <w:rsid w:val="007C3478"/>
    <w:rsid w:val="007C4F48"/>
    <w:rsid w:val="008B245E"/>
    <w:rsid w:val="00B9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BADB2"/>
  <w15:chartTrackingRefBased/>
  <w15:docId w15:val="{A3AA137C-5A45-45E2-B8F8-0A3FFD8A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BC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B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B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B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B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B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B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B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B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B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2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B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2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B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2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B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2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B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2025-03-07T03:57:00Z</dcterms:created>
  <dcterms:modified xsi:type="dcterms:W3CDTF">2025-03-07T03:58:00Z</dcterms:modified>
</cp:coreProperties>
</file>