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D2C3E" w14:textId="6CDBF9E7" w:rsidR="00B35CE1" w:rsidRPr="00B74585" w:rsidRDefault="00AD475B" w:rsidP="00B35CE1">
      <w:pPr>
        <w:spacing w:line="360" w:lineRule="auto"/>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Supplementary Materials</w:t>
      </w:r>
    </w:p>
    <w:p w14:paraId="014824CF" w14:textId="28745AE5" w:rsidR="00AD475B" w:rsidRDefault="00AD475B" w:rsidP="00AD475B">
      <w:pPr>
        <w:spacing w:line="360" w:lineRule="auto"/>
        <w:jc w:val="both"/>
        <w:rPr>
          <w:rFonts w:ascii="Times New Roman" w:hAnsi="Times New Roman" w:cs="Times New Roman"/>
          <w:i/>
          <w:iCs/>
          <w:lang w:val="en-GB"/>
        </w:rPr>
      </w:pPr>
      <w:r w:rsidRPr="00B74585">
        <w:rPr>
          <w:rFonts w:ascii="Times New Roman" w:hAnsi="Times New Roman" w:cs="Times New Roman"/>
          <w:b/>
          <w:bCs/>
          <w:i/>
          <w:iCs/>
          <w:lang w:val="en-GB"/>
        </w:rPr>
        <w:t xml:space="preserve">Table </w:t>
      </w:r>
      <w:r w:rsidR="00724817">
        <w:rPr>
          <w:rFonts w:ascii="Times New Roman" w:hAnsi="Times New Roman" w:cs="Times New Roman"/>
          <w:b/>
          <w:bCs/>
          <w:i/>
          <w:iCs/>
          <w:lang w:val="en-GB"/>
        </w:rPr>
        <w:t>S</w:t>
      </w:r>
      <w:r w:rsidRPr="00B74585">
        <w:rPr>
          <w:rFonts w:ascii="Times New Roman" w:hAnsi="Times New Roman" w:cs="Times New Roman"/>
          <w:b/>
          <w:bCs/>
          <w:i/>
          <w:iCs/>
          <w:lang w:val="en-GB"/>
        </w:rPr>
        <w:t>1.</w:t>
      </w:r>
      <w:r w:rsidRPr="00B74585">
        <w:rPr>
          <w:rFonts w:ascii="Times New Roman" w:hAnsi="Times New Roman" w:cs="Times New Roman"/>
          <w:i/>
          <w:iCs/>
          <w:lang w:val="en-GB"/>
        </w:rPr>
        <w:t xml:space="preserve"> </w:t>
      </w:r>
      <w:r>
        <w:rPr>
          <w:rFonts w:ascii="Times New Roman" w:hAnsi="Times New Roman" w:cs="Times New Roman"/>
          <w:i/>
          <w:iCs/>
          <w:lang w:val="en-GB"/>
        </w:rPr>
        <w:t>Comparison of instruments</w:t>
      </w:r>
      <w:r w:rsidR="00CE093F">
        <w:rPr>
          <w:rFonts w:ascii="Times New Roman" w:hAnsi="Times New Roman" w:cs="Times New Roman"/>
          <w:i/>
          <w:iCs/>
          <w:lang w:val="en-GB"/>
        </w:rPr>
        <w:t xml:space="preserve"> employed in studies covered by the present study</w:t>
      </w:r>
      <w:r w:rsidRPr="00B74585">
        <w:rPr>
          <w:rFonts w:ascii="Times New Roman" w:hAnsi="Times New Roman" w:cs="Times New Roman"/>
          <w:i/>
          <w:iCs/>
          <w:lang w:val="en-GB"/>
        </w:rPr>
        <w:t>.</w:t>
      </w:r>
    </w:p>
    <w:tbl>
      <w:tblPr>
        <w:tblW w:w="13940" w:type="dxa"/>
        <w:tblLook w:val="04A0" w:firstRow="1" w:lastRow="0" w:firstColumn="1" w:lastColumn="0" w:noHBand="0" w:noVBand="1"/>
      </w:tblPr>
      <w:tblGrid>
        <w:gridCol w:w="1840"/>
        <w:gridCol w:w="2326"/>
        <w:gridCol w:w="2112"/>
        <w:gridCol w:w="1822"/>
        <w:gridCol w:w="2006"/>
        <w:gridCol w:w="1784"/>
        <w:gridCol w:w="2050"/>
      </w:tblGrid>
      <w:tr w:rsidR="009205A3" w:rsidRPr="00C12D47" w14:paraId="38D2C1DF" w14:textId="77777777" w:rsidTr="00F40E85">
        <w:trPr>
          <w:trHeight w:val="144"/>
        </w:trPr>
        <w:tc>
          <w:tcPr>
            <w:tcW w:w="1840" w:type="dxa"/>
            <w:tcBorders>
              <w:top w:val="single" w:sz="8" w:space="0" w:color="CCCCCC"/>
              <w:left w:val="single" w:sz="8" w:space="0" w:color="CCCCCC"/>
              <w:bottom w:val="single" w:sz="8" w:space="0" w:color="CCCCCC"/>
              <w:right w:val="single" w:sz="8" w:space="0" w:color="CCCCCC"/>
            </w:tcBorders>
            <w:hideMark/>
          </w:tcPr>
          <w:p w14:paraId="5E5E7435" w14:textId="77777777" w:rsidR="00AD613B" w:rsidRPr="00F40E85" w:rsidRDefault="00AD613B" w:rsidP="00F40E85">
            <w:pPr>
              <w:pStyle w:val="NoSpacing"/>
              <w:rPr>
                <w:rFonts w:ascii="Times New Roman" w:hAnsi="Times New Roman" w:cs="Times New Roman"/>
                <w:b/>
                <w:bCs/>
                <w:sz w:val="16"/>
                <w:szCs w:val="16"/>
                <w:lang w:val="en-US" w:eastAsia="zh-TW"/>
              </w:rPr>
            </w:pPr>
            <w:r w:rsidRPr="00F40E85">
              <w:rPr>
                <w:rFonts w:ascii="Times New Roman" w:hAnsi="Times New Roman" w:cs="Times New Roman"/>
                <w:b/>
                <w:bCs/>
                <w:sz w:val="16"/>
                <w:szCs w:val="16"/>
                <w:lang w:val="en-US" w:eastAsia="zh-TW"/>
              </w:rPr>
              <w:t>Instrument/Logger</w:t>
            </w:r>
          </w:p>
        </w:tc>
        <w:tc>
          <w:tcPr>
            <w:tcW w:w="2326" w:type="dxa"/>
            <w:tcBorders>
              <w:top w:val="single" w:sz="8" w:space="0" w:color="CCCCCC"/>
              <w:left w:val="nil"/>
              <w:bottom w:val="single" w:sz="8" w:space="0" w:color="CCCCCC"/>
              <w:right w:val="single" w:sz="8" w:space="0" w:color="CCCCCC"/>
            </w:tcBorders>
            <w:hideMark/>
          </w:tcPr>
          <w:p w14:paraId="689CFEC0" w14:textId="77777777" w:rsidR="00AD613B" w:rsidRPr="00F40E85" w:rsidRDefault="00AD613B" w:rsidP="00F40E85">
            <w:pPr>
              <w:pStyle w:val="NoSpacing"/>
              <w:rPr>
                <w:rFonts w:ascii="Times New Roman" w:hAnsi="Times New Roman" w:cs="Times New Roman"/>
                <w:b/>
                <w:bCs/>
                <w:sz w:val="16"/>
                <w:szCs w:val="16"/>
                <w:lang w:val="en-US" w:eastAsia="zh-TW"/>
              </w:rPr>
            </w:pPr>
            <w:r w:rsidRPr="00F40E85">
              <w:rPr>
                <w:rFonts w:ascii="Times New Roman" w:hAnsi="Times New Roman" w:cs="Times New Roman"/>
                <w:b/>
                <w:bCs/>
                <w:sz w:val="16"/>
                <w:szCs w:val="16"/>
                <w:lang w:val="en-US" w:eastAsia="zh-TW"/>
              </w:rPr>
              <w:t>Parameters Measured</w:t>
            </w:r>
          </w:p>
        </w:tc>
        <w:tc>
          <w:tcPr>
            <w:tcW w:w="2112" w:type="dxa"/>
            <w:tcBorders>
              <w:top w:val="single" w:sz="8" w:space="0" w:color="CCCCCC"/>
              <w:left w:val="nil"/>
              <w:bottom w:val="single" w:sz="8" w:space="0" w:color="CCCCCC"/>
              <w:right w:val="single" w:sz="8" w:space="0" w:color="CCCCCC"/>
            </w:tcBorders>
            <w:hideMark/>
          </w:tcPr>
          <w:p w14:paraId="69E6025C" w14:textId="77777777" w:rsidR="00AD613B" w:rsidRPr="00F40E85" w:rsidRDefault="00AD613B" w:rsidP="00F40E85">
            <w:pPr>
              <w:pStyle w:val="NoSpacing"/>
              <w:rPr>
                <w:rFonts w:ascii="Times New Roman" w:hAnsi="Times New Roman" w:cs="Times New Roman"/>
                <w:b/>
                <w:bCs/>
                <w:sz w:val="16"/>
                <w:szCs w:val="16"/>
                <w:lang w:val="en-US" w:eastAsia="zh-TW"/>
              </w:rPr>
            </w:pPr>
            <w:r w:rsidRPr="00F40E85">
              <w:rPr>
                <w:rFonts w:ascii="Times New Roman" w:hAnsi="Times New Roman" w:cs="Times New Roman"/>
                <w:b/>
                <w:bCs/>
                <w:sz w:val="16"/>
                <w:szCs w:val="16"/>
                <w:lang w:val="en-US" w:eastAsia="zh-TW"/>
              </w:rPr>
              <w:t>Sensor Type</w:t>
            </w:r>
          </w:p>
        </w:tc>
        <w:tc>
          <w:tcPr>
            <w:tcW w:w="1822" w:type="dxa"/>
            <w:tcBorders>
              <w:top w:val="single" w:sz="8" w:space="0" w:color="CCCCCC"/>
              <w:left w:val="nil"/>
              <w:bottom w:val="single" w:sz="8" w:space="0" w:color="CCCCCC"/>
              <w:right w:val="single" w:sz="8" w:space="0" w:color="CCCCCC"/>
            </w:tcBorders>
            <w:hideMark/>
          </w:tcPr>
          <w:p w14:paraId="37F571DE" w14:textId="77777777" w:rsidR="00AD613B" w:rsidRPr="00F40E85" w:rsidRDefault="00AD613B" w:rsidP="00F40E85">
            <w:pPr>
              <w:pStyle w:val="NoSpacing"/>
              <w:rPr>
                <w:rFonts w:ascii="Times New Roman" w:hAnsi="Times New Roman" w:cs="Times New Roman"/>
                <w:b/>
                <w:bCs/>
                <w:sz w:val="16"/>
                <w:szCs w:val="16"/>
                <w:lang w:val="en-US" w:eastAsia="zh-TW"/>
              </w:rPr>
            </w:pPr>
            <w:r w:rsidRPr="00F40E85">
              <w:rPr>
                <w:rFonts w:ascii="Times New Roman" w:hAnsi="Times New Roman" w:cs="Times New Roman"/>
                <w:b/>
                <w:bCs/>
                <w:sz w:val="16"/>
                <w:szCs w:val="16"/>
                <w:lang w:val="en-US" w:eastAsia="zh-TW"/>
              </w:rPr>
              <w:t>Accuracy</w:t>
            </w:r>
          </w:p>
        </w:tc>
        <w:tc>
          <w:tcPr>
            <w:tcW w:w="2006" w:type="dxa"/>
            <w:tcBorders>
              <w:top w:val="single" w:sz="8" w:space="0" w:color="CCCCCC"/>
              <w:left w:val="nil"/>
              <w:bottom w:val="single" w:sz="8" w:space="0" w:color="CCCCCC"/>
              <w:right w:val="single" w:sz="8" w:space="0" w:color="CCCCCC"/>
            </w:tcBorders>
            <w:hideMark/>
          </w:tcPr>
          <w:p w14:paraId="5E1E2172" w14:textId="77777777" w:rsidR="00AD613B" w:rsidRPr="00F40E85" w:rsidRDefault="00AD613B" w:rsidP="00F40E85">
            <w:pPr>
              <w:pStyle w:val="NoSpacing"/>
              <w:rPr>
                <w:rFonts w:ascii="Times New Roman" w:hAnsi="Times New Roman" w:cs="Times New Roman"/>
                <w:b/>
                <w:bCs/>
                <w:sz w:val="16"/>
                <w:szCs w:val="16"/>
                <w:lang w:val="en-US" w:eastAsia="zh-TW"/>
              </w:rPr>
            </w:pPr>
            <w:r w:rsidRPr="00F40E85">
              <w:rPr>
                <w:rFonts w:ascii="Times New Roman" w:hAnsi="Times New Roman" w:cs="Times New Roman"/>
                <w:b/>
                <w:bCs/>
                <w:sz w:val="16"/>
                <w:szCs w:val="16"/>
                <w:lang w:val="en-US" w:eastAsia="zh-TW"/>
              </w:rPr>
              <w:t>Sampling/Response Time</w:t>
            </w:r>
          </w:p>
        </w:tc>
        <w:tc>
          <w:tcPr>
            <w:tcW w:w="1784" w:type="dxa"/>
            <w:tcBorders>
              <w:top w:val="single" w:sz="8" w:space="0" w:color="CCCCCC"/>
              <w:left w:val="nil"/>
              <w:bottom w:val="single" w:sz="8" w:space="0" w:color="CCCCCC"/>
              <w:right w:val="single" w:sz="8" w:space="0" w:color="CCCCCC"/>
            </w:tcBorders>
            <w:hideMark/>
          </w:tcPr>
          <w:p w14:paraId="44F5FD69" w14:textId="77777777" w:rsidR="00AD613B" w:rsidRPr="00F40E85" w:rsidRDefault="00AD613B" w:rsidP="00F40E85">
            <w:pPr>
              <w:pStyle w:val="NoSpacing"/>
              <w:rPr>
                <w:rFonts w:ascii="Times New Roman" w:hAnsi="Times New Roman" w:cs="Times New Roman"/>
                <w:b/>
                <w:bCs/>
                <w:sz w:val="16"/>
                <w:szCs w:val="16"/>
                <w:lang w:val="en-US" w:eastAsia="zh-TW"/>
              </w:rPr>
            </w:pPr>
            <w:r w:rsidRPr="00F40E85">
              <w:rPr>
                <w:rFonts w:ascii="Times New Roman" w:hAnsi="Times New Roman" w:cs="Times New Roman"/>
                <w:b/>
                <w:bCs/>
                <w:sz w:val="16"/>
                <w:szCs w:val="16"/>
                <w:lang w:val="en-US" w:eastAsia="zh-TW"/>
              </w:rPr>
              <w:t>Mounting Type</w:t>
            </w:r>
          </w:p>
        </w:tc>
        <w:tc>
          <w:tcPr>
            <w:tcW w:w="2050" w:type="dxa"/>
            <w:tcBorders>
              <w:top w:val="single" w:sz="8" w:space="0" w:color="CCCCCC"/>
              <w:left w:val="nil"/>
              <w:bottom w:val="single" w:sz="8" w:space="0" w:color="CCCCCC"/>
              <w:right w:val="single" w:sz="8" w:space="0" w:color="CCCCCC"/>
            </w:tcBorders>
            <w:hideMark/>
          </w:tcPr>
          <w:p w14:paraId="2C078DAC" w14:textId="77777777" w:rsidR="00AD613B" w:rsidRPr="00F40E85" w:rsidRDefault="00AD613B" w:rsidP="00F40E85">
            <w:pPr>
              <w:pStyle w:val="NoSpacing"/>
              <w:rPr>
                <w:rFonts w:ascii="Times New Roman" w:hAnsi="Times New Roman" w:cs="Times New Roman"/>
                <w:b/>
                <w:bCs/>
                <w:sz w:val="16"/>
                <w:szCs w:val="16"/>
                <w:lang w:val="en-US" w:eastAsia="zh-TW"/>
              </w:rPr>
            </w:pPr>
            <w:r w:rsidRPr="00F40E85">
              <w:rPr>
                <w:rFonts w:ascii="Times New Roman" w:hAnsi="Times New Roman" w:cs="Times New Roman"/>
                <w:b/>
                <w:bCs/>
                <w:sz w:val="16"/>
                <w:szCs w:val="16"/>
                <w:lang w:val="en-US" w:eastAsia="zh-TW"/>
              </w:rPr>
              <w:t>Source</w:t>
            </w:r>
          </w:p>
        </w:tc>
      </w:tr>
      <w:tr w:rsidR="009205A3" w:rsidRPr="00F40E85" w14:paraId="634982E7"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08645F4F"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TESTO 480 / 440</w:t>
            </w:r>
          </w:p>
        </w:tc>
        <w:tc>
          <w:tcPr>
            <w:tcW w:w="2326" w:type="dxa"/>
            <w:tcBorders>
              <w:top w:val="nil"/>
              <w:left w:val="nil"/>
              <w:bottom w:val="single" w:sz="8" w:space="0" w:color="CCCCCC"/>
              <w:right w:val="single" w:sz="8" w:space="0" w:color="CCCCCC"/>
            </w:tcBorders>
            <w:hideMark/>
          </w:tcPr>
          <w:p w14:paraId="0DA8FE45" w14:textId="3A37E78D"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Air temperature (</w:t>
            </w:r>
            <w:r w:rsidR="00455695">
              <w:rPr>
                <w:rFonts w:ascii="Times New Roman" w:hAnsi="Times New Roman" w:cs="Times New Roman"/>
                <w:sz w:val="16"/>
                <w:szCs w:val="16"/>
                <w:lang w:val="en-US" w:eastAsia="zh-TW"/>
              </w:rPr>
              <w:t>T</w:t>
            </w:r>
            <w:r w:rsidR="00455695" w:rsidRPr="00815B93">
              <w:rPr>
                <w:rFonts w:ascii="Times New Roman" w:hAnsi="Times New Roman" w:cs="Times New Roman"/>
                <w:sz w:val="16"/>
                <w:szCs w:val="16"/>
                <w:vertAlign w:val="subscript"/>
                <w:lang w:val="en-US" w:eastAsia="zh-TW"/>
              </w:rPr>
              <w:t>a</w:t>
            </w:r>
            <w:r w:rsidRPr="00F40E85">
              <w:rPr>
                <w:rFonts w:ascii="Times New Roman" w:hAnsi="Times New Roman" w:cs="Times New Roman"/>
                <w:sz w:val="16"/>
                <w:szCs w:val="16"/>
                <w:lang w:val="en-US" w:eastAsia="zh-TW"/>
              </w:rPr>
              <w:t>), Relative humidity (</w:t>
            </w:r>
            <w:r w:rsidR="003B7F33">
              <w:rPr>
                <w:rFonts w:ascii="Times New Roman" w:hAnsi="Times New Roman" w:cs="Times New Roman"/>
                <w:sz w:val="16"/>
                <w:szCs w:val="16"/>
                <w:lang w:val="en-US" w:eastAsia="zh-TW"/>
              </w:rPr>
              <w:t>RH</w:t>
            </w:r>
            <w:r w:rsidRPr="00F40E85">
              <w:rPr>
                <w:rFonts w:ascii="Times New Roman" w:hAnsi="Times New Roman" w:cs="Times New Roman"/>
                <w:sz w:val="16"/>
                <w:szCs w:val="16"/>
                <w:lang w:val="en-US" w:eastAsia="zh-TW"/>
              </w:rPr>
              <w:t>), Wind speed (</w:t>
            </w:r>
            <w:r w:rsidR="003B7F33">
              <w:rPr>
                <w:rFonts w:ascii="Times New Roman" w:hAnsi="Times New Roman" w:cs="Times New Roman"/>
                <w:sz w:val="16"/>
                <w:szCs w:val="16"/>
                <w:lang w:val="en-US" w:eastAsia="zh-TW"/>
              </w:rPr>
              <w:t>v</w:t>
            </w:r>
            <w:r w:rsidRPr="00F40E85">
              <w:rPr>
                <w:rFonts w:ascii="Times New Roman" w:hAnsi="Times New Roman" w:cs="Times New Roman"/>
                <w:sz w:val="16"/>
                <w:szCs w:val="16"/>
                <w:lang w:val="en-US" w:eastAsia="zh-TW"/>
              </w:rPr>
              <w:t>), Globe temperature (</w:t>
            </w:r>
            <w:r w:rsidR="003A2329">
              <w:rPr>
                <w:rFonts w:ascii="Times New Roman" w:hAnsi="Times New Roman" w:cs="Times New Roman"/>
                <w:sz w:val="16"/>
                <w:szCs w:val="16"/>
                <w:lang w:val="en-US" w:eastAsia="zh-TW"/>
              </w:rPr>
              <w:t>T</w:t>
            </w:r>
            <w:r w:rsidR="003A2329">
              <w:rPr>
                <w:rFonts w:ascii="Times New Roman" w:hAnsi="Times New Roman" w:cs="Times New Roman"/>
                <w:sz w:val="16"/>
                <w:szCs w:val="16"/>
                <w:vertAlign w:val="subscript"/>
                <w:lang w:val="en-US" w:eastAsia="zh-TW"/>
              </w:rPr>
              <w:t>g</w:t>
            </w:r>
            <w:r w:rsidRPr="00F40E85">
              <w:rPr>
                <w:rFonts w:ascii="Times New Roman" w:hAnsi="Times New Roman" w:cs="Times New Roman"/>
                <w:sz w:val="16"/>
                <w:szCs w:val="16"/>
                <w:lang w:val="en-US" w:eastAsia="zh-TW"/>
              </w:rPr>
              <w:t>), Surface temperature (</w:t>
            </w:r>
            <w:r w:rsidR="00C12D47">
              <w:rPr>
                <w:rFonts w:ascii="Times New Roman" w:hAnsi="Times New Roman" w:cs="Times New Roman"/>
                <w:sz w:val="16"/>
                <w:szCs w:val="16"/>
                <w:lang w:val="en-US" w:eastAsia="zh-TW"/>
              </w:rPr>
              <w:t>T</w:t>
            </w:r>
            <w:r w:rsidR="00C12D47">
              <w:rPr>
                <w:rFonts w:ascii="Times New Roman" w:hAnsi="Times New Roman" w:cs="Times New Roman"/>
                <w:sz w:val="16"/>
                <w:szCs w:val="16"/>
                <w:vertAlign w:val="subscript"/>
                <w:lang w:val="en-US" w:eastAsia="zh-TW"/>
              </w:rPr>
              <w:t>s</w:t>
            </w:r>
            <w:r w:rsidRPr="00F40E85">
              <w:rPr>
                <w:rFonts w:ascii="Times New Roman" w:hAnsi="Times New Roman" w:cs="Times New Roman"/>
                <w:sz w:val="16"/>
                <w:szCs w:val="16"/>
                <w:lang w:val="en-US" w:eastAsia="zh-TW"/>
              </w:rPr>
              <w:t>)</w:t>
            </w:r>
          </w:p>
        </w:tc>
        <w:tc>
          <w:tcPr>
            <w:tcW w:w="2112" w:type="dxa"/>
            <w:tcBorders>
              <w:top w:val="nil"/>
              <w:left w:val="nil"/>
              <w:bottom w:val="single" w:sz="8" w:space="0" w:color="CCCCCC"/>
              <w:right w:val="single" w:sz="8" w:space="0" w:color="CCCCCC"/>
            </w:tcBorders>
            <w:hideMark/>
          </w:tcPr>
          <w:p w14:paraId="272F42C2"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Vane probe, Humidity/temp probe, Waterproof surface probe, Type K thermocouple globe (150 mm)</w:t>
            </w:r>
          </w:p>
        </w:tc>
        <w:tc>
          <w:tcPr>
            <w:tcW w:w="1822" w:type="dxa"/>
            <w:tcBorders>
              <w:top w:val="nil"/>
              <w:left w:val="nil"/>
              <w:bottom w:val="single" w:sz="8" w:space="0" w:color="CCCCCC"/>
              <w:right w:val="single" w:sz="8" w:space="0" w:color="CCCCCC"/>
            </w:tcBorders>
            <w:hideMark/>
          </w:tcPr>
          <w:p w14:paraId="5B20CDF6" w14:textId="06EC9F50" w:rsidR="00AD613B" w:rsidRPr="00F40E85" w:rsidRDefault="00D07047"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F40E85">
              <w:rPr>
                <w:rFonts w:ascii="Times New Roman" w:hAnsi="Times New Roman" w:cs="Times New Roman"/>
                <w:sz w:val="16"/>
                <w:szCs w:val="16"/>
                <w:vertAlign w:val="subscript"/>
                <w:lang w:val="en-US" w:eastAsia="zh-TW"/>
              </w:rPr>
              <w:t>a</w:t>
            </w:r>
            <w:r w:rsidR="003B7F33">
              <w:rPr>
                <w:rFonts w:ascii="Times New Roman" w:hAnsi="Times New Roman" w:cs="Times New Roman" w:hint="eastAsia"/>
                <w:sz w:val="16"/>
                <w:szCs w:val="16"/>
                <w:lang w:val="en-US" w:eastAsia="zh-TW"/>
              </w:rPr>
              <w:t xml:space="preserve">: </w:t>
            </w:r>
            <w:r>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0.2 °C; </w:t>
            </w:r>
            <w:r w:rsidR="003B7F33">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1.0%; </w:t>
            </w:r>
            <w:r w:rsidR="003B7F33">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0.03 m/s; </w:t>
            </w:r>
            <w:r w:rsidR="003A2329">
              <w:rPr>
                <w:rFonts w:ascii="Times New Roman" w:hAnsi="Times New Roman" w:cs="Times New Roman"/>
                <w:sz w:val="16"/>
                <w:szCs w:val="16"/>
                <w:lang w:val="en-US" w:eastAsia="zh-TW"/>
              </w:rPr>
              <w:t>T</w:t>
            </w:r>
            <w:r w:rsidR="003A2329">
              <w:rPr>
                <w:rFonts w:ascii="Times New Roman" w:hAnsi="Times New Roman" w:cs="Times New Roman"/>
                <w:sz w:val="16"/>
                <w:szCs w:val="16"/>
                <w:vertAlign w:val="subscript"/>
                <w:lang w:val="en-US" w:eastAsia="zh-TW"/>
              </w:rPr>
              <w:t>g</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1 °C</w:t>
            </w:r>
          </w:p>
        </w:tc>
        <w:tc>
          <w:tcPr>
            <w:tcW w:w="2006" w:type="dxa"/>
            <w:tcBorders>
              <w:top w:val="nil"/>
              <w:left w:val="nil"/>
              <w:bottom w:val="single" w:sz="8" w:space="0" w:color="CCCCCC"/>
              <w:right w:val="single" w:sz="8" w:space="0" w:color="CCCCCC"/>
            </w:tcBorders>
            <w:hideMark/>
          </w:tcPr>
          <w:p w14:paraId="148A4D22"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5 s steps or 1 min intervals</w:t>
            </w:r>
          </w:p>
        </w:tc>
        <w:tc>
          <w:tcPr>
            <w:tcW w:w="1784" w:type="dxa"/>
            <w:tcBorders>
              <w:top w:val="nil"/>
              <w:left w:val="nil"/>
              <w:bottom w:val="single" w:sz="8" w:space="0" w:color="CCCCCC"/>
              <w:right w:val="single" w:sz="8" w:space="0" w:color="CCCCCC"/>
            </w:tcBorders>
            <w:hideMark/>
          </w:tcPr>
          <w:p w14:paraId="18BDC102"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Backpack or Tripod (1.4–1.7 m)</w:t>
            </w:r>
          </w:p>
        </w:tc>
        <w:tc>
          <w:tcPr>
            <w:tcW w:w="2050" w:type="dxa"/>
            <w:tcBorders>
              <w:top w:val="nil"/>
              <w:left w:val="nil"/>
              <w:bottom w:val="single" w:sz="8" w:space="0" w:color="CCCCCC"/>
              <w:right w:val="single" w:sz="8" w:space="0" w:color="CCCCCC"/>
            </w:tcBorders>
            <w:hideMark/>
          </w:tcPr>
          <w:p w14:paraId="3A5DCB62" w14:textId="2E5877BE" w:rsidR="00F915CF" w:rsidRDefault="006A1661">
            <w:pPr>
              <w:pStyle w:val="NoSpacing"/>
              <w:rPr>
                <w:rFonts w:ascii="Times New Roman" w:hAnsi="Times New Roman" w:cs="Times New Roman"/>
                <w:sz w:val="16"/>
                <w:lang w:val="en-US"/>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{"citationID":"dM2iSTEL","properties":{"formattedCitation":"(Ali Smail et al., 2024; Chokhachian et al., 2018; E. J. Kim &amp; Kim, 2024; H. Kim et al., 2022)","plainCitation":"(Ali Smail et al., 2024; Chokhachian et al., 2018; E. J. Kim &amp; Kim, 2024; H. Kim et al., 2022)","noteIndex":0},"citationItems":[{"id":225,"uris":["http://zotero.org/users/15620616/items/ALR9MCF2"],"itemData":{"id":225,"type":"article-journal","abstract":"Cities are already witnessing the impacts of climate change. Prolonged heat exposure have a direct effect on pedestrians’ thermoregulatory system, causing serious heat-related issues in the form of fatigue and thermal exhaustion. While the human body is capable of maintaining heat balance, excessive heat exposure combined with increasing heat loads can deteriorate the thermoregulatory process which leads to discomfort. Walkability is one of the significant challenges for climate change mitigation. Balancing the dichotomy of walking to mitigate climate change, and mitigating climate change to walk emphasizes the importance of promoting resilient walkability. In this context, the term “resilience” is used to highlight the need to design urban spaces able to adapt to increased urban heat, enabling pedestrians to tolerate and recover from discomfort conditions. This study investigates the potential of the “Sabat”, a traditional semi-outdoor space with lift-up design, and its distribution in generating transient thermal aeraulic conditions, and reducing fatigue sensation, hence, supporting a positive walking experience. Thermal walks have been conducted in Casbah of Algiers during temperate and hot weather conditions, in the context of uphill walking. Results revealed the alliesthesial effect of cool-shaded and ventilated Sabats to reduce fatigue sensation, which was confirmed by the significant correlation at lag-(-1) (r = 0.504, p &lt; 0.001). Findings shed light on the importance of maintaining dynamic alliesthesia to create modulated restorative opportunities and offer starting point for hypothesizing broader trends for future implementation of Sabat design in modern cities.","container-title":"Building and Environment","DOI":"10.1016/j.buildenv.2024.111760","ISSN":"0360-1323","journalAbbreviation":"Building and Environment","page":"111760","source":"ScienceDirect","title":"Investigating the transient conditions of “Sabat” space and its influence on pedestrian sensations during thermal walks. Algiers’ Casbah case study","volume":"261","author":[{"family":"Ali Smail","given":"Sabah"},{"family":"Zemmouri","given":"Noureddine"},{"family":"Djenane","given":"Moussadek"},{"family":"Nikolopoulou","given":"Marialena"}],"issued":{"date-parts":[["2024",8,1]]}}},{"id":246,"uris":["http://zotero.org/users/15620616/items/3L5S7T4W"],"itemData":{"id":246,"type":"article-journal","abstract":"Studies on microclimate of cities have already proved that pedestrian thermal comfort is function of built environment and it is fundamental to understand this phenomena both with numerical techniques and field measurements to achieve comfortable, healthier and more livable urban spaces. There has been wide variety of methods to approach this question that how people react or behave in transient outdoor condition since most of the thermal comfort studies perceive pedestrian thermal comfort as “static” phenomena. The application of thermal comfort monitoring in transient conditions is limited due to complexity of the task and instrumental setup which leads to lack of understanding about how pedestrians compensate heat loads. This study contributes in two directions, first to setup a georeferenced environmental monitoring equipment as a methodology and second to use the toolkit to have better understanding of dynamic thermal comfort and the thresholds for tolerance to thermal discomfort.","container-title":"Journal of Building Engineering","DOI":"10.1016/j.jobe.2018.07.003","ISSN":"2352-7102","journalAbbreviation":"Journal of Building Engineering","page":"94-104","source":"ScienceDirect","title":"Sensing transient outdoor comfort: A georeferenced method to monitor and map microclimate","title-short":"Sensing transient outdoor comfort","volume":"20","author":[{"family":"Chokhachian","given":"Ata"},{"family":"Ka-Lun Lau","given":"Kevin"},{"family":"Perini","given":"Katia"},{"family":"Auer","given":"Thomas"}],"issued":{"date-parts":[["2018",11,1]]}}},{"id":231,"uris":["http://zotero.org/users/15620616/items/DENDY42D"],"itemData":{"id":231,"type":"article-journal","abstract":"This study evaluates the reliability of the “Go-and-Stop” mobile method for collecting spatial thermal data in urban environments. Field measurements were conducted using six fixed weather stations installed in diverse spatial contexts and a mobile station following a route on a university campus in South Korea. While the mobile station accurately measured air temperature (Ta), wind speed (Va) exhibited variability, with errors between 25 % and 36 %, indicating a need for improved techniques. Globe temperature (GT) and mean radiant temperature (MRT) showed lower accuracy under lower sky view factor (SVF) (&lt; 0.2) compared to areas with higher SVF (&gt; 0.5). Statistical analysis confirmed that spatial factors like SVF affect accuracy, with a tendency to underestimate cooling effects in shaded areas using mobile measurements. In shaded and windy areas under building piloti, GT and MRT predictions were insignificant, requiring supplementary fixed measurements. The results highlight that in high SVF areas, GT and MRT accuracy aligns with Ta, while further research is needed in low SVF conditions. This study confirms the effectiveness of the Go-and-Stop method, taking into account spatial characteristics (e.g., SVF), while also identifying its limitations.","container-title":"Urban Climate","DOI":"10.1016/j.uclim.2024.102154","ISSN":"2212-0955","journalAbbreviation":"Urban Climate","page":"102154","source":"ScienceDirect","title":"Walking-based mobile measurement: Examining its reliability for spatial thermal characteristics in urban environments","title-short":"Walking-based mobile measurement","volume":"58","author":[{"family":"Kim","given":"Eujin Julia"},{"family":"Kim","given":"Hyoungsub"}],"issued":{"date-parts":[["2024",11,1]]}}},{"id":217,"uris":["http://zotero.org/users/15620616/items/MRHTDJQL"],"itemData":{"id":217,"type":"article-journal","abstract":"First, the contributions of spatial characteristics to microclimate were analyzed. And the results from mobile measurements were compared to those from fixed measurements to examine accuracy of mobile method. Air temperature and physiologically equivalent temperature (PET) profiles were plotted to explore the impacts of the spatial characteristics of that urban square and local street.This research investigates the effects of urban canyons and landscape on air temperature and outdoor thermal comfort in an open square in Seoul, Korea, a city of diverse thermal environments. Mobile field measurements were carried out to obtain local meteorological data based on higher spatial resolution.On a day in October under clear sky, air temperature and PET differences of up to 1.77 °C and 9.6 °C were observed at 2 p.m. and 3 p.m., respectively. These were mainly from the impact of shading effects caused by surrounding obstacles. The current layout and volume of vegetation in the square seemed not effective for reducing air temperature and improving thermal comfort, which needs further study.The authors tested a way to investigate time delay when using mobile measurements by correcting measured local data using adjacent meteorological observatory data. The findings of and limitations on mobile station-based field measurement and analysis are discussed herein.","container-title":"Open House International","DOI":"10.1108/OHI-12-2021-0280","ISSN":"0168-2601","issue":"3","journalAbbreviation":"Open House International","page":"473-493","source":"Silverchair","title":"Findings from a field study of urban microclimate in Korea using mobile meteorological measurements","volume":"47","author":[{"family":"Kim","given":"Hyoungsub"},{"family":"Kim","given":"Se Woong"},{"family":"Jo","given":"Yongjun"},{"family":"Kim","given":"Eujin Julia"}],"issued":{"date-parts":[["2022",4,19]]}}}],"schema":"https://github.com/citation-style-language/schema/raw/master/csl-citation.json"}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sz w:val="16"/>
                <w:lang w:val="en-US"/>
              </w:rPr>
              <w:t>Ali Smail et al., 2024</w:t>
            </w:r>
          </w:p>
          <w:p w14:paraId="4F303D4C" w14:textId="17B5C892" w:rsidR="00F915CF" w:rsidRDefault="006A1661">
            <w:pPr>
              <w:pStyle w:val="NoSpacing"/>
              <w:rPr>
                <w:rFonts w:ascii="Times New Roman" w:hAnsi="Times New Roman" w:cs="Times New Roman"/>
                <w:sz w:val="16"/>
                <w:lang w:val="en-US"/>
              </w:rPr>
            </w:pPr>
            <w:r w:rsidRPr="00F40E85">
              <w:rPr>
                <w:rFonts w:ascii="Times New Roman" w:hAnsi="Times New Roman" w:cs="Times New Roman"/>
                <w:sz w:val="16"/>
                <w:lang w:val="en-US"/>
              </w:rPr>
              <w:t>Chokhachian et al., 2018</w:t>
            </w:r>
          </w:p>
          <w:p w14:paraId="6DAFD281" w14:textId="26DE9987" w:rsidR="00F915CF" w:rsidRPr="00F40E85" w:rsidRDefault="006A1661">
            <w:pPr>
              <w:pStyle w:val="NoSpacing"/>
              <w:rPr>
                <w:rFonts w:ascii="Times New Roman" w:hAnsi="Times New Roman" w:cs="Times New Roman"/>
                <w:sz w:val="16"/>
                <w:lang w:val="en-US"/>
              </w:rPr>
            </w:pPr>
            <w:r w:rsidRPr="00F40E85">
              <w:rPr>
                <w:rFonts w:ascii="Times New Roman" w:hAnsi="Times New Roman" w:cs="Times New Roman"/>
                <w:sz w:val="16"/>
                <w:lang w:val="en-US"/>
              </w:rPr>
              <w:t>Kim &amp; Kim, 2024</w:t>
            </w:r>
          </w:p>
          <w:p w14:paraId="42A23149" w14:textId="5E345F52" w:rsidR="00AD613B" w:rsidRPr="00F40E85" w:rsidRDefault="006A1661"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lang w:val="en-US"/>
              </w:rPr>
              <w:t>Kim et al., 2022</w:t>
            </w:r>
            <w:r>
              <w:rPr>
                <w:rFonts w:ascii="Times New Roman" w:hAnsi="Times New Roman" w:cs="Times New Roman"/>
                <w:sz w:val="16"/>
                <w:szCs w:val="16"/>
                <w:lang w:val="en-US" w:eastAsia="zh-TW"/>
              </w:rPr>
              <w:fldChar w:fldCharType="end"/>
            </w:r>
          </w:p>
        </w:tc>
      </w:tr>
      <w:tr w:rsidR="009205A3" w:rsidRPr="00F40E85" w14:paraId="2D39F05E"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162FB967"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Kestrel 5400 Heat Stress Tracker</w:t>
            </w:r>
          </w:p>
        </w:tc>
        <w:tc>
          <w:tcPr>
            <w:tcW w:w="2326" w:type="dxa"/>
            <w:tcBorders>
              <w:top w:val="nil"/>
              <w:left w:val="nil"/>
              <w:bottom w:val="single" w:sz="8" w:space="0" w:color="CCCCCC"/>
              <w:right w:val="single" w:sz="8" w:space="0" w:color="CCCCCC"/>
            </w:tcBorders>
            <w:hideMark/>
          </w:tcPr>
          <w:p w14:paraId="3FE863F5" w14:textId="6AA48065" w:rsidR="00AD613B" w:rsidRPr="00F40E85" w:rsidRDefault="003546A2"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T</w:t>
            </w:r>
            <w:r w:rsidRPr="00F40E85">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9E3194" w:rsidRPr="00F40E85">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w:t>
            </w:r>
            <w:r w:rsidR="003A2329" w:rsidRPr="00F40E85">
              <w:rPr>
                <w:rFonts w:ascii="Times New Roman" w:hAnsi="Times New Roman" w:cs="Times New Roman"/>
                <w:sz w:val="16"/>
                <w:szCs w:val="16"/>
                <w:lang w:val="en-US" w:eastAsia="zh-TW"/>
              </w:rPr>
              <w:t>T</w:t>
            </w:r>
            <w:r w:rsidR="003A2329" w:rsidRPr="00F40E85">
              <w:rPr>
                <w:rFonts w:ascii="Times New Roman" w:hAnsi="Times New Roman" w:cs="Times New Roman"/>
                <w:sz w:val="16"/>
                <w:szCs w:val="16"/>
                <w:vertAlign w:val="subscript"/>
                <w:lang w:val="en-US" w:eastAsia="zh-TW"/>
              </w:rPr>
              <w:t>g</w:t>
            </w:r>
            <w:r w:rsidR="00AD613B" w:rsidRPr="00F40E85">
              <w:rPr>
                <w:rFonts w:ascii="Times New Roman" w:hAnsi="Times New Roman" w:cs="Times New Roman"/>
                <w:sz w:val="16"/>
                <w:szCs w:val="16"/>
                <w:lang w:val="en-US" w:eastAsia="zh-TW"/>
              </w:rPr>
              <w:t>, UTCI</w:t>
            </w:r>
          </w:p>
        </w:tc>
        <w:tc>
          <w:tcPr>
            <w:tcW w:w="2112" w:type="dxa"/>
            <w:tcBorders>
              <w:top w:val="nil"/>
              <w:left w:val="nil"/>
              <w:bottom w:val="single" w:sz="8" w:space="0" w:color="CCCCCC"/>
              <w:right w:val="single" w:sz="8" w:space="0" w:color="CCCCCC"/>
            </w:tcBorders>
            <w:hideMark/>
          </w:tcPr>
          <w:p w14:paraId="514F890B"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Integrated meteorological sensors</w:t>
            </w:r>
          </w:p>
        </w:tc>
        <w:tc>
          <w:tcPr>
            <w:tcW w:w="1822" w:type="dxa"/>
            <w:tcBorders>
              <w:top w:val="nil"/>
              <w:left w:val="nil"/>
              <w:bottom w:val="single" w:sz="8" w:space="0" w:color="CCCCCC"/>
              <w:right w:val="single" w:sz="8" w:space="0" w:color="CCCCCC"/>
            </w:tcBorders>
            <w:hideMark/>
          </w:tcPr>
          <w:p w14:paraId="73493912" w14:textId="644F40E7" w:rsidR="00AD613B" w:rsidRPr="00F40E85" w:rsidRDefault="005D2DD8" w:rsidP="00F40E85">
            <w:pPr>
              <w:pStyle w:val="NoSpacing"/>
              <w:rPr>
                <w:rFonts w:ascii="Times New Roman" w:hAnsi="Times New Roman" w:cs="Times New Roman"/>
                <w:sz w:val="16"/>
                <w:szCs w:val="16"/>
                <w:lang w:val="en-US" w:eastAsia="zh-TW"/>
              </w:rPr>
            </w:pPr>
            <w:r w:rsidRPr="006A1661">
              <w:rPr>
                <w:rFonts w:ascii="Times New Roman" w:hAnsi="Times New Roman" w:cs="Times New Roman"/>
                <w:sz w:val="16"/>
                <w:szCs w:val="16"/>
                <w:lang w:val="en-US" w:eastAsia="zh-TW"/>
              </w:rPr>
              <w:t>Ta</w:t>
            </w:r>
            <w:r w:rsidR="00AD613B" w:rsidRPr="00F40E85">
              <w:rPr>
                <w:rFonts w:ascii="Times New Roman" w:hAnsi="Times New Roman" w:cs="Times New Roman"/>
                <w:sz w:val="16"/>
                <w:szCs w:val="16"/>
                <w:lang w:val="en-US" w:eastAsia="zh-TW"/>
              </w:rPr>
              <w:t xml:space="preserve">: &lt;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0.5 °C; </w:t>
            </w:r>
            <w:r w:rsidR="003B7F33" w:rsidRPr="00F40E85">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&lt;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2%; </w:t>
            </w:r>
            <w:r w:rsidR="003B7F33" w:rsidRPr="00F40E85">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&lt;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3%; </w:t>
            </w:r>
            <w:r w:rsidR="003A2329">
              <w:rPr>
                <w:rFonts w:ascii="Times New Roman" w:hAnsi="Times New Roman" w:cs="Times New Roman"/>
                <w:sz w:val="16"/>
                <w:szCs w:val="16"/>
                <w:lang w:val="en-US" w:eastAsia="zh-TW"/>
              </w:rPr>
              <w:t>T</w:t>
            </w:r>
            <w:r w:rsidR="003A2329">
              <w:rPr>
                <w:rFonts w:ascii="Times New Roman" w:hAnsi="Times New Roman" w:cs="Times New Roman"/>
                <w:sz w:val="16"/>
                <w:szCs w:val="16"/>
                <w:vertAlign w:val="subscript"/>
                <w:lang w:val="en-US" w:eastAsia="zh-TW"/>
              </w:rPr>
              <w:t>g</w:t>
            </w:r>
            <w:r w:rsidR="00455695"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&lt;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1.4 °C</w:t>
            </w:r>
          </w:p>
        </w:tc>
        <w:tc>
          <w:tcPr>
            <w:tcW w:w="2006" w:type="dxa"/>
            <w:tcBorders>
              <w:top w:val="nil"/>
              <w:left w:val="nil"/>
              <w:bottom w:val="single" w:sz="8" w:space="0" w:color="CCCCCC"/>
              <w:right w:val="single" w:sz="8" w:space="0" w:color="CCCCCC"/>
            </w:tcBorders>
            <w:hideMark/>
          </w:tcPr>
          <w:p w14:paraId="5B1F4BB8"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2 s to 5 s steps</w:t>
            </w:r>
          </w:p>
        </w:tc>
        <w:tc>
          <w:tcPr>
            <w:tcW w:w="1784" w:type="dxa"/>
            <w:tcBorders>
              <w:top w:val="nil"/>
              <w:left w:val="nil"/>
              <w:bottom w:val="single" w:sz="8" w:space="0" w:color="CCCCCC"/>
              <w:right w:val="single" w:sz="8" w:space="0" w:color="CCCCCC"/>
            </w:tcBorders>
            <w:hideMark/>
          </w:tcPr>
          <w:p w14:paraId="5AA8A623"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Backpack or Foldable tripod</w:t>
            </w:r>
          </w:p>
        </w:tc>
        <w:tc>
          <w:tcPr>
            <w:tcW w:w="2050" w:type="dxa"/>
            <w:tcBorders>
              <w:top w:val="nil"/>
              <w:left w:val="nil"/>
              <w:bottom w:val="single" w:sz="8" w:space="0" w:color="CCCCCC"/>
              <w:right w:val="single" w:sz="8" w:space="0" w:color="CCCCCC"/>
            </w:tcBorders>
            <w:hideMark/>
          </w:tcPr>
          <w:p w14:paraId="4392722B" w14:textId="1A39B34B" w:rsidR="00F915CF" w:rsidRPr="003546A2" w:rsidRDefault="006A1661">
            <w:pPr>
              <w:pStyle w:val="NoSpacing"/>
              <w:rPr>
                <w:rFonts w:ascii="Times New Roman" w:hAnsi="Times New Roman" w:cs="Times New Roman"/>
                <w:sz w:val="16"/>
                <w:lang w:val="en-US"/>
              </w:rPr>
            </w:pPr>
            <w:r>
              <w:rPr>
                <w:rFonts w:ascii="Times New Roman" w:hAnsi="Times New Roman" w:cs="Times New Roman"/>
                <w:sz w:val="16"/>
                <w:szCs w:val="16"/>
                <w:lang w:val="en-US" w:eastAsia="zh-TW"/>
              </w:rPr>
              <w:fldChar w:fldCharType="begin"/>
            </w:r>
            <w:r w:rsidR="004960D7">
              <w:rPr>
                <w:rFonts w:ascii="Times New Roman" w:hAnsi="Times New Roman" w:cs="Times New Roman"/>
                <w:sz w:val="16"/>
                <w:szCs w:val="16"/>
                <w:lang w:val="en-US" w:eastAsia="zh-TW"/>
              </w:rPr>
              <w:instrText xml:space="preserve"> ADDIN ZOTERO_ITEM CSL_CITATION {"citationID":"QRWvQ7ar","properties":{"formattedCitation":"(Deng et al., 2023; Lam et al., 2024; Peng et al., 2022, p. 202)","plainCitation":"(Deng et al., 2023; Lam et al., 2024; Peng et al., 2022, p. 202)","dontUpdate":true,"noteIndex":0},"citationItems":[{"id":233,"uris":["http://zotero.org/users/15620616/items/94AQ63IS"],"itemData":{"id":233,"type":"article-journal","abstract":"Urban populations face increasing heat stress in cities. However, the influence of the built environment of new and old urban blocks on pedestrian thermal comfort remains unclear. This study selected typical old (Yongqingfang) and new urban areas (Knowledge City) in Guangzhou, China, as our research sites. Through field monitoring and surveys, we used physiological equivalent temperature (PET) and thermal comfort vote (TCV) to evaluate outdoor thermal comfort by thermal walk experiments. We analyzed the relationships between built environment variables, meteorological variables, and pedestrian thermal comfort at the two sites. Our analysis revealed significant differences in the built environment and meteorological conditions between the new and old urban blocks within the 60-m buffer zone. PET and TCV showed noticeable spatiotemporal variations in both sites, and their correlation was stronger in the morning (r = 0.87–0.89) than late afternoon (r = 0.60–0.70). Our stepwise regression model indicated that sky view factor and building coverage ratio significantly affected outdoor thermal comfort in old and new urban blocks. Built environment variables explained a higher percentage of the variance in PET (Yongqingfang R2: 0.59–0.82, Knowledge City R2: 0.32–0.81) than TCV (Yongqingfang R2: 0.45–0.57, Knowledge City R2: 0.48–0.69). In short, built environment variables affected thermal indices more than thermal perception. The impact of built environment variables on TCV is also greater in new urban areas than in old urban blocks. Our findings provide insights into the complex relationship between built environments and outdoor thermal comfort in different urban landscapes, which informs climate-resilient urban design.","container-title":"Building and Environment","DOI":"10.1016/j.buildenv.2023.110133","ISSN":"0360-1323","journalAbbreviation":"Building and Environment","page":"110133","source":"ScienceDirect","title":"Influence of built environment on outdoor thermal comfort: A comparative study of new and old urban blocks in Guangzhou","title-short":"Influence of built environment on outdoor thermal comfort","volume":"234","author":[{"family":"Deng","given":"Xingdong"},{"family":"Nie","given":"Weixiao"},{"family":"Li","given":"Xiaohui"},{"family":"Wu","given":"Jie"},{"family":"Yin","given":"Zhe"},{"family":"Han","given":"Jiejie"},{"family":"Pan","given":"Haonan"},{"family":"Lam","given":"Cho Kwong Charlie"}],"issued":{"date-parts":[["2023",4,15]]}}},{"id":240,"uris":["http://zotero.org/users/15620616/items/BPR5GRR6"],"itemData":{"id":240,"type":"article-journal","abstract":"Urban residents are exposed to multiple environmental stimuli. Past studies have examined the influence of heat stress on outdoor thermal comfort, but the cross-modal effects of various sensory stimuli on outdoor thermal comfort remain unclear. This study used chi-square tests and logistic regression to examine the cross-modal effects of perceived environmental quality (acoustic, visual and air quality) and psychological status (irritability, perceived tiredness) on outdoor thermal comfort. We conducted thermal walk experiments in Guangzhou, China, in September and October 2022. This panel study consisted of mobile environmental sensors and thermal comfort surveys by fourteen university students on three walking routes, representing urban renewal sites, new urban areas, and urban blue-green spaces. The ‘very bright’ (OR=15.76, p&lt;0.001) and ‘glaring’ groups (OR=4.09, p&lt;0.001) were likelier to feel hotter than the ‘dark’ and ‘not glaring’ groups. People who found the noise level annoying were likelier to feel uncomfortable (OR=1.61, p=0.004). Moreover, people perceiving air quality as ‘very good’ were less likely to find the thermal environment unacceptable (OR=0.27, p=0.035). The irritated (OR=4.18, p&lt;0.001) and tired groups (OR=1.81, p=0.002) were likelier to find the thermal environment intolerable. Our findings highlight the need to consider multisensory comfort and psychological status to inform sustainable urban design.","container-title":"Sustainable Cities and Society","DOI":"10.1016/j.scs.2024.105578","ISSN":"2210-6707","journalAbbreviation":"Sustainable Cities and Society","page":"105578","source":"ScienceDirect","title":"Effects of perceived environmental quality and psychological status on outdoor thermal comfort: a panel study in Southern China","title-short":"Effects of perceived environmental quality and psychological status on outdoor thermal comfort","volume":"112","author":[{"family":"Lam","given":"Cho Kwong Charlie"},{"family":"Pan","given":"Haonan"},{"family":"Nie","given":"Weixiao"},{"family":"Li","given":"Xiaohui"},{"family":"Wu","given":"Jie"},{"family":"Yin","given":"Zhe"},{"family":"Han","given":"Jiejie"}],"issued":{"date-parts":[["2024",10,1]]}}},{"id":238,"uris":["http://zotero.org/users/15620616/items/TXXKTGSV"],"itemData":{"id":238,"type":"article-journal","abstract":"This study set out to understand the dynamics of human thermal sensation and perception associated with outdoor thermal variability in urban contexts. Previous studies found that compact urban forms and green features can contribute to urban climate diversity, and conjectured whether the wax and wane of thermal stress can promote thermal satisfaction in outdoor public spaces. Hence, a stop-and-go method has been developed to accurately capture thermal transitions along urban walks and to provide snapshots of the momentary body thermal sensation and subjective thermal perception. The measurement campaigns carried in late summer involved a total of 40 participants walking for 70 min through two waterfront districts in Rome, Italy. Our findings indicate that: (1) the oscillation of air temperature along the dense urban walk (R2=0.74) is nearly twice as frequent as that along the sparse suburban walk (R2=0.23), due to the microclimatic diversity shaped by the compact urban fabrics, pocket parks and tree-lined river banks; (2) the Universal Thermal Climate Index (UTCI) contrast can effectively predict thermal alliesthesia (R2=0.34) measured by the rate of change of mean skin temperature (d(Tmskin)/dt &lt; 0.012°C∙min−1); (3) subjective perception shows a significant trend but a poorer model fit (R2&lt;0.25) predicted by UTCI and Tmskin; (4) two confounders, view and social backgrounds, are proved to affect the regression model between the objective and subjective data. The conclusions emphasise the importance of incorporating spatial and social contexts into the investigation of outdoor thermal comfort via physiological and psychological approaches.","container-title":"Building and Environment","DOI":"10.1016/j.buildenv.2022.109267","ISSN":"0360-1323","journalAbbreviation":"Building and Environment","page":"109267","source":"ScienceDirect","title":"Urban climate walk: A stop-and-go assessment of the dynamic thermal sensation and perception in two waterfront districts in Rome, Italy","title-short":"Urban climate walk","volume":"221","author":[{"family":"Peng","given":"Zhikai"},{"family":"Bardhan","given":"Ronita"},{"family":"Ellard","given":"Colin"},{"family":"Steemers","given":"Koen"}],"issued":{"date-parts":[["2022",8,1]]}},"locator":"202"}],"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sz w:val="16"/>
                <w:lang w:val="en-US"/>
              </w:rPr>
              <w:t>Deng et al., 2023</w:t>
            </w:r>
          </w:p>
          <w:p w14:paraId="381B7084" w14:textId="40B825CE" w:rsidR="00F915CF" w:rsidRPr="00F40E85" w:rsidRDefault="006A1661">
            <w:pPr>
              <w:pStyle w:val="NoSpacing"/>
              <w:rPr>
                <w:rFonts w:ascii="Times New Roman" w:hAnsi="Times New Roman" w:cs="Times New Roman"/>
                <w:sz w:val="16"/>
                <w:lang w:val="en-US"/>
              </w:rPr>
            </w:pPr>
            <w:r w:rsidRPr="00F40E85">
              <w:rPr>
                <w:rFonts w:ascii="Times New Roman" w:hAnsi="Times New Roman" w:cs="Times New Roman"/>
                <w:sz w:val="16"/>
                <w:lang w:val="en-US"/>
              </w:rPr>
              <w:t xml:space="preserve">Lam et al., 2024 </w:t>
            </w:r>
          </w:p>
          <w:p w14:paraId="12FA73D2" w14:textId="738F3702" w:rsidR="00AD613B" w:rsidRPr="00F40E85" w:rsidRDefault="006A1661"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lang w:val="en-US"/>
              </w:rPr>
              <w:t>Peng et al., 2022</w:t>
            </w:r>
            <w:r>
              <w:rPr>
                <w:rFonts w:ascii="Times New Roman" w:hAnsi="Times New Roman" w:cs="Times New Roman"/>
                <w:sz w:val="16"/>
                <w:szCs w:val="16"/>
                <w:lang w:val="en-US" w:eastAsia="zh-TW"/>
              </w:rPr>
              <w:fldChar w:fldCharType="end"/>
            </w:r>
          </w:p>
        </w:tc>
      </w:tr>
      <w:tr w:rsidR="009205A3" w:rsidRPr="006A1661" w14:paraId="5AD92F29"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22C71F04"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Trolley-based Environmental Monitoring System (TEMS)</w:t>
            </w:r>
          </w:p>
        </w:tc>
        <w:tc>
          <w:tcPr>
            <w:tcW w:w="2326" w:type="dxa"/>
            <w:tcBorders>
              <w:top w:val="nil"/>
              <w:left w:val="nil"/>
              <w:bottom w:val="single" w:sz="8" w:space="0" w:color="CCCCCC"/>
              <w:right w:val="single" w:sz="8" w:space="0" w:color="CCCCCC"/>
            </w:tcBorders>
            <w:hideMark/>
          </w:tcPr>
          <w:p w14:paraId="4BFDA043" w14:textId="777793B2" w:rsidR="00AD613B" w:rsidRPr="00F40E85" w:rsidRDefault="003546A2"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T</w:t>
            </w:r>
            <w:r w:rsidRPr="00F40E85">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Pr="00F40E85">
              <w:rPr>
                <w:rFonts w:ascii="Times New Roman" w:hAnsi="Times New Roman" w:cs="Times New Roman"/>
                <w:sz w:val="16"/>
                <w:szCs w:val="16"/>
                <w:lang w:val="en-US" w:eastAsia="zh-TW"/>
              </w:rPr>
              <w:t>T</w:t>
            </w:r>
            <w:r w:rsidRPr="00F40E85">
              <w:rPr>
                <w:rFonts w:ascii="Times New Roman" w:hAnsi="Times New Roman" w:cs="Times New Roman"/>
                <w:sz w:val="16"/>
                <w:szCs w:val="16"/>
                <w:vertAlign w:val="subscript"/>
                <w:lang w:val="en-US" w:eastAsia="zh-TW"/>
              </w:rPr>
              <w:t>g</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9E3194" w:rsidRPr="00F40E85">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PM, </w:t>
            </w:r>
            <w:r w:rsidR="003B7F33" w:rsidRPr="00F40E85">
              <w:rPr>
                <w:rFonts w:ascii="Times New Roman" w:hAnsi="Times New Roman" w:cs="Times New Roman"/>
                <w:sz w:val="16"/>
                <w:szCs w:val="16"/>
                <w:lang w:val="en-US" w:eastAsia="zh-TW"/>
              </w:rPr>
              <w:t>T</w:t>
            </w:r>
            <w:r w:rsidR="003B7F33" w:rsidRPr="00F40E85">
              <w:rPr>
                <w:rFonts w:ascii="Times New Roman" w:hAnsi="Times New Roman" w:cs="Times New Roman"/>
                <w:sz w:val="16"/>
                <w:szCs w:val="16"/>
                <w:vertAlign w:val="subscript"/>
                <w:lang w:val="en-US" w:eastAsia="zh-TW"/>
              </w:rPr>
              <w:t>s</w:t>
            </w:r>
            <w:r w:rsidR="00AD613B" w:rsidRPr="00F40E85">
              <w:rPr>
                <w:rFonts w:ascii="Times New Roman" w:hAnsi="Times New Roman" w:cs="Times New Roman"/>
                <w:sz w:val="16"/>
                <w:szCs w:val="16"/>
                <w:lang w:val="en-US" w:eastAsia="zh-TW"/>
              </w:rPr>
              <w:t>, GPS, SVF</w:t>
            </w:r>
          </w:p>
        </w:tc>
        <w:tc>
          <w:tcPr>
            <w:tcW w:w="2112" w:type="dxa"/>
            <w:tcBorders>
              <w:top w:val="nil"/>
              <w:left w:val="nil"/>
              <w:bottom w:val="single" w:sz="8" w:space="0" w:color="CCCCCC"/>
              <w:right w:val="single" w:sz="8" w:space="0" w:color="CCCCCC"/>
            </w:tcBorders>
            <w:hideMark/>
          </w:tcPr>
          <w:p w14:paraId="5BFA12F0"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Type K thermocouple, HOBO MX1101, Graywolf PC-3500, Kimo CTV110, Flir T335</w:t>
            </w:r>
          </w:p>
        </w:tc>
        <w:tc>
          <w:tcPr>
            <w:tcW w:w="1822" w:type="dxa"/>
            <w:tcBorders>
              <w:top w:val="nil"/>
              <w:left w:val="nil"/>
              <w:bottom w:val="single" w:sz="8" w:space="0" w:color="CCCCCC"/>
              <w:right w:val="single" w:sz="8" w:space="0" w:color="CCCCCC"/>
            </w:tcBorders>
            <w:hideMark/>
          </w:tcPr>
          <w:p w14:paraId="23B570E8" w14:textId="0C2836D7" w:rsidR="00AD613B" w:rsidRPr="00F40E85" w:rsidRDefault="00455695"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0.21 °C; </w:t>
            </w:r>
            <w:r w:rsidR="003B7F33" w:rsidRPr="00F40E85">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2%; </w:t>
            </w:r>
            <w:r w:rsidR="003B7F33" w:rsidRPr="00F40E85">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3%; </w:t>
            </w:r>
            <w:r w:rsidR="00C12D47">
              <w:rPr>
                <w:rFonts w:ascii="Times New Roman" w:hAnsi="Times New Roman" w:cs="Times New Roman"/>
                <w:sz w:val="16"/>
                <w:szCs w:val="16"/>
                <w:lang w:val="en-US" w:eastAsia="zh-TW"/>
              </w:rPr>
              <w:t>T</w:t>
            </w:r>
            <w:r w:rsidR="00C12D47">
              <w:rPr>
                <w:rFonts w:ascii="Times New Roman" w:hAnsi="Times New Roman" w:cs="Times New Roman"/>
                <w:sz w:val="16"/>
                <w:szCs w:val="16"/>
                <w:vertAlign w:val="subscript"/>
                <w:lang w:val="en-US" w:eastAsia="zh-TW"/>
              </w:rPr>
              <w:t>s</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2 °C</w:t>
            </w:r>
          </w:p>
        </w:tc>
        <w:tc>
          <w:tcPr>
            <w:tcW w:w="2006" w:type="dxa"/>
            <w:tcBorders>
              <w:top w:val="nil"/>
              <w:left w:val="nil"/>
              <w:bottom w:val="single" w:sz="8" w:space="0" w:color="CCCCCC"/>
              <w:right w:val="single" w:sz="8" w:space="0" w:color="CCCCCC"/>
            </w:tcBorders>
            <w:hideMark/>
          </w:tcPr>
          <w:p w14:paraId="02B94775"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1 s (Datalogger); 1 min (PM)</w:t>
            </w:r>
          </w:p>
        </w:tc>
        <w:tc>
          <w:tcPr>
            <w:tcW w:w="1784" w:type="dxa"/>
            <w:tcBorders>
              <w:top w:val="nil"/>
              <w:left w:val="nil"/>
              <w:bottom w:val="single" w:sz="8" w:space="0" w:color="CCCCCC"/>
              <w:right w:val="single" w:sz="8" w:space="0" w:color="CCCCCC"/>
            </w:tcBorders>
            <w:hideMark/>
          </w:tcPr>
          <w:p w14:paraId="18F6F872"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Trolley (sack truck)</w:t>
            </w:r>
          </w:p>
        </w:tc>
        <w:tc>
          <w:tcPr>
            <w:tcW w:w="2050" w:type="dxa"/>
            <w:tcBorders>
              <w:top w:val="nil"/>
              <w:left w:val="nil"/>
              <w:bottom w:val="single" w:sz="8" w:space="0" w:color="CCCCCC"/>
              <w:right w:val="single" w:sz="8" w:space="0" w:color="CCCCCC"/>
            </w:tcBorders>
            <w:hideMark/>
          </w:tcPr>
          <w:p w14:paraId="55A5F5F2" w14:textId="69099F3E" w:rsidR="00AD613B" w:rsidRPr="00F40E85" w:rsidRDefault="00F915CF"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{"citationID":"VDp07o2H","properties":{"formattedCitation":"(Lam et al., 2025)","plainCitation":"(Lam et al., 2025)","noteIndex":0},"citationItems":[{"id":228,"uris":["http://zotero.org/users/15620616/items/5856NASP"],"itemData":{"id":228,"type":"article-journal","abstract":"Heat island effects and air pollution influence urban climates and air quality, impacting pedestrians’ health, comfort, and well-being. This study develops and pilots the Trolley-based Environmental Monitoring System (TEMS), which was validated in a medium-sized city in the UK. Three monitoring campaigns took place during May and June 2024. The mobile transects covered the city’s built and natural environments, including high-density university buildings, museum precinct, medium-density dwellings, highways, and two parks. Appropriate apparatus was specified to monitor environmental variables integrated into a trolley that was easily operated by a single pedestrian. Fisheye photographs were taken to calculate the sky view factor, and the trolley position was recorded by a GPS device. Observed environmental conditions were compared, and additional mapping data were introduced to develop a geospatial model. Vegetated areas (NDVI&gt;0.285) reduced mean air temperatures by 4.8 °C and Physiological Equivalent Temperature by 11.8 °C compared with tree-sparse areas. However, the PM0.3 and PM10 levels in the park were 1,275,675 particles/m3 and 813 particles/m3 higher than in medium-density dwellings with limited trees. Therefore, careful tree plantation strategies are required to avoid unintended air quality trade-offs. Some data quality issues persisted in the transect. GPS data required cleaning to ensure the route was accurately reflected, while air quality monitoring was limited by the particle meter’s sample duration, reducing both its spatial and temporal granularity. The methodology can be replicated in the future with the potential to dynamically monitor thermal comfort and air quality along intra-urban transects with different urban morphologies.","container-title":"Building and Environment","DOI":"10.1016/j.buildenv.2025.113487","ISSN":"0360-1323","journalAbbreviation":"Building and Environment","page":"113487","source":"ScienceDirect","title":"Making intra-urban monitoring ‘a walk in the park’: A mobile monitoring approach for assessing pedestrians’ environmental conditions","title-short":"Making intra-urban monitoring ‘a walk in the park’","volume":"284","author":[{"family":"Lam","given":"Cho Kwong Charlie"},{"family":"Alnaqshabandy","given":"Halat"},{"family":"Lewin","given":"Shaun"},{"family":"Morewood","given":"Jack"},{"family":"Xie","given":"Xiaoxiong"},{"family":"Goodhew","given":"Steve"}],"issued":{"date-parts":[["2025",10,1]]}}}],"schema":"https://github.com/citation-style-language/schema/raw/master/csl-citation.json"} </w:instrText>
            </w:r>
            <w:r>
              <w:rPr>
                <w:rFonts w:ascii="Times New Roman" w:hAnsi="Times New Roman" w:cs="Times New Roman"/>
                <w:sz w:val="16"/>
                <w:szCs w:val="16"/>
                <w:lang w:val="en-US" w:eastAsia="zh-TW"/>
              </w:rPr>
              <w:fldChar w:fldCharType="separate"/>
            </w:r>
            <w:r w:rsidRPr="00F915CF">
              <w:rPr>
                <w:rFonts w:ascii="Times New Roman" w:hAnsi="Times New Roman" w:cs="Times New Roman"/>
                <w:sz w:val="16"/>
              </w:rPr>
              <w:t>Lam et al., 2025</w:t>
            </w:r>
            <w:r>
              <w:rPr>
                <w:rFonts w:ascii="Times New Roman" w:hAnsi="Times New Roman" w:cs="Times New Roman"/>
                <w:sz w:val="16"/>
                <w:szCs w:val="16"/>
                <w:lang w:val="en-US" w:eastAsia="zh-TW"/>
              </w:rPr>
              <w:fldChar w:fldCharType="end"/>
            </w:r>
          </w:p>
        </w:tc>
      </w:tr>
      <w:tr w:rsidR="009205A3" w:rsidRPr="00F40E85" w14:paraId="21EC07FB"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58F32776" w14:textId="0DD24AA4"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 xml:space="preserve">MWS 1 &amp; 2 </w:t>
            </w:r>
          </w:p>
        </w:tc>
        <w:tc>
          <w:tcPr>
            <w:tcW w:w="2326" w:type="dxa"/>
            <w:tcBorders>
              <w:top w:val="nil"/>
              <w:left w:val="nil"/>
              <w:bottom w:val="single" w:sz="8" w:space="0" w:color="CCCCCC"/>
              <w:right w:val="single" w:sz="8" w:space="0" w:color="CCCCCC"/>
            </w:tcBorders>
            <w:hideMark/>
          </w:tcPr>
          <w:p w14:paraId="033DC578" w14:textId="21B0E0E1" w:rsidR="00AD613B" w:rsidRPr="00F40E85" w:rsidRDefault="003546A2"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Pr>
                <w:rFonts w:ascii="Times New Roman" w:hAnsi="Times New Roman" w:cs="Times New Roman"/>
                <w:sz w:val="16"/>
                <w:szCs w:val="16"/>
                <w:lang w:val="en-US" w:eastAsia="zh-TW"/>
              </w:rPr>
              <w:t>T</w:t>
            </w:r>
            <w:r>
              <w:rPr>
                <w:rFonts w:ascii="Times New Roman" w:hAnsi="Times New Roman" w:cs="Times New Roman"/>
                <w:sz w:val="16"/>
                <w:szCs w:val="16"/>
                <w:vertAlign w:val="subscript"/>
                <w:lang w:val="en-US" w:eastAsia="zh-TW"/>
              </w:rPr>
              <w:t>g</w:t>
            </w:r>
            <w:r w:rsidR="00AD613B" w:rsidRPr="00F40E85">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RH, </w:t>
            </w:r>
            <w:r w:rsidR="009E3194">
              <w:rPr>
                <w:rFonts w:ascii="Times New Roman" w:hAnsi="Times New Roman" w:cs="Times New Roman"/>
                <w:sz w:val="16"/>
                <w:szCs w:val="16"/>
                <w:lang w:val="en-US" w:eastAsia="zh-TW"/>
              </w:rPr>
              <w:t>R</w:t>
            </w:r>
            <w:r w:rsidR="00AD613B" w:rsidRPr="00F40E85">
              <w:rPr>
                <w:rFonts w:ascii="Times New Roman" w:hAnsi="Times New Roman" w:cs="Times New Roman"/>
                <w:sz w:val="16"/>
                <w:szCs w:val="16"/>
                <w:lang w:val="en-US" w:eastAsia="zh-TW"/>
              </w:rPr>
              <w:t xml:space="preserve">adiation (SW/LW), GPS, </w:t>
            </w:r>
            <w:r w:rsidR="009E3194" w:rsidRPr="00E46D72">
              <w:rPr>
                <w:rFonts w:ascii="Times New Roman" w:hAnsi="Times New Roman" w:cs="Times New Roman"/>
                <w:sz w:val="16"/>
                <w:szCs w:val="16"/>
                <w:lang w:val="en-US" w:eastAsia="zh-TW"/>
              </w:rPr>
              <w:t xml:space="preserve">Atmospheric pressure </w:t>
            </w:r>
            <w:r w:rsidR="009E3194">
              <w:rPr>
                <w:rFonts w:ascii="Times New Roman" w:hAnsi="Times New Roman" w:cs="Times New Roman"/>
                <w:sz w:val="16"/>
                <w:szCs w:val="16"/>
                <w:lang w:val="en-US" w:eastAsia="zh-TW"/>
              </w:rPr>
              <w:t>(P)</w:t>
            </w:r>
            <w:r w:rsidR="00AD613B" w:rsidRPr="00F40E85">
              <w:rPr>
                <w:rFonts w:ascii="Times New Roman" w:hAnsi="Times New Roman" w:cs="Times New Roman"/>
                <w:sz w:val="16"/>
                <w:szCs w:val="16"/>
                <w:lang w:val="en-US" w:eastAsia="zh-TW"/>
              </w:rPr>
              <w:t>, PM, sound, UTCI</w:t>
            </w:r>
          </w:p>
        </w:tc>
        <w:tc>
          <w:tcPr>
            <w:tcW w:w="2112" w:type="dxa"/>
            <w:tcBorders>
              <w:top w:val="nil"/>
              <w:left w:val="nil"/>
              <w:bottom w:val="single" w:sz="8" w:space="0" w:color="CCCCCC"/>
              <w:right w:val="single" w:sz="8" w:space="0" w:color="CCCCCC"/>
            </w:tcBorders>
            <w:hideMark/>
          </w:tcPr>
          <w:p w14:paraId="73CD39C6"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Tinkerforge and Meter sensors; Gills Maximet GMX500, Apogee SN500, Campbell globe</w:t>
            </w:r>
          </w:p>
        </w:tc>
        <w:tc>
          <w:tcPr>
            <w:tcW w:w="1822" w:type="dxa"/>
            <w:tcBorders>
              <w:top w:val="nil"/>
              <w:left w:val="nil"/>
              <w:bottom w:val="single" w:sz="8" w:space="0" w:color="CCCCCC"/>
              <w:right w:val="single" w:sz="8" w:space="0" w:color="CCCCCC"/>
            </w:tcBorders>
            <w:hideMark/>
          </w:tcPr>
          <w:p w14:paraId="232E4F14" w14:textId="58F0FC8D" w:rsidR="00AD613B" w:rsidRPr="00F40E85" w:rsidRDefault="00455695"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0.1 to 0.3 °C; </w:t>
            </w:r>
            <w:r w:rsidR="003B7F33">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2%; </w:t>
            </w:r>
            <w:r w:rsidR="003B7F33">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0.3 to 1.1 m/s; </w:t>
            </w:r>
            <w:r w:rsidR="003A2329">
              <w:rPr>
                <w:rFonts w:ascii="Times New Roman" w:hAnsi="Times New Roman" w:cs="Times New Roman"/>
                <w:sz w:val="16"/>
                <w:szCs w:val="16"/>
                <w:lang w:val="en-US" w:eastAsia="zh-TW"/>
              </w:rPr>
              <w:t>T</w:t>
            </w:r>
            <w:r w:rsidR="003A2329">
              <w:rPr>
                <w:rFonts w:ascii="Times New Roman" w:hAnsi="Times New Roman" w:cs="Times New Roman"/>
                <w:sz w:val="16"/>
                <w:szCs w:val="16"/>
                <w:vertAlign w:val="subscript"/>
                <w:lang w:val="en-US" w:eastAsia="zh-TW"/>
              </w:rPr>
              <w:t>g</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0.3 to 0.7 °C</w:t>
            </w:r>
          </w:p>
        </w:tc>
        <w:tc>
          <w:tcPr>
            <w:tcW w:w="2006" w:type="dxa"/>
            <w:tcBorders>
              <w:top w:val="nil"/>
              <w:left w:val="nil"/>
              <w:bottom w:val="single" w:sz="8" w:space="0" w:color="CCCCCC"/>
              <w:right w:val="single" w:sz="8" w:space="0" w:color="CCCCCC"/>
            </w:tcBorders>
            <w:hideMark/>
          </w:tcPr>
          <w:p w14:paraId="429C7D45"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5 s</w:t>
            </w:r>
          </w:p>
        </w:tc>
        <w:tc>
          <w:tcPr>
            <w:tcW w:w="1784" w:type="dxa"/>
            <w:tcBorders>
              <w:top w:val="nil"/>
              <w:left w:val="nil"/>
              <w:bottom w:val="single" w:sz="8" w:space="0" w:color="CCCCCC"/>
              <w:right w:val="single" w:sz="8" w:space="0" w:color="CCCCCC"/>
            </w:tcBorders>
            <w:hideMark/>
          </w:tcPr>
          <w:p w14:paraId="087E9317"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Backpack or All-terrain cart</w:t>
            </w:r>
          </w:p>
        </w:tc>
        <w:tc>
          <w:tcPr>
            <w:tcW w:w="2050" w:type="dxa"/>
            <w:tcBorders>
              <w:top w:val="nil"/>
              <w:left w:val="nil"/>
              <w:bottom w:val="single" w:sz="8" w:space="0" w:color="CCCCCC"/>
              <w:right w:val="single" w:sz="8" w:space="0" w:color="CCCCCC"/>
            </w:tcBorders>
            <w:hideMark/>
          </w:tcPr>
          <w:p w14:paraId="7ADD96B8" w14:textId="71EFAF9D" w:rsidR="00AD613B" w:rsidRPr="00F40E85" w:rsidRDefault="009463F0"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{"citationID":"hkKLOToU","properties":{"formattedCitation":"(Silva et al., 2025)","plainCitation":"(Silva et al., 2025)","noteIndex":0},"citationItems":[{"id":226,"uris":["http://zotero.org/users/15620616/items/JZQW84QT"],"itemData":{"id":226,"type":"article-journal","abstract":"Microclimate conditions affect the outdoor urban way of life for humans. These conditions directly impact people’s health and well-being, such as access to medical care or a healthy lifestyle. Human thermal comfort is paramount for people’s health, both physical and mental. In this paper, the study compares two microclimate mobile weather stations (MWS) based on a set of users’-based assessment criteria (usability, user-friendliness, sensors) and thermal comfort (UTCI) results accuracy. The comparison was carried out through continuous mobile transect measurements lasting an hour and a half, conducted on two summer days in Lisbon across distinct urban morphological settings. This research was developed to assist future researchers in urban climatology with the design of microscale studies, particularly in relation to equipment selection, performance assessment, and methodological procedures. In terms of performance, we found the RMSE to be 1.3 °C for air temperature, 1.6 % for relative humidity, 1.3 m/s for wind speed, and 8.4 W/m2 for solar radiation for MWS 1, and 1.5 °C for air temperature, 2.9 % for relative humidity, 1.5 m/s for wind speed, and 11.6 W/m2 for radiation for MWS 2. Both MWS units exhibited a consistent performance, however, MWS 1 demonstrated greater overall accuracy, particularly in the measurement of air temperature, relative humidity, and wind speed. Differences were also observed between the sensors of MWS 1 and MWS 2, as well as in the MWS usability, factors which may be significant depending on the users’ objectives and available resources. Despite this, both MWS units were deemed suitable for deployment in urban environments, with MWS 2 offering a more intuitive user experience. The findings of this study are particularly relevant for those beginning mobile meteorological measurements, as well as for researchers aiming to address urban heat stress and enhance public well-being and thermal comfort through their work. However, the study is limited by its short duration and geographic scope, and further research is needed to expand its applicability to diverse urban settings.","container-title":"City and Environment Interactions","DOI":"10.1016/j.cacint.2025.100212","ISSN":"2590-2520","journalAbbreviation":"City and Environment Interactions","page":"100212","source":"ScienceDirect","title":"Climate walking: A comparison study of mobile weather stations and their relevance for urban planning, design, human health and well-being","title-short":"Climate walking","volume":"27","author":[{"family":"Silva","given":"T."},{"family":"Ramusga","given":"R."},{"family":"Matias","given":"M."},{"family":"Amaro","given":"J."},{"family":"Bonifácio","given":"A."},{"family":"Reis","given":"C."},{"family":"Chokhachian","given":"A."},{"family":"Lopes","given":"G."},{"family":"Almeida","given":"A."},{"family":"Frazão","given":"J."},{"family":"Vasconcelos","given":"J."},{"family":"Lopes","given":"A."},{"family":"Morgado","given":"P."}],"issued":{"date-parts":[["2025",8,1]]}}}],"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sz w:val="16"/>
                <w:lang w:val="en-US"/>
              </w:rPr>
              <w:t>Silva et al., 2025</w:t>
            </w:r>
            <w:r>
              <w:rPr>
                <w:rFonts w:ascii="Times New Roman" w:hAnsi="Times New Roman" w:cs="Times New Roman"/>
                <w:sz w:val="16"/>
                <w:szCs w:val="16"/>
                <w:lang w:val="en-US" w:eastAsia="zh-TW"/>
              </w:rPr>
              <w:fldChar w:fldCharType="end"/>
            </w:r>
          </w:p>
        </w:tc>
      </w:tr>
      <w:tr w:rsidR="009205A3" w:rsidRPr="00F40E85" w14:paraId="645C28DA"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76FAFAD4"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Pedestrian-carried / Mobile station</w:t>
            </w:r>
          </w:p>
        </w:tc>
        <w:tc>
          <w:tcPr>
            <w:tcW w:w="2326" w:type="dxa"/>
            <w:tcBorders>
              <w:top w:val="nil"/>
              <w:left w:val="nil"/>
              <w:bottom w:val="single" w:sz="8" w:space="0" w:color="CCCCCC"/>
              <w:right w:val="single" w:sz="8" w:space="0" w:color="CCCCCC"/>
            </w:tcBorders>
            <w:hideMark/>
          </w:tcPr>
          <w:p w14:paraId="15757E45" w14:textId="53BD6D4F" w:rsidR="00AD613B" w:rsidRPr="00F40E85" w:rsidRDefault="003546A2"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R</w:t>
            </w:r>
            <w:r w:rsidR="009E3194" w:rsidRPr="00E46D72">
              <w:rPr>
                <w:rFonts w:ascii="Times New Roman" w:hAnsi="Times New Roman" w:cs="Times New Roman"/>
                <w:sz w:val="16"/>
                <w:szCs w:val="16"/>
                <w:lang w:val="en-US" w:eastAsia="zh-TW"/>
              </w:rPr>
              <w:t>adiation (SW/LW)</w:t>
            </w:r>
          </w:p>
        </w:tc>
        <w:tc>
          <w:tcPr>
            <w:tcW w:w="2112" w:type="dxa"/>
            <w:tcBorders>
              <w:top w:val="nil"/>
              <w:left w:val="nil"/>
              <w:bottom w:val="single" w:sz="8" w:space="0" w:color="CCCCCC"/>
              <w:right w:val="single" w:sz="8" w:space="0" w:color="CCCCCC"/>
            </w:tcBorders>
            <w:hideMark/>
          </w:tcPr>
          <w:p w14:paraId="5779DC3B"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Vaisala HMP155A, Gill 2D WindSonic, Hukseflux NR01 (x3)</w:t>
            </w:r>
          </w:p>
        </w:tc>
        <w:tc>
          <w:tcPr>
            <w:tcW w:w="1822" w:type="dxa"/>
            <w:tcBorders>
              <w:top w:val="nil"/>
              <w:left w:val="nil"/>
              <w:bottom w:val="single" w:sz="8" w:space="0" w:color="CCCCCC"/>
              <w:right w:val="single" w:sz="8" w:space="0" w:color="CCCCCC"/>
            </w:tcBorders>
            <w:hideMark/>
          </w:tcPr>
          <w:p w14:paraId="7902A1FD" w14:textId="0E6ADC36" w:rsidR="00AD613B" w:rsidRPr="00F40E85" w:rsidRDefault="00455695"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0.2 °C; </w:t>
            </w:r>
            <w:r w:rsidR="003B7F33" w:rsidRPr="00F40E85">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2%; Radiation: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10%</w:t>
            </w:r>
          </w:p>
        </w:tc>
        <w:tc>
          <w:tcPr>
            <w:tcW w:w="2006" w:type="dxa"/>
            <w:tcBorders>
              <w:top w:val="nil"/>
              <w:left w:val="nil"/>
              <w:bottom w:val="single" w:sz="8" w:space="0" w:color="CCCCCC"/>
              <w:right w:val="single" w:sz="8" w:space="0" w:color="CCCCCC"/>
            </w:tcBorders>
            <w:hideMark/>
          </w:tcPr>
          <w:p w14:paraId="750D6FF3"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0.5 Hz sampling; 18–20 s response</w:t>
            </w:r>
          </w:p>
        </w:tc>
        <w:tc>
          <w:tcPr>
            <w:tcW w:w="1784" w:type="dxa"/>
            <w:tcBorders>
              <w:top w:val="nil"/>
              <w:left w:val="nil"/>
              <w:bottom w:val="single" w:sz="8" w:space="0" w:color="CCCCCC"/>
              <w:right w:val="single" w:sz="8" w:space="0" w:color="CCCCCC"/>
            </w:tcBorders>
            <w:hideMark/>
          </w:tcPr>
          <w:p w14:paraId="1F8CC606"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Modified bicycle trailer or climate cart</w:t>
            </w:r>
          </w:p>
        </w:tc>
        <w:tc>
          <w:tcPr>
            <w:tcW w:w="2050" w:type="dxa"/>
            <w:tcBorders>
              <w:top w:val="nil"/>
              <w:left w:val="nil"/>
              <w:bottom w:val="single" w:sz="8" w:space="0" w:color="CCCCCC"/>
              <w:right w:val="single" w:sz="8" w:space="0" w:color="CCCCCC"/>
            </w:tcBorders>
            <w:hideMark/>
          </w:tcPr>
          <w:p w14:paraId="1A79EF94" w14:textId="13311B84" w:rsidR="009463F0" w:rsidRDefault="009463F0">
            <w:pPr>
              <w:pStyle w:val="NoSpacing"/>
              <w:rPr>
                <w:rFonts w:ascii="Times New Roman" w:hAnsi="Times New Roman" w:cs="Times New Roman"/>
                <w:sz w:val="16"/>
                <w:lang w:val="en-US"/>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{"citationID":"Cn9nx7Pq","properties":{"formattedCitation":"(Requena-Ruiz et al., 2025; Siret et al., 2025)","plainCitation":"(Requena-Ruiz et al., 2025; Siret et al., 2025)","noteIndex":0},"citationItems":[{"id":242,"uris":["http://zotero.org/users/15620616/items/WA8X35NN"],"itemData":{"id":242,"type":"article-journal","abstract":"Urban environments amplify the effects of global warming, increasing thermal stress and endangering public health and social life. Among heat adaptation strategies, “urban coolspots” have emerged as an urban design practice that integrates adaptive comfort behaviours with spatial features. This study evaluates the impact of coolspots on pedestrians’ thermal environments using high-resolution in-situ microclimate mobile-measurements from four sites in Nantes and Paris, France. A pedestrian-carried human-biometeorological station was employed across the study areas to record at 0.5 Hz the variables of air temperature, relative humidity, wind speed, and shortwave and longwave radiation. The findings highlight the influence of coolspots’ spatial features, such as shading and flooring materials, on measured variables and relative thermal metrics. Results show that coolspots provide localized cooling effects within warmer environments, enhancing thermal diversity. Measurements spatial variability is particularly high (&gt; 50%) in short distances in wind speed and radiative variables (shortwave and longwave radiation) but remains very low in air temperature and humidity. Radiative variables emerge as the primary drivers of thermal environments, with mean radiant temperature reductions of up to –20.0 °C in some coolspots areas. Ultimately, this study provides a spatiotemporal perspective on the role of coolspots in the public space, highlighting their contribution to thermal diversity and challenging the “one-size-fits-all” approach in urban design guidelines. Furthermore, it underscores the significance of designing thermal sequences to foster a more human-centric and adaptive approach to urban design.","container-title":"International Journal of Biometeorology","DOI":"10.1007/s00484-025-02926-3","ISSN":"1432-1254","issue":"8","journalAbbreviation":"Int J Biometeorol","language":"en","license":"2025 The Author(s) under exclusive licence to International Society of Biometeorology","note":"Company: Springer\nDistributor: Springer\nInstitution: Springer\nLabel: Springer\npublisher: Springer Berlin Heidelberg","page":"1867-1883","source":"link-springer-com.proxy.lib.ltu.se","title":"Unveiling thermal diversity in urban coolspots through microclimate mobile-measurements","volume":"69","author":[{"family":"Requena-Ruiz","given":"Ignacio"},{"family":"Stavropulos-Laffaille","given":"Xenia"},{"family":"Leduc","given":"Thomas"},{"family":"Siret","given":"Daniel"}],"issued":{"date-parts":[["2025",8,1]]}}},{"id":243,"uris":["http://zotero.org/users/15620616/items/J8PRL8CA"],"itemData":{"id":243,"type":"article-journal","abstract":"This article analyzes the thermal variations of a small urban area recently transformed in the city center of Nantes, France, which has been designed to promote walkability and make it comfortable in summer. A measurement method based on mobile climate metrology, which offers high spatial resolution, was developed. Four measurements were conducted per day over five days between June and September 2023. The data was analyzed using the concept of the Day PET Signature (DPS), which reflects the dynamics of a point in space over the course of the day through variations in the Physiological Equivalent Temperature (PET) index. Four clusters of DPS were identified in the dataset, enabling the accurate assessment of the thermal diversity existing in the study area at different times of the day in summer. The results demonstrate that the observed differences between clusters are solely attributable to the radiative conditions at the distinct positions analyzed. The concept of a Radiative Portrait is introduced in order to characterize the thermal diversity of the study area. In contrast to the TMRT synthetic index, the Radiative Portrait provides a detailed breakdown of the fluxes, revealing the intensity of short- and long-wave radiation in top, bottom and lateral orientations. The combination of the Radiative Portrait and the PET class qualification provides a comprehensive understanding of the local climatescapes in summer.","container-title":"Building and Environment","DOI":"10.1016/j.buildenv.2024.112176","ISSN":"0360-1323","journalAbbreviation":"Building and Environment","page":"112176","source":"ScienceDirect","title":"Microscale thermal variations in a walkable urban area during hot days: Analysis through mobile measurements and Day PET Signatures","title-short":"Microscale thermal variations in a walkable urban area during hot days","volume":"267","author":[{"family":"Siret","given":"Daniel"},{"family":"Requena-Ruiz","given":"Ignacio"},{"family":"Leduc","given":"Thomas"}],"issued":{"date-parts":[["2025",1,1]]}}}],"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sz w:val="16"/>
                <w:lang w:val="en-US"/>
              </w:rPr>
              <w:t>Requena-Ruiz et al., 2025</w:t>
            </w:r>
          </w:p>
          <w:p w14:paraId="76959AAF" w14:textId="3EF137E9" w:rsidR="00AD613B" w:rsidRPr="00F40E85" w:rsidRDefault="009463F0"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lang w:val="en-US"/>
              </w:rPr>
              <w:t>Siret et al., 2025</w:t>
            </w:r>
            <w:r>
              <w:rPr>
                <w:rFonts w:ascii="Times New Roman" w:hAnsi="Times New Roman" w:cs="Times New Roman"/>
                <w:sz w:val="16"/>
                <w:szCs w:val="16"/>
                <w:lang w:val="en-US" w:eastAsia="zh-TW"/>
              </w:rPr>
              <w:fldChar w:fldCharType="end"/>
            </w:r>
          </w:p>
        </w:tc>
      </w:tr>
      <w:tr w:rsidR="009205A3" w:rsidRPr="006A1661" w14:paraId="729B09D4"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3E982802"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PLEMS (ESP32-based)</w:t>
            </w:r>
          </w:p>
        </w:tc>
        <w:tc>
          <w:tcPr>
            <w:tcW w:w="2326" w:type="dxa"/>
            <w:tcBorders>
              <w:top w:val="nil"/>
              <w:left w:val="nil"/>
              <w:bottom w:val="single" w:sz="8" w:space="0" w:color="CCCCCC"/>
              <w:right w:val="single" w:sz="8" w:space="0" w:color="CCCCCC"/>
            </w:tcBorders>
            <w:hideMark/>
          </w:tcPr>
          <w:p w14:paraId="6E43B562" w14:textId="11EA28F8" w:rsidR="00AD613B" w:rsidRPr="00F40E85" w:rsidRDefault="003546A2"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Pr>
                <w:rFonts w:ascii="Times New Roman" w:hAnsi="Times New Roman" w:cs="Times New Roman"/>
                <w:sz w:val="16"/>
                <w:szCs w:val="16"/>
                <w:lang w:val="en-US" w:eastAsia="zh-TW"/>
              </w:rPr>
              <w:t>T</w:t>
            </w:r>
            <w:r>
              <w:rPr>
                <w:rFonts w:ascii="Times New Roman" w:hAnsi="Times New Roman" w:cs="Times New Roman"/>
                <w:sz w:val="16"/>
                <w:szCs w:val="16"/>
                <w:vertAlign w:val="subscript"/>
                <w:lang w:val="en-US" w:eastAsia="zh-TW"/>
              </w:rPr>
              <w:t>g</w:t>
            </w:r>
            <w:r w:rsidR="00AD613B" w:rsidRPr="00F40E85">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CO</w:t>
            </w:r>
            <w:r w:rsidR="00455695" w:rsidRPr="00F40E85">
              <w:rPr>
                <w:rFonts w:ascii="Times New Roman" w:hAnsi="Times New Roman" w:cs="Times New Roman"/>
                <w:sz w:val="16"/>
                <w:szCs w:val="16"/>
                <w:vertAlign w:val="subscript"/>
                <w:lang w:val="en-US" w:eastAsia="zh-TW"/>
              </w:rPr>
              <w:t>2</w:t>
            </w:r>
            <w:r w:rsidR="00AD613B" w:rsidRPr="00F40E85">
              <w:rPr>
                <w:rFonts w:ascii="Times New Roman" w:hAnsi="Times New Roman" w:cs="Times New Roman"/>
                <w:sz w:val="16"/>
                <w:szCs w:val="16"/>
                <w:lang w:val="en-US" w:eastAsia="zh-TW"/>
              </w:rPr>
              <w:t>, Illuminance, Sound pressure, GPS</w:t>
            </w:r>
          </w:p>
        </w:tc>
        <w:tc>
          <w:tcPr>
            <w:tcW w:w="2112" w:type="dxa"/>
            <w:tcBorders>
              <w:top w:val="nil"/>
              <w:left w:val="nil"/>
              <w:bottom w:val="single" w:sz="8" w:space="0" w:color="CCCCCC"/>
              <w:right w:val="single" w:sz="8" w:space="0" w:color="CCCCCC"/>
            </w:tcBorders>
            <w:hideMark/>
          </w:tcPr>
          <w:p w14:paraId="36925694"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Multi-sensor (AHT10, DS18B20, ANBR-1, MQ-135, BH1750-FVI, KY-038)</w:t>
            </w:r>
          </w:p>
        </w:tc>
        <w:tc>
          <w:tcPr>
            <w:tcW w:w="1822" w:type="dxa"/>
            <w:tcBorders>
              <w:top w:val="nil"/>
              <w:left w:val="nil"/>
              <w:bottom w:val="single" w:sz="8" w:space="0" w:color="CCCCCC"/>
              <w:right w:val="single" w:sz="8" w:space="0" w:color="CCCCCC"/>
            </w:tcBorders>
            <w:hideMark/>
          </w:tcPr>
          <w:p w14:paraId="27104DD9" w14:textId="043BAC76" w:rsidR="00AD613B" w:rsidRPr="00F40E85" w:rsidRDefault="00455695"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sidRP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0.3 °C; </w:t>
            </w:r>
            <w:r w:rsidR="003B7F33" w:rsidRPr="003B7F33">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3B7F33" w:rsidRP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2%; </w:t>
            </w:r>
            <w:r w:rsidR="003A2329">
              <w:rPr>
                <w:rFonts w:ascii="Times New Roman" w:hAnsi="Times New Roman" w:cs="Times New Roman"/>
                <w:sz w:val="16"/>
                <w:szCs w:val="16"/>
                <w:lang w:val="en-US" w:eastAsia="zh-TW"/>
              </w:rPr>
              <w:t>T</w:t>
            </w:r>
            <w:r w:rsidR="003A2329">
              <w:rPr>
                <w:rFonts w:ascii="Times New Roman" w:hAnsi="Times New Roman" w:cs="Times New Roman"/>
                <w:sz w:val="16"/>
                <w:szCs w:val="16"/>
                <w:vertAlign w:val="subscript"/>
                <w:lang w:val="en-US" w:eastAsia="zh-TW"/>
              </w:rPr>
              <w:t>g</w:t>
            </w:r>
            <w:r w:rsidR="00AD613B" w:rsidRPr="00F40E85">
              <w:rPr>
                <w:rFonts w:ascii="Times New Roman" w:hAnsi="Times New Roman" w:cs="Times New Roman"/>
                <w:sz w:val="16"/>
                <w:szCs w:val="16"/>
                <w:lang w:val="en-US" w:eastAsia="zh-TW"/>
              </w:rPr>
              <w:t xml:space="preserve">: </w:t>
            </w:r>
            <w:r w:rsidR="003B7F33" w:rsidRP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0.5 °C; </w:t>
            </w:r>
            <w:r w:rsidR="003B7F33" w:rsidRPr="00F40E85">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&lt; </w:t>
            </w:r>
            <w:r w:rsidR="003B7F33" w:rsidRP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5%; </w:t>
            </w:r>
            <w:r w:rsidRPr="00815B93">
              <w:rPr>
                <w:rFonts w:ascii="Times New Roman" w:hAnsi="Times New Roman" w:cs="Times New Roman"/>
                <w:sz w:val="16"/>
                <w:szCs w:val="16"/>
                <w:lang w:val="en-US" w:eastAsia="zh-TW"/>
              </w:rPr>
              <w:t>CO</w:t>
            </w:r>
            <w:r w:rsidRPr="00815B93">
              <w:rPr>
                <w:rFonts w:ascii="Times New Roman" w:hAnsi="Times New Roman" w:cs="Times New Roman"/>
                <w:sz w:val="16"/>
                <w:szCs w:val="16"/>
                <w:vertAlign w:val="subscript"/>
                <w:lang w:val="en-US" w:eastAsia="zh-TW"/>
              </w:rPr>
              <w:t>2</w:t>
            </w:r>
            <w:r w:rsidR="00AD613B" w:rsidRPr="00F40E85">
              <w:rPr>
                <w:rFonts w:ascii="Times New Roman" w:hAnsi="Times New Roman" w:cs="Times New Roman"/>
                <w:sz w:val="16"/>
                <w:szCs w:val="16"/>
                <w:lang w:val="en-US" w:eastAsia="zh-TW"/>
              </w:rPr>
              <w:t xml:space="preserve">: </w:t>
            </w:r>
            <w:r w:rsidR="003B7F33" w:rsidRP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5%</w:t>
            </w:r>
          </w:p>
        </w:tc>
        <w:tc>
          <w:tcPr>
            <w:tcW w:w="2006" w:type="dxa"/>
            <w:tcBorders>
              <w:top w:val="nil"/>
              <w:left w:val="nil"/>
              <w:bottom w:val="single" w:sz="8" w:space="0" w:color="CCCCCC"/>
              <w:right w:val="single" w:sz="8" w:space="0" w:color="CCCCCC"/>
            </w:tcBorders>
            <w:hideMark/>
          </w:tcPr>
          <w:p w14:paraId="37874EC1"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60 s cycle</w:t>
            </w:r>
          </w:p>
        </w:tc>
        <w:tc>
          <w:tcPr>
            <w:tcW w:w="1784" w:type="dxa"/>
            <w:tcBorders>
              <w:top w:val="nil"/>
              <w:left w:val="nil"/>
              <w:bottom w:val="single" w:sz="8" w:space="0" w:color="CCCCCC"/>
              <w:right w:val="single" w:sz="8" w:space="0" w:color="CCCCCC"/>
            </w:tcBorders>
            <w:hideMark/>
          </w:tcPr>
          <w:p w14:paraId="5CE5228B"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Backpack</w:t>
            </w:r>
          </w:p>
        </w:tc>
        <w:tc>
          <w:tcPr>
            <w:tcW w:w="2050" w:type="dxa"/>
            <w:tcBorders>
              <w:top w:val="nil"/>
              <w:left w:val="nil"/>
              <w:bottom w:val="single" w:sz="8" w:space="0" w:color="CCCCCC"/>
              <w:right w:val="single" w:sz="8" w:space="0" w:color="CCCCCC"/>
            </w:tcBorders>
            <w:hideMark/>
          </w:tcPr>
          <w:p w14:paraId="5D6B25EE" w14:textId="1BC792C6" w:rsidR="00AD613B" w:rsidRPr="00F40E85" w:rsidRDefault="009463F0"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{"citationID":"O2zhWVFT","properties":{"formattedCitation":"(Kr\\uc0\\u252{}ger et al., 2024)","plainCitation":"(Krüger et al., 2024)","noteIndex":0},"citationItems":[{"id":244,"uris":["http://zotero.org/users/15620616/items/PP5HTQPK"],"itemData":{"id":244,"type":"article-journal","abstract":"The application of innovative systems using low-cost microcontrollers in human biometeorology studies is a promising alternative to conventional monitoring devices, which are usually cost-intensive and provide measurements at specific points, as in stationary meteorological stations. A Portable Low-cost Environmental Monitoring System (PLEMS) aimed at the pedestrian scale is introduced. The backpack-type equipment consists of a microcontroller with attached sensors that assess environmental conditions in a broad sense, integrating measurements of air quality, lighting and noise levels alongside variables typically measured at meteorological stations. The application of the system took place in altogether 12 environmental walks carried out with questionnaire-surveys with concurrent environmental monitoring with the PLEMS in Curitiba, Brazil, a subtropical location characterized by a Cfb climate type. Results allowed us to test the equipment and method of data gathering within a limited period (approximately 50 min) and for a short walking circuit of 800 m. The equipment was successfully able to capture even slightest differences in environmental conditions among points of interest, whereas subjective responses (n= 3843 responses to a total of 11 questions) showed consistency with measured data. From a multi-domain perspective, relevant insights could be obtained for the measured variables.","container-title":"International Journal of Biometeorology","DOI":"10.1007/s00484-024-02754-x","ISSN":"1432-1254","issue":"11","journalAbbreviation":"Int J Biometeorol","language":"en","license":"2024 The Author(s) under exclusive licence to International Society of Biometeorology","note":"Company: Springer\nDistributor: Springer\nInstitution: Springer\nLabel: Springer\npublisher: Springer Berlin Heidelberg","page":"2357-2371","source":"link-springer-com.proxy.lib.ltu.se","title":"Introducing PLEMS: the application of a low-cost, portable monitoring system in environmental walks","title-short":"Introducing PLEMS","volume":"68","author":[{"family":"Krüger","given":"Eduardo"},{"family":"Ihlenfeld","given":"Walter"},{"family":"Callejas","given":"Ivan"},{"family":"Leder","given":"Solange"}],"issued":{"date-parts":[["2024",11,1]]}}}],"schema":"https://github.com/citation-style-language/schema/raw/master/csl-citation.json"} </w:instrText>
            </w:r>
            <w:r>
              <w:rPr>
                <w:rFonts w:ascii="Times New Roman" w:hAnsi="Times New Roman" w:cs="Times New Roman"/>
                <w:sz w:val="16"/>
                <w:szCs w:val="16"/>
                <w:lang w:val="en-US" w:eastAsia="zh-TW"/>
              </w:rPr>
              <w:fldChar w:fldCharType="separate"/>
            </w:r>
            <w:r w:rsidRPr="009463F0">
              <w:rPr>
                <w:rFonts w:ascii="Times New Roman" w:hAnsi="Times New Roman" w:cs="Times New Roman"/>
                <w:kern w:val="0"/>
                <w:sz w:val="16"/>
              </w:rPr>
              <w:t>Krüger et al., 2024</w:t>
            </w:r>
            <w:r>
              <w:rPr>
                <w:rFonts w:ascii="Times New Roman" w:hAnsi="Times New Roman" w:cs="Times New Roman"/>
                <w:sz w:val="16"/>
                <w:szCs w:val="16"/>
                <w:lang w:val="en-US" w:eastAsia="zh-TW"/>
              </w:rPr>
              <w:fldChar w:fldCharType="end"/>
            </w:r>
          </w:p>
        </w:tc>
      </w:tr>
      <w:tr w:rsidR="009205A3" w:rsidRPr="00F40E85" w14:paraId="71F746A8"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40D4F936"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TRM-ZS2-BX Weather Station</w:t>
            </w:r>
          </w:p>
        </w:tc>
        <w:tc>
          <w:tcPr>
            <w:tcW w:w="2326" w:type="dxa"/>
            <w:tcBorders>
              <w:top w:val="nil"/>
              <w:left w:val="nil"/>
              <w:bottom w:val="single" w:sz="8" w:space="0" w:color="CCCCCC"/>
              <w:right w:val="single" w:sz="8" w:space="0" w:color="CCCCCC"/>
            </w:tcBorders>
            <w:hideMark/>
          </w:tcPr>
          <w:p w14:paraId="4569555F" w14:textId="1B72E0E9" w:rsidR="00AD613B" w:rsidRPr="00F40E85" w:rsidRDefault="00C12D47" w:rsidP="00F40E85">
            <w:pPr>
              <w:pStyle w:val="NoSpacing"/>
              <w:rPr>
                <w:rFonts w:ascii="Times New Roman" w:hAnsi="Times New Roman" w:cs="Times New Roman"/>
                <w:sz w:val="16"/>
                <w:szCs w:val="16"/>
                <w:lang w:eastAsia="zh-TW"/>
              </w:rPr>
            </w:pPr>
            <w:r w:rsidRPr="00F40E85">
              <w:rPr>
                <w:rFonts w:ascii="Times New Roman" w:hAnsi="Times New Roman" w:cs="Times New Roman"/>
                <w:sz w:val="16"/>
                <w:szCs w:val="16"/>
                <w:lang w:eastAsia="zh-TW"/>
              </w:rPr>
              <w:t>T</w:t>
            </w:r>
            <w:r w:rsidRPr="00F40E85">
              <w:rPr>
                <w:rFonts w:ascii="Times New Roman" w:hAnsi="Times New Roman" w:cs="Times New Roman"/>
                <w:sz w:val="16"/>
                <w:szCs w:val="16"/>
                <w:vertAlign w:val="subscript"/>
                <w:lang w:eastAsia="zh-TW"/>
              </w:rPr>
              <w:t>a</w:t>
            </w:r>
            <w:r w:rsidR="00AD613B" w:rsidRPr="00F40E85">
              <w:rPr>
                <w:rFonts w:ascii="Times New Roman" w:hAnsi="Times New Roman" w:cs="Times New Roman"/>
                <w:sz w:val="16"/>
                <w:szCs w:val="16"/>
                <w:lang w:eastAsia="zh-TW"/>
              </w:rPr>
              <w:t xml:space="preserve">, </w:t>
            </w:r>
            <w:r w:rsidR="003B7F33" w:rsidRPr="00F40E85">
              <w:rPr>
                <w:rFonts w:ascii="Times New Roman" w:hAnsi="Times New Roman" w:cs="Times New Roman"/>
                <w:sz w:val="16"/>
                <w:szCs w:val="16"/>
                <w:lang w:eastAsia="zh-TW"/>
              </w:rPr>
              <w:t>RH</w:t>
            </w:r>
            <w:r w:rsidR="00AD613B" w:rsidRPr="00F40E85">
              <w:rPr>
                <w:rFonts w:ascii="Times New Roman" w:hAnsi="Times New Roman" w:cs="Times New Roman"/>
                <w:sz w:val="16"/>
                <w:szCs w:val="16"/>
                <w:lang w:eastAsia="zh-TW"/>
              </w:rPr>
              <w:t xml:space="preserve">, </w:t>
            </w:r>
            <w:r w:rsidR="009E3194" w:rsidRPr="00F40E85">
              <w:rPr>
                <w:rFonts w:ascii="Times New Roman" w:hAnsi="Times New Roman" w:cs="Times New Roman"/>
                <w:sz w:val="16"/>
                <w:szCs w:val="16"/>
                <w:lang w:eastAsia="zh-TW"/>
              </w:rPr>
              <w:t>v</w:t>
            </w:r>
            <w:r w:rsidR="00AD613B" w:rsidRPr="00F40E85">
              <w:rPr>
                <w:rFonts w:ascii="Times New Roman" w:hAnsi="Times New Roman" w:cs="Times New Roman"/>
                <w:sz w:val="16"/>
                <w:szCs w:val="16"/>
                <w:lang w:eastAsia="zh-TW"/>
              </w:rPr>
              <w:t xml:space="preserve">, Solar radiation (G), </w:t>
            </w:r>
            <w:r w:rsidR="003546A2" w:rsidRPr="00F40E85">
              <w:rPr>
                <w:rFonts w:ascii="Times New Roman" w:hAnsi="Times New Roman" w:cs="Times New Roman"/>
                <w:sz w:val="16"/>
                <w:szCs w:val="16"/>
                <w:lang w:eastAsia="zh-TW"/>
              </w:rPr>
              <w:t>T</w:t>
            </w:r>
            <w:r w:rsidR="003546A2" w:rsidRPr="00F40E85">
              <w:rPr>
                <w:rFonts w:ascii="Times New Roman" w:hAnsi="Times New Roman" w:cs="Times New Roman"/>
                <w:sz w:val="16"/>
                <w:szCs w:val="16"/>
                <w:vertAlign w:val="subscript"/>
                <w:lang w:eastAsia="zh-TW"/>
              </w:rPr>
              <w:t>g</w:t>
            </w:r>
          </w:p>
        </w:tc>
        <w:tc>
          <w:tcPr>
            <w:tcW w:w="2112" w:type="dxa"/>
            <w:tcBorders>
              <w:top w:val="nil"/>
              <w:left w:val="nil"/>
              <w:bottom w:val="single" w:sz="8" w:space="0" w:color="CCCCCC"/>
              <w:right w:val="single" w:sz="8" w:space="0" w:color="CCCCCC"/>
            </w:tcBorders>
            <w:hideMark/>
          </w:tcPr>
          <w:p w14:paraId="74FD05A9"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PTS-3, EC-A2 ultrasonic, TBB-2 net radiation, PTWD-2A globe</w:t>
            </w:r>
          </w:p>
        </w:tc>
        <w:tc>
          <w:tcPr>
            <w:tcW w:w="1822" w:type="dxa"/>
            <w:tcBorders>
              <w:top w:val="nil"/>
              <w:left w:val="nil"/>
              <w:bottom w:val="single" w:sz="8" w:space="0" w:color="CCCCCC"/>
              <w:right w:val="single" w:sz="8" w:space="0" w:color="CCCCCC"/>
            </w:tcBorders>
            <w:hideMark/>
          </w:tcPr>
          <w:p w14:paraId="29CF10AB" w14:textId="60734816" w:rsidR="00AD613B" w:rsidRPr="00F40E85" w:rsidRDefault="00455695" w:rsidP="00F40E85">
            <w:pPr>
              <w:pStyle w:val="NoSpacing"/>
              <w:rPr>
                <w:rFonts w:ascii="Times New Roman" w:hAnsi="Times New Roman" w:cs="Times New Roman"/>
                <w:sz w:val="16"/>
                <w:szCs w:val="16"/>
                <w:lang w:eastAsia="zh-TW"/>
              </w:rPr>
            </w:pPr>
            <w:r w:rsidRPr="00F40E85">
              <w:rPr>
                <w:rFonts w:ascii="Times New Roman" w:hAnsi="Times New Roman" w:cs="Times New Roman"/>
                <w:sz w:val="16"/>
                <w:szCs w:val="16"/>
                <w:lang w:eastAsia="zh-TW"/>
              </w:rPr>
              <w:t>T</w:t>
            </w:r>
            <w:r w:rsidRPr="00F40E85">
              <w:rPr>
                <w:rFonts w:ascii="Times New Roman" w:hAnsi="Times New Roman" w:cs="Times New Roman"/>
                <w:sz w:val="16"/>
                <w:szCs w:val="16"/>
                <w:vertAlign w:val="subscript"/>
                <w:lang w:eastAsia="zh-TW"/>
              </w:rPr>
              <w:t>a</w:t>
            </w:r>
            <w:r w:rsidR="00AD613B" w:rsidRPr="00F40E85">
              <w:rPr>
                <w:rFonts w:ascii="Times New Roman" w:hAnsi="Times New Roman" w:cs="Times New Roman"/>
                <w:sz w:val="16"/>
                <w:szCs w:val="16"/>
                <w:lang w:eastAsia="zh-TW"/>
              </w:rPr>
              <w:t xml:space="preserve">: </w:t>
            </w:r>
            <w:r w:rsidR="003B7F33" w:rsidRPr="00F40E85">
              <w:rPr>
                <w:rFonts w:ascii="Times New Roman" w:hAnsi="Times New Roman" w:cs="Times New Roman"/>
                <w:sz w:val="16"/>
                <w:szCs w:val="16"/>
                <w:lang w:eastAsia="zh-TW"/>
              </w:rPr>
              <w:t>±</w:t>
            </w:r>
            <w:r w:rsidR="00AD613B" w:rsidRPr="00F40E85">
              <w:rPr>
                <w:rFonts w:ascii="Times New Roman" w:hAnsi="Times New Roman" w:cs="Times New Roman"/>
                <w:sz w:val="16"/>
                <w:szCs w:val="16"/>
                <w:lang w:eastAsia="zh-TW"/>
              </w:rPr>
              <w:t xml:space="preserve"> 0.2 °C; </w:t>
            </w:r>
            <w:r w:rsidR="003B7F33" w:rsidRPr="00F40E85">
              <w:rPr>
                <w:rFonts w:ascii="Times New Roman" w:hAnsi="Times New Roman" w:cs="Times New Roman"/>
                <w:sz w:val="16"/>
                <w:szCs w:val="16"/>
                <w:lang w:eastAsia="zh-TW"/>
              </w:rPr>
              <w:t>RH</w:t>
            </w:r>
            <w:r w:rsidR="00AD613B" w:rsidRPr="00F40E85">
              <w:rPr>
                <w:rFonts w:ascii="Times New Roman" w:hAnsi="Times New Roman" w:cs="Times New Roman"/>
                <w:sz w:val="16"/>
                <w:szCs w:val="16"/>
                <w:lang w:eastAsia="zh-TW"/>
              </w:rPr>
              <w:t xml:space="preserve">: </w:t>
            </w:r>
            <w:r w:rsidR="003B7F33" w:rsidRPr="00F40E85">
              <w:rPr>
                <w:rFonts w:ascii="Times New Roman" w:hAnsi="Times New Roman" w:cs="Times New Roman"/>
                <w:sz w:val="16"/>
                <w:szCs w:val="16"/>
                <w:lang w:eastAsia="zh-TW"/>
              </w:rPr>
              <w:t>±</w:t>
            </w:r>
            <w:r w:rsidR="00AD613B" w:rsidRPr="00F40E85">
              <w:rPr>
                <w:rFonts w:ascii="Times New Roman" w:hAnsi="Times New Roman" w:cs="Times New Roman"/>
                <w:sz w:val="16"/>
                <w:szCs w:val="16"/>
                <w:lang w:eastAsia="zh-TW"/>
              </w:rPr>
              <w:t xml:space="preserve"> 2%; </w:t>
            </w:r>
            <w:r w:rsidR="003B7F33" w:rsidRPr="003546A2">
              <w:rPr>
                <w:rFonts w:ascii="Times New Roman" w:hAnsi="Times New Roman" w:cs="Times New Roman"/>
                <w:sz w:val="16"/>
                <w:szCs w:val="16"/>
                <w:lang w:eastAsia="zh-TW"/>
              </w:rPr>
              <w:t>v</w:t>
            </w:r>
            <w:r w:rsidR="00AD613B" w:rsidRPr="00F40E85">
              <w:rPr>
                <w:rFonts w:ascii="Times New Roman" w:hAnsi="Times New Roman" w:cs="Times New Roman"/>
                <w:sz w:val="16"/>
                <w:szCs w:val="16"/>
                <w:lang w:eastAsia="zh-TW"/>
              </w:rPr>
              <w:t xml:space="preserve">: </w:t>
            </w:r>
            <w:r w:rsidR="003B7F33" w:rsidRPr="00F40E85">
              <w:rPr>
                <w:rFonts w:ascii="Times New Roman" w:hAnsi="Times New Roman" w:cs="Times New Roman"/>
                <w:sz w:val="16"/>
                <w:szCs w:val="16"/>
                <w:lang w:eastAsia="zh-TW"/>
              </w:rPr>
              <w:t>±</w:t>
            </w:r>
            <w:r w:rsidR="00AD613B" w:rsidRPr="00F40E85">
              <w:rPr>
                <w:rFonts w:ascii="Times New Roman" w:hAnsi="Times New Roman" w:cs="Times New Roman"/>
                <w:sz w:val="16"/>
                <w:szCs w:val="16"/>
                <w:lang w:eastAsia="zh-TW"/>
              </w:rPr>
              <w:t xml:space="preserve"> 2%; G: </w:t>
            </w:r>
            <w:r w:rsidR="003B7F33" w:rsidRPr="00F40E85">
              <w:rPr>
                <w:rFonts w:ascii="Times New Roman" w:hAnsi="Times New Roman" w:cs="Times New Roman"/>
                <w:sz w:val="16"/>
                <w:szCs w:val="16"/>
                <w:lang w:eastAsia="zh-TW"/>
              </w:rPr>
              <w:t>±</w:t>
            </w:r>
            <w:r w:rsidR="00AD613B" w:rsidRPr="00F40E85">
              <w:rPr>
                <w:rFonts w:ascii="Times New Roman" w:hAnsi="Times New Roman" w:cs="Times New Roman"/>
                <w:sz w:val="16"/>
                <w:szCs w:val="16"/>
                <w:lang w:eastAsia="zh-TW"/>
              </w:rPr>
              <w:t xml:space="preserve"> 1 W/m</w:t>
            </w:r>
            <w:r w:rsidRPr="00F40E85">
              <w:rPr>
                <w:rFonts w:ascii="Times New Roman" w:hAnsi="Times New Roman" w:cs="Times New Roman"/>
                <w:sz w:val="16"/>
                <w:szCs w:val="16"/>
                <w:vertAlign w:val="superscript"/>
                <w:lang w:eastAsia="zh-TW"/>
              </w:rPr>
              <w:t>2</w:t>
            </w:r>
            <w:r w:rsidR="00AD613B" w:rsidRPr="00F40E85">
              <w:rPr>
                <w:rFonts w:ascii="Times New Roman" w:hAnsi="Times New Roman" w:cs="Times New Roman"/>
                <w:sz w:val="16"/>
                <w:szCs w:val="16"/>
                <w:lang w:eastAsia="zh-TW"/>
              </w:rPr>
              <w:t xml:space="preserve">; </w:t>
            </w:r>
            <w:r w:rsidR="003A2329" w:rsidRPr="00F40E85">
              <w:rPr>
                <w:rFonts w:ascii="Times New Roman" w:hAnsi="Times New Roman" w:cs="Times New Roman"/>
                <w:sz w:val="16"/>
                <w:szCs w:val="16"/>
                <w:lang w:eastAsia="zh-TW"/>
              </w:rPr>
              <w:t>T</w:t>
            </w:r>
            <w:r w:rsidR="003A2329" w:rsidRPr="00F40E85">
              <w:rPr>
                <w:rFonts w:ascii="Times New Roman" w:hAnsi="Times New Roman" w:cs="Times New Roman"/>
                <w:sz w:val="16"/>
                <w:szCs w:val="16"/>
                <w:vertAlign w:val="subscript"/>
                <w:lang w:eastAsia="zh-TW"/>
              </w:rPr>
              <w:t>g</w:t>
            </w:r>
            <w:r w:rsidR="00AD613B" w:rsidRPr="00F40E85">
              <w:rPr>
                <w:rFonts w:ascii="Times New Roman" w:hAnsi="Times New Roman" w:cs="Times New Roman"/>
                <w:sz w:val="16"/>
                <w:szCs w:val="16"/>
                <w:lang w:eastAsia="zh-TW"/>
              </w:rPr>
              <w:t xml:space="preserve">: </w:t>
            </w:r>
            <w:r w:rsidR="003B7F33" w:rsidRPr="00F40E85">
              <w:rPr>
                <w:rFonts w:ascii="Times New Roman" w:hAnsi="Times New Roman" w:cs="Times New Roman"/>
                <w:sz w:val="16"/>
                <w:szCs w:val="16"/>
                <w:lang w:eastAsia="zh-TW"/>
              </w:rPr>
              <w:t>±</w:t>
            </w:r>
            <w:r w:rsidR="00AD613B" w:rsidRPr="00F40E85">
              <w:rPr>
                <w:rFonts w:ascii="Times New Roman" w:hAnsi="Times New Roman" w:cs="Times New Roman"/>
                <w:sz w:val="16"/>
                <w:szCs w:val="16"/>
                <w:lang w:eastAsia="zh-TW"/>
              </w:rPr>
              <w:t xml:space="preserve"> 0.2 °C</w:t>
            </w:r>
          </w:p>
        </w:tc>
        <w:tc>
          <w:tcPr>
            <w:tcW w:w="2006" w:type="dxa"/>
            <w:tcBorders>
              <w:top w:val="nil"/>
              <w:left w:val="nil"/>
              <w:bottom w:val="single" w:sz="8" w:space="0" w:color="CCCCCC"/>
              <w:right w:val="single" w:sz="8" w:space="0" w:color="CCCCCC"/>
            </w:tcBorders>
            <w:hideMark/>
          </w:tcPr>
          <w:p w14:paraId="07BF35BC"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1 min intervals</w:t>
            </w:r>
          </w:p>
        </w:tc>
        <w:tc>
          <w:tcPr>
            <w:tcW w:w="1784" w:type="dxa"/>
            <w:tcBorders>
              <w:top w:val="nil"/>
              <w:left w:val="nil"/>
              <w:bottom w:val="single" w:sz="8" w:space="0" w:color="CCCCCC"/>
              <w:right w:val="single" w:sz="8" w:space="0" w:color="CCCCCC"/>
            </w:tcBorders>
            <w:hideMark/>
          </w:tcPr>
          <w:p w14:paraId="4D7D16F5"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Stationary sidewalk (1.5 m)</w:t>
            </w:r>
          </w:p>
        </w:tc>
        <w:tc>
          <w:tcPr>
            <w:tcW w:w="2050" w:type="dxa"/>
            <w:tcBorders>
              <w:top w:val="nil"/>
              <w:left w:val="nil"/>
              <w:bottom w:val="single" w:sz="8" w:space="0" w:color="CCCCCC"/>
              <w:right w:val="single" w:sz="8" w:space="0" w:color="CCCCCC"/>
            </w:tcBorders>
            <w:hideMark/>
          </w:tcPr>
          <w:p w14:paraId="52E68E8B" w14:textId="5B01EAD4" w:rsidR="00AD613B" w:rsidRPr="00F40E85" w:rsidRDefault="009463F0"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{"citationID":"D9DGhy2T","properties":{"formattedCitation":"(Huang et al., 2025)","plainCitation":"(Huang et al., 2025)","noteIndex":0},"citationItems":[{"id":211,"uris":["http://zotero.org/users/15620616/items/JVAC3ZCY"],"itemData":{"id":211,"type":"article-journal","abstract":"Pedestrians often suffer severe heat exposure during walking in summers. Scientifically selecting walkable routes, within the acceptable range of heat exposure, is an emerging demand, particularly in highly heterogeneous urban settings. To achieve so, it is critical to understand dynamic and cumulative heat exposure during walking. However, existing outdoor thermal comfort (OTC) indices which are mainly developed for static, steady-state conditions are incapable of capturing the dynamics and accumulation of heat exposure during a continuous walking process. To overcome this research gap, this study aims to develop an innovative OTC modeling method to reveal the nonlinear law of cumulative heat exposure and body’s dynamic responses. The method was built upon a field experiment and synchronous questionnaire survey during the 15-min walking campaign of 156 volunteers in direct-exposure and shaded scenarios in Changzhou, China. The results revealed a pronounced nonlinear heat cumulative effect, with pedestrians’ discomfort escalating over time. Critical body thresholds, with thermal unacceptance increasing sharply, were pinpointed at the 5th and 9th minute in the direct-exposure scenario. Machine learning models were adopted to predict transient and overall OTC. The Random Forest algorithm achieved an accuracy of 84.4 % to predict transient thermal sensation, the accuracy of XGBoost algorithm to predict transient thermal acceptance reached 96.6 %, and the accuracy of the multinomial logistic regression algorithm to predict overall thermal sensation reached 69.0 %. The SHAP analysis validated the model's ability to integrate environmental, temporal, and physiological factors, and confirmed exposure time and body mass index as dominant predictors alongside solar radiation. Overall, this study reveals the nonlinear law of cumulative heat exposure and dynamic thermal responses during walking and provides a solid model for time-dependent heat risk assessment. This study offers a quantitative tool to proactively guide urban planners, designers, managers, and citizens to make proper decisions on heat exposure avoidance.","container-title":"Sustainable Cities and Society","DOI":"10.1016/j.scs.2025.106696","ISSN":"2210-6707","journalAbbreviation":"Sustainable Cities and Society","page":"106696","source":"ScienceDirect","title":"Nonlinear law of cumulative heat exposure and dynamic thermal comfort during pedestrians' walking: Field experiments and machine learning predictions","title-short":"Nonlinear law of cumulative heat exposure and dynamic thermal comfort during pedestrians' walking","volume":"131","author":[{"family":"Huang","given":"Boze"},{"family":"Matzarakis","given":"Andreas"},{"family":"He","given":"Bao-Jie"}],"issued":{"date-parts":[["2025",9,1]]}}}],"schema":"https://github.com/citation-style-language/schema/raw/master/csl-citation.json"}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sz w:val="16"/>
                <w:lang w:val="en-US"/>
              </w:rPr>
              <w:t>Huang et al., 2025</w:t>
            </w:r>
            <w:r>
              <w:rPr>
                <w:rFonts w:ascii="Times New Roman" w:hAnsi="Times New Roman" w:cs="Times New Roman"/>
                <w:sz w:val="16"/>
                <w:szCs w:val="16"/>
                <w:lang w:val="en-US" w:eastAsia="zh-TW"/>
              </w:rPr>
              <w:fldChar w:fldCharType="end"/>
            </w:r>
          </w:p>
        </w:tc>
      </w:tr>
      <w:tr w:rsidR="009205A3" w:rsidRPr="00F40E85" w14:paraId="59BC3299"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365E84E8"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Delta OHM HD 32.2 / 32.3</w:t>
            </w:r>
          </w:p>
        </w:tc>
        <w:tc>
          <w:tcPr>
            <w:tcW w:w="2326" w:type="dxa"/>
            <w:tcBorders>
              <w:top w:val="nil"/>
              <w:left w:val="nil"/>
              <w:bottom w:val="single" w:sz="8" w:space="0" w:color="CCCCCC"/>
              <w:right w:val="single" w:sz="8" w:space="0" w:color="CCCCCC"/>
            </w:tcBorders>
            <w:hideMark/>
          </w:tcPr>
          <w:p w14:paraId="631D8515" w14:textId="4B323345" w:rsidR="00AD613B" w:rsidRPr="00F40E85" w:rsidRDefault="00C12D47"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w:t>
            </w:r>
            <w:r w:rsidR="003546A2">
              <w:rPr>
                <w:rFonts w:ascii="Times New Roman" w:hAnsi="Times New Roman" w:cs="Times New Roman"/>
                <w:sz w:val="16"/>
                <w:szCs w:val="16"/>
                <w:lang w:val="en-US" w:eastAsia="zh-TW"/>
              </w:rPr>
              <w:t>T</w:t>
            </w:r>
            <w:r w:rsidR="003546A2">
              <w:rPr>
                <w:rFonts w:ascii="Times New Roman" w:hAnsi="Times New Roman" w:cs="Times New Roman"/>
                <w:sz w:val="16"/>
                <w:szCs w:val="16"/>
                <w:vertAlign w:val="subscript"/>
                <w:lang w:val="en-US" w:eastAsia="zh-TW"/>
              </w:rPr>
              <w:t>g</w:t>
            </w:r>
            <w:r w:rsidR="00AD613B" w:rsidRPr="00F40E85">
              <w:rPr>
                <w:rFonts w:ascii="Times New Roman" w:hAnsi="Times New Roman" w:cs="Times New Roman"/>
                <w:sz w:val="16"/>
                <w:szCs w:val="16"/>
                <w:lang w:val="en-US" w:eastAsia="zh-TW"/>
              </w:rPr>
              <w:t>, Sound level</w:t>
            </w:r>
          </w:p>
        </w:tc>
        <w:tc>
          <w:tcPr>
            <w:tcW w:w="2112" w:type="dxa"/>
            <w:tcBorders>
              <w:top w:val="nil"/>
              <w:left w:val="nil"/>
              <w:bottom w:val="single" w:sz="8" w:space="0" w:color="CCCCCC"/>
              <w:right w:val="single" w:sz="8" w:space="0" w:color="CCCCCC"/>
            </w:tcBorders>
            <w:hideMark/>
          </w:tcPr>
          <w:p w14:paraId="7E87576F"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Multi-probe (50 mm globe); SMART SENSOR AS-824</w:t>
            </w:r>
          </w:p>
        </w:tc>
        <w:tc>
          <w:tcPr>
            <w:tcW w:w="1822" w:type="dxa"/>
            <w:tcBorders>
              <w:top w:val="nil"/>
              <w:left w:val="nil"/>
              <w:bottom w:val="single" w:sz="8" w:space="0" w:color="CCCCCC"/>
              <w:right w:val="single" w:sz="8" w:space="0" w:color="CCCCCC"/>
            </w:tcBorders>
            <w:hideMark/>
          </w:tcPr>
          <w:p w14:paraId="2932313D" w14:textId="25B39AB5" w:rsidR="00AD613B" w:rsidRPr="00F40E85" w:rsidRDefault="00455695"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0.21 °C; </w:t>
            </w:r>
            <w:r w:rsidR="003B7F33">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2.5%; </w:t>
            </w:r>
            <w:r w:rsidR="003B7F33">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0.1 m/s resolution</w:t>
            </w:r>
          </w:p>
        </w:tc>
        <w:tc>
          <w:tcPr>
            <w:tcW w:w="2006" w:type="dxa"/>
            <w:tcBorders>
              <w:top w:val="nil"/>
              <w:left w:val="nil"/>
              <w:bottom w:val="single" w:sz="8" w:space="0" w:color="CCCCCC"/>
              <w:right w:val="single" w:sz="8" w:space="0" w:color="CCCCCC"/>
            </w:tcBorders>
            <w:hideMark/>
          </w:tcPr>
          <w:p w14:paraId="0597CB01"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15 s to 1 min</w:t>
            </w:r>
          </w:p>
        </w:tc>
        <w:tc>
          <w:tcPr>
            <w:tcW w:w="1784" w:type="dxa"/>
            <w:tcBorders>
              <w:top w:val="nil"/>
              <w:left w:val="nil"/>
              <w:bottom w:val="single" w:sz="8" w:space="0" w:color="CCCCCC"/>
              <w:right w:val="single" w:sz="8" w:space="0" w:color="CCCCCC"/>
            </w:tcBorders>
            <w:hideMark/>
          </w:tcPr>
          <w:p w14:paraId="2B5390AC"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Backpack or Hand-carried</w:t>
            </w:r>
          </w:p>
        </w:tc>
        <w:tc>
          <w:tcPr>
            <w:tcW w:w="2050" w:type="dxa"/>
            <w:tcBorders>
              <w:top w:val="nil"/>
              <w:left w:val="nil"/>
              <w:bottom w:val="single" w:sz="8" w:space="0" w:color="CCCCCC"/>
              <w:right w:val="single" w:sz="8" w:space="0" w:color="CCCCCC"/>
            </w:tcBorders>
            <w:hideMark/>
          </w:tcPr>
          <w:p w14:paraId="69754956" w14:textId="739AA31A" w:rsidR="003E0C4F" w:rsidRPr="00F40E85" w:rsidRDefault="003E0C4F">
            <w:pPr>
              <w:pStyle w:val="NoSpacing"/>
              <w:rPr>
                <w:rFonts w:ascii="Times New Roman" w:hAnsi="Times New Roman" w:cs="Times New Roman"/>
                <w:sz w:val="16"/>
                <w:lang w:val="en-US"/>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{"citationID":"AdRaKYxj","properties":{"formattedCitation":"(Li et al., 2025; Qi et al., 2021; Speak &amp; Salbitano, 2022)","plainCitation":"(Li et al., 2025; Qi et al., 2021; Speak &amp; Salbitano, 2022)","noteIndex":0},"citationItems":[{"id":227,"uris":["http://zotero.org/users/15620616/items/22JIIXAE"],"itemData":{"id":227,"type":"article-journal","abstract":"The evaluation of outdoor green spaces is influenced by diverse sensory perceptions. Traffic noise and thermal conditions significantly impact greenway-walking satisfaction; their optimization is vital for improving user experience and encouraging outdoor engagement. The study examines a typical Beijing greenway during autumn, focusing on strategies to enhance the walking experience under the combined effects of noise and thermal environments through mobile measurements and surveys. The results show that: 1) The interplay between noise and thermal factors varies depending on the walking state. Upon arrival, an increase in noise significantly worsens thermal comfort; higher sound levels intensify warm thermal sensations, though this effect is not consciously perceived. Upon departure, the effect of noise on thermal perception is not obvious. In both walking states, thermal sensation significantly affects subjective noise perception, yet the trends of influence differ. Subjective noise loudness increases as thermal comfort worsens, showing significant correlation only upon departure. 2) During autumn greenway walks, acoustic factors exert a greater impact on Overall Environmental Satisfaction (OES), with subjective noise loudness being more influential than noise level, followed by air temperature (Ta). Greater noise decreases OES, while OES increases initially with Ta and then decreases. The integrated effects of noise-thermal factors on OES show significant changes. 3) To enhance the autumn greenway-walking experience, the advised parameters are A-weighted Sound Level (ASL) ≤ 59.12 dBA and 15.17 °C ≤ Ta ≤ 18.75 °C. Finally, three design strategies are proposed: reducing subjective noise loudness, differentiating design based on walking status and balancing acoustic-thermal perceptual preferences.","container-title":"International Journal of Biometeorology","DOI":"10.1007/s00484-024-02790-7","ISSN":"1432-1254","issue":"1","journalAbbreviation":"Int J Biometeorol","language":"en","license":"2024 The Author(s) under exclusive licence to International Society of Biometeorology","note":"Company: Springer\nDistributor: Springer\nInstitution: Springer\nLabel: Springer\npublisher: Springer Berlin Heidelberg","page":"35-50","source":"link-springer-com.proxy.lib.ltu.se","title":"Enhancing autumn greenway walking experience: Exploring the combined effects of noise and thermal environment","title-short":"Enhancing autumn greenway walking experience","volume":"69","author":[{"family":"Li","given":"Yanhan"},{"family":"Li","given":"Liang"},{"family":"Wang","given":"Wenqing"}],"issued":{"date-parts":[["2025",1,1]]}}},{"id":223,"uris":["http://zotero.org/users/15620616/items/VH562H78"],"itemData":{"id":223,"type":"article-journal","abstract":"Outdoor thermal measurement is the most direct and accurate technique to investigate and assess urban overheating. Thanks to operational convenience and low costs, mobile measurements are regarded as more efficient than fixed measurements. However, the accuracy of mobile measurements has not been adequately studied, especially given the lack of a standardized method for “stop-and-go”. This paper aimed to develop an optimized method suitable for mobile measurements. By comparing data from mobile and fixed points, the settling time, the effective period, and the staying time of air temperature (Ta) and black globe temperature (Tg) were elucidated. Further verification and application of this optimized method was achieved. The results show that: (i) the spatial transformation caused initial differences for both Ta and Tg, which could be reduced by average settling times of 3.1 min and 4.6 min, respectively; (ii) elimination of the data in the first 5 min improved the result accuracy of Ta by 20 % and Tg by 30 %; and (iii) a staying time of 10 min could afford acceptable result accuracy. In short, through regulating the settling time and staying time, the optimized method for mobile measurements could achieve excellent result accuracy on thermal environments in complex urban spaces.","container-title":"Sustainable Cities and Society","DOI":"10.1016/j.scs.2021.102837","ISSN":"2210-6707","journalAbbreviation":"Sustainable Cities and Society","page":"102837","source":"ScienceDirect","title":"Developing an optimized method for the ‘stop-and-go’ strategy in mobile measurements for characterizing outdoor thermal environments","volume":"69","author":[{"family":"Qi","given":"Qianlong"},{"family":"Meng","given":"Qinglin"},{"family":"Wang","given":"Junsong"},{"family":"Ren","given":"Peng"}],"issued":{"date-parts":[["2021",6,1]]}}},{"id":215,"uris":["http://zotero.org/users/15620616/items/5CLMRK8L"],"itemData":{"id":215,"type":"article-journal","abstract":"Urban planning must consider the outdoor thermal comfort of city dwellers, particularly in cities where climate and the effects of climate change may severely influence human health and wellbeing in increasingly hot summers. The role of the urban forest in ameliorating this problem is decisive. The present study is based on a campaign of meteorological measurements in a large number of sites using a mobile data collection system to allow a human-centred approach. The aim is to quantify the different microclimates and thermal comfort conditions in six classes of urban morphology, discriminating landtypes with or without trees. In the case study of Florence, local physical characteristics of the sites; Sky View Factor (SVF), tree shade, ground surface cover, and canyon effect, can moderate human exposure to potentially uncomfortable thermal conditions during a typical Mediterranean summer. Significant differences in Universal Thermal Comfort Index (UTCI) were observed between treeless piazzas and streets and landtypes with trees or high height to width ratio (narrow alleys). Varying levels of SVF and tree cover in the sites allowed the construction of multivariate models, which revealed that, during common summer afternoon conditions, decreases of SVF by 12.5% or increases of tree cover by 25% can reduce the UTCI by 1°. Additionally, the total site factor, by incorporating temporally integrated sun exposure with the sky view factor, revealed itself a promising variable for future studies to use.","container-title":"Building and Environment","DOI":"10.1016/j.buildenv.2021.108600","ISSN":"0360-1323","journalAbbreviation":"Building and Environment","page":"108600","source":"ScienceDirect","title":"Summer thermal comfort of pedestrians in diverse urban settings: A mobile study","title-short":"Summer thermal comfort of pedestrians in diverse urban settings","volume":"208","author":[{"family":"Speak","given":"Andrew Francis"},{"family":"Salbitano","given":"Fabio"}],"issued":{"date-parts":[["2022",1,15]]}}}],"schema":"https://github.com/citation-style-language/schema/raw/master/csl-citation.json"}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sz w:val="16"/>
                <w:lang w:val="en-US"/>
              </w:rPr>
              <w:t>Li et al., 2025</w:t>
            </w:r>
          </w:p>
          <w:p w14:paraId="05F9B3D5" w14:textId="0E6FFF5B" w:rsidR="003E0C4F" w:rsidRPr="00F40E85" w:rsidRDefault="003E0C4F">
            <w:pPr>
              <w:pStyle w:val="NoSpacing"/>
              <w:rPr>
                <w:rFonts w:ascii="Times New Roman" w:hAnsi="Times New Roman" w:cs="Times New Roman"/>
                <w:sz w:val="16"/>
                <w:lang w:val="en-US"/>
              </w:rPr>
            </w:pPr>
            <w:r w:rsidRPr="00F40E85">
              <w:rPr>
                <w:rFonts w:ascii="Times New Roman" w:hAnsi="Times New Roman" w:cs="Times New Roman"/>
                <w:sz w:val="16"/>
                <w:lang w:val="en-US"/>
              </w:rPr>
              <w:t>Qi et al., 2021</w:t>
            </w:r>
          </w:p>
          <w:p w14:paraId="3FE1EFE0" w14:textId="214FDDF6" w:rsidR="00AD613B" w:rsidRPr="00F40E85" w:rsidRDefault="003E0C4F"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lang w:val="en-US"/>
              </w:rPr>
              <w:t>Speak &amp; Salbitano, 2022</w:t>
            </w:r>
            <w:r>
              <w:rPr>
                <w:rFonts w:ascii="Times New Roman" w:hAnsi="Times New Roman" w:cs="Times New Roman"/>
                <w:sz w:val="16"/>
                <w:szCs w:val="16"/>
                <w:lang w:val="en-US" w:eastAsia="zh-TW"/>
              </w:rPr>
              <w:fldChar w:fldCharType="end"/>
            </w:r>
          </w:p>
        </w:tc>
      </w:tr>
      <w:tr w:rsidR="009205A3" w:rsidRPr="00F40E85" w14:paraId="426D01DF"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23EE09B3"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MeteoTracker (IoTopon Srl)</w:t>
            </w:r>
          </w:p>
        </w:tc>
        <w:tc>
          <w:tcPr>
            <w:tcW w:w="2326" w:type="dxa"/>
            <w:tcBorders>
              <w:top w:val="nil"/>
              <w:left w:val="nil"/>
              <w:bottom w:val="single" w:sz="8" w:space="0" w:color="CCCCCC"/>
              <w:right w:val="single" w:sz="8" w:space="0" w:color="CCCCCC"/>
            </w:tcBorders>
            <w:hideMark/>
          </w:tcPr>
          <w:p w14:paraId="7DF6E400" w14:textId="2D2AC5C9" w:rsidR="00AD613B" w:rsidRPr="00F40E85" w:rsidRDefault="003546A2"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P</w:t>
            </w:r>
          </w:p>
        </w:tc>
        <w:tc>
          <w:tcPr>
            <w:tcW w:w="2112" w:type="dxa"/>
            <w:tcBorders>
              <w:top w:val="nil"/>
              <w:left w:val="nil"/>
              <w:bottom w:val="single" w:sz="8" w:space="0" w:color="CCCCCC"/>
              <w:right w:val="single" w:sz="8" w:space="0" w:color="CCCCCC"/>
            </w:tcBorders>
            <w:hideMark/>
          </w:tcPr>
          <w:p w14:paraId="0395DB40"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Capacitive–resistive sensors</w:t>
            </w:r>
          </w:p>
        </w:tc>
        <w:tc>
          <w:tcPr>
            <w:tcW w:w="1822" w:type="dxa"/>
            <w:tcBorders>
              <w:top w:val="nil"/>
              <w:left w:val="nil"/>
              <w:bottom w:val="single" w:sz="8" w:space="0" w:color="CCCCCC"/>
              <w:right w:val="single" w:sz="8" w:space="0" w:color="CCCCCC"/>
            </w:tcBorders>
            <w:hideMark/>
          </w:tcPr>
          <w:p w14:paraId="2708D47C" w14:textId="2F9E35B8" w:rsidR="00AD613B" w:rsidRPr="00F40E85" w:rsidRDefault="00455695"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0.5 °C; </w:t>
            </w:r>
            <w:r w:rsidR="003B7F33">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2%; P: </w:t>
            </w:r>
            <w:r w:rsidR="003B7F33">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50 Pa</w:t>
            </w:r>
          </w:p>
        </w:tc>
        <w:tc>
          <w:tcPr>
            <w:tcW w:w="2006" w:type="dxa"/>
            <w:tcBorders>
              <w:top w:val="nil"/>
              <w:left w:val="nil"/>
              <w:bottom w:val="single" w:sz="8" w:space="0" w:color="CCCCCC"/>
              <w:right w:val="single" w:sz="8" w:space="0" w:color="CCCCCC"/>
            </w:tcBorders>
            <w:hideMark/>
          </w:tcPr>
          <w:p w14:paraId="18CC4F4C"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$\geq$ 1 Hz</w:t>
            </w:r>
          </w:p>
        </w:tc>
        <w:tc>
          <w:tcPr>
            <w:tcW w:w="1784" w:type="dxa"/>
            <w:tcBorders>
              <w:top w:val="nil"/>
              <w:left w:val="nil"/>
              <w:bottom w:val="single" w:sz="8" w:space="0" w:color="CCCCCC"/>
              <w:right w:val="single" w:sz="8" w:space="0" w:color="CCCCCC"/>
            </w:tcBorders>
            <w:hideMark/>
          </w:tcPr>
          <w:p w14:paraId="710ADD90"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Magnetic base or String</w:t>
            </w:r>
          </w:p>
        </w:tc>
        <w:tc>
          <w:tcPr>
            <w:tcW w:w="2050" w:type="dxa"/>
            <w:tcBorders>
              <w:top w:val="nil"/>
              <w:left w:val="nil"/>
              <w:bottom w:val="single" w:sz="8" w:space="0" w:color="CCCCCC"/>
              <w:right w:val="single" w:sz="8" w:space="0" w:color="CCCCCC"/>
            </w:tcBorders>
            <w:hideMark/>
          </w:tcPr>
          <w:p w14:paraId="48E2DE0A" w14:textId="5D7F4AAF" w:rsidR="00AD613B" w:rsidRPr="00F40E85" w:rsidRDefault="003E0C4F"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{"citationID":"5xTYTEOw","properties":{"formattedCitation":"(Barbano et al., 2024)","plainCitation":"(Barbano et al., 2024)","noteIndex":0},"citationItems":[{"id":230,"uris":["http://zotero.org/users/15620616/items/35MV8U3G"],"itemData":{"id":230,"type":"article-journal","abstract":"The morphological complexity of urban environments results in a high spatial and temporal variability of the urban microclimate. The consequent demand for high-resolution atmospheric data remains a challenge for atmospheric research and operational application. The recent widespread availability and increasing adoption of low-cost mobile sensing offer the opportunity to integrate observations from conventional monitoring networks with microclimatic and air pollution data at a finer spatial and temporal scale. So far, the relatively low quality of the measurements and outdoor performance compared to conventional instrumentation has discouraged the full deployment of mobile sensors for routine monitoring. The present study addresses the performance of a commercial mobile sensor, the MeteoTracker (IoTopon Srl), recently launched on the market to quantify the microclimatic characteristics of the outdoor environment. The sensor follows the philosophy of the Internet of Things technology, being low cost, having an automatic data flow via personal smartphones and online data sharing, supporting user-friendly software, and having the potential to be deployed in large quantities. In this paper, the outdoor performance is evaluated through tests aimed at quantifying (i) the intra-sensor variability under similar atmospheric conditions and (ii) the outdoor accuracy compared to a reference weather station under sub-optimal (in a fixed location) and optimal (mobile) sensor usage. Data-driven corrections are developed and successfully applied to improve the MeteoTracker data quality. In particular, a recursive method for the simultaneous improvement of relative humidity, dew point, and humidex index proves to be crucial for increasing the data quality. The results mark an intra-sensor variability of approximately ± 0.5 °C for air temperature and ± 1.2 % for the corrected relative humidity, both of which are within the declared sensor accuracy. The sensor captures the same atmospheric variability as the reference sensor during both fixed and mobile tests, showing positive biases (overestimation) for both variables. Through the mobile test, the outdoor accuracy is observed to be between ± 0.3 to ± 0.5 °C for air temperature and between ± 3 % and ± 5 % for the relative humidity, ranking the MeteoTracker in the real accuracy range of similar commercial sensors from the literature and making it a valid solution for atmospheric monitoring.","container-title":"Atmospheric Measurement Techniques","DOI":"10.5194/amt-17-3255-2024","ISSN":"1867-1381","issue":"10","language":"English","note":"publisher: Copernicus GmbH","page":"3255-3278","source":"Copernicus Online Journals","title":"Performance evaluation of MeteoTracker mobile sensor for outdoor applications","volume":"17","author":[{"family":"Barbano","given":"Francesco"},{"family":"Brattich","given":"Erika"},{"family":"Cintolesi","given":"Carlo"},{"family":"Ghafoor Nizamani","given":"Abdul"},{"family":"Di Sabatino","given":"Silvana"},{"family":"Milelli","given":"Massimo"},{"family":"Peerlings","given":"Esther E. M."},{"family":"Polder","given":"Sjoerd"},{"family":"Steeneveld","given":"Gert-Jan"},{"family":"Parodi","given":"Antonio"}],"issued":{"date-parts":[["2024",5,29]]}}}],"schema":"https://github.com/citation-style-language/schema/raw/master/csl-citation.json"}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sz w:val="16"/>
                <w:lang w:val="en-US"/>
              </w:rPr>
              <w:t>Barbano et al., 2024</w:t>
            </w:r>
            <w:r>
              <w:rPr>
                <w:rFonts w:ascii="Times New Roman" w:hAnsi="Times New Roman" w:cs="Times New Roman"/>
                <w:sz w:val="16"/>
                <w:szCs w:val="16"/>
                <w:lang w:val="en-US" w:eastAsia="zh-TW"/>
              </w:rPr>
              <w:fldChar w:fldCharType="end"/>
            </w:r>
          </w:p>
        </w:tc>
      </w:tr>
      <w:tr w:rsidR="009205A3" w:rsidRPr="009463F0" w14:paraId="783983F5"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6AED927D"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Davis Vantage Pro 2 Plus</w:t>
            </w:r>
          </w:p>
        </w:tc>
        <w:tc>
          <w:tcPr>
            <w:tcW w:w="2326" w:type="dxa"/>
            <w:tcBorders>
              <w:top w:val="nil"/>
              <w:left w:val="nil"/>
              <w:bottom w:val="single" w:sz="8" w:space="0" w:color="CCCCCC"/>
              <w:right w:val="single" w:sz="8" w:space="0" w:color="CCCCCC"/>
            </w:tcBorders>
            <w:hideMark/>
          </w:tcPr>
          <w:p w14:paraId="3719B461" w14:textId="6DE3073A" w:rsidR="00AD613B" w:rsidRPr="00F40E85" w:rsidRDefault="00455695"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G</w:t>
            </w:r>
          </w:p>
        </w:tc>
        <w:tc>
          <w:tcPr>
            <w:tcW w:w="2112" w:type="dxa"/>
            <w:tcBorders>
              <w:top w:val="nil"/>
              <w:left w:val="nil"/>
              <w:bottom w:val="single" w:sz="8" w:space="0" w:color="CCCCCC"/>
              <w:right w:val="single" w:sz="8" w:space="0" w:color="CCCCCC"/>
            </w:tcBorders>
            <w:hideMark/>
          </w:tcPr>
          <w:p w14:paraId="7029C786"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Silicon diode, Film capacitor, Solid state magnetic sensor</w:t>
            </w:r>
          </w:p>
        </w:tc>
        <w:tc>
          <w:tcPr>
            <w:tcW w:w="1822" w:type="dxa"/>
            <w:tcBorders>
              <w:top w:val="nil"/>
              <w:left w:val="nil"/>
              <w:bottom w:val="single" w:sz="8" w:space="0" w:color="CCCCCC"/>
              <w:right w:val="single" w:sz="8" w:space="0" w:color="CCCCCC"/>
            </w:tcBorders>
            <w:hideMark/>
          </w:tcPr>
          <w:p w14:paraId="0DD85B2A" w14:textId="566AEEB3" w:rsidR="00AD613B" w:rsidRPr="00F40E85" w:rsidRDefault="00455695"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0.3 °C; </w:t>
            </w:r>
            <w:r w:rsidR="003B7F33" w:rsidRPr="00F40E85">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2%; </w:t>
            </w:r>
            <w:r w:rsidR="003B7F33" w:rsidRPr="00F40E85">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/G: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5%</w:t>
            </w:r>
          </w:p>
        </w:tc>
        <w:tc>
          <w:tcPr>
            <w:tcW w:w="2006" w:type="dxa"/>
            <w:tcBorders>
              <w:top w:val="nil"/>
              <w:left w:val="nil"/>
              <w:bottom w:val="single" w:sz="8" w:space="0" w:color="CCCCCC"/>
              <w:right w:val="single" w:sz="8" w:space="0" w:color="CCCCCC"/>
            </w:tcBorders>
            <w:hideMark/>
          </w:tcPr>
          <w:p w14:paraId="402E1AEC"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1 min steps</w:t>
            </w:r>
          </w:p>
        </w:tc>
        <w:tc>
          <w:tcPr>
            <w:tcW w:w="1784" w:type="dxa"/>
            <w:tcBorders>
              <w:top w:val="nil"/>
              <w:left w:val="nil"/>
              <w:bottom w:val="single" w:sz="8" w:space="0" w:color="CCCCCC"/>
              <w:right w:val="single" w:sz="8" w:space="0" w:color="CCCCCC"/>
            </w:tcBorders>
            <w:hideMark/>
          </w:tcPr>
          <w:p w14:paraId="43CBA035"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Wheeled tripods</w:t>
            </w:r>
          </w:p>
        </w:tc>
        <w:tc>
          <w:tcPr>
            <w:tcW w:w="2050" w:type="dxa"/>
            <w:tcBorders>
              <w:top w:val="nil"/>
              <w:left w:val="nil"/>
              <w:bottom w:val="single" w:sz="8" w:space="0" w:color="CCCCCC"/>
              <w:right w:val="single" w:sz="8" w:space="0" w:color="CCCCCC"/>
            </w:tcBorders>
            <w:hideMark/>
          </w:tcPr>
          <w:p w14:paraId="75CDEE3D" w14:textId="6031D878" w:rsidR="00AD613B" w:rsidRPr="00F40E85" w:rsidRDefault="003546A2"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{"citationID":"Fh643F6q","properties":{"formattedCitation":"(H. Kim et al., 2022)","plainCitation":"(H. Kim et al., 2022)","noteIndex":0},"citationItems":[{"id":217,"uris":["http://zotero.org/users/15620616/items/MRHTDJQL"],"itemData":{"id":217,"type":"article-journal","abstract":"First, the contributions of spatial characteristics to microclimate were analyzed. And the results from mobile measurements were compared to those from fixed measurements to examine accuracy of mobile method. Air temperature and physiologically equivalent temperature (PET) profiles were plotted to explore the impacts of the spatial characteristics of that urban square and local street.This research investigates the effects of urban canyons and landscape on air temperature and outdoor thermal comfort in an open square in Seoul, Korea, a city of diverse thermal environments. Mobile field measurements were carried out to obtain local meteorological data based on higher spatial resolution.On a day in October under clear sky, air temperature and PET differences of up to 1.77 °C and 9.6 °C were observed at 2 p.m. and 3 p.m., respectively. These were mainly from the impact of shading effects caused by surrounding obstacles. The current layout and volume of vegetation in the square seemed not effective for reducing air temperature and improving thermal comfort, which needs further study.The authors tested a way to investigate time delay when using mobile measurements by correcting measured local data using adjacent meteorological observatory data. The findings of and limitations on mobile station-based field measurement and analysis are discussed herein.","container-title":"Open House International","DOI":"10.1108/OHI-12-2021-0280","ISSN":"0168-2601","issue":"3","journalAbbreviation":"Open House International","page":"473-493","source":"Silverchair","title":"Findings from a field study of urban microclimate in Korea using mobile meteorological measurements","volume":"47","author":[{"family":"Kim","given":"Hyoungsub"},{"family":"Kim","given":"Se Woong"},{"family":"Jo","given":"Yongjun"},{"family":"Kim","given":"Eujin Julia"}],"issued":{"date-parts":[["2022",4,19]]}}}],"schema":"https://github.com/citation-style-language/schema/raw/master/csl-citation.json"} </w:instrText>
            </w:r>
            <w:r>
              <w:rPr>
                <w:rFonts w:ascii="Times New Roman" w:hAnsi="Times New Roman" w:cs="Times New Roman"/>
                <w:sz w:val="16"/>
                <w:szCs w:val="16"/>
                <w:lang w:val="en-US" w:eastAsia="zh-TW"/>
              </w:rPr>
              <w:fldChar w:fldCharType="separate"/>
            </w:r>
            <w:r w:rsidRPr="003546A2">
              <w:rPr>
                <w:rFonts w:ascii="Times New Roman" w:hAnsi="Times New Roman" w:cs="Times New Roman"/>
                <w:sz w:val="16"/>
              </w:rPr>
              <w:t>Kim et al., 2022</w:t>
            </w:r>
            <w:r>
              <w:rPr>
                <w:rFonts w:ascii="Times New Roman" w:hAnsi="Times New Roman" w:cs="Times New Roman"/>
                <w:sz w:val="16"/>
                <w:szCs w:val="16"/>
                <w:lang w:val="en-US" w:eastAsia="zh-TW"/>
              </w:rPr>
              <w:fldChar w:fldCharType="end"/>
            </w:r>
          </w:p>
        </w:tc>
      </w:tr>
      <w:tr w:rsidR="009205A3" w:rsidRPr="009463F0" w14:paraId="29006A33"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51883A20"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Atmos 41</w:t>
            </w:r>
          </w:p>
        </w:tc>
        <w:tc>
          <w:tcPr>
            <w:tcW w:w="2326" w:type="dxa"/>
            <w:tcBorders>
              <w:top w:val="nil"/>
              <w:left w:val="nil"/>
              <w:bottom w:val="single" w:sz="8" w:space="0" w:color="CCCCCC"/>
              <w:right w:val="single" w:sz="8" w:space="0" w:color="CCCCCC"/>
            </w:tcBorders>
            <w:hideMark/>
          </w:tcPr>
          <w:p w14:paraId="722ABBA8" w14:textId="0081621E" w:rsidR="00AD613B" w:rsidRPr="00F40E85" w:rsidRDefault="00455695" w:rsidP="00F40E85">
            <w:pPr>
              <w:pStyle w:val="NoSpacing"/>
              <w:rPr>
                <w:rFonts w:ascii="Times New Roman" w:hAnsi="Times New Roman" w:cs="Times New Roman"/>
                <w:sz w:val="16"/>
                <w:szCs w:val="16"/>
                <w:lang w:eastAsia="zh-TW"/>
              </w:rPr>
            </w:pPr>
            <w:r w:rsidRPr="00F40E85">
              <w:rPr>
                <w:rFonts w:ascii="Times New Roman" w:hAnsi="Times New Roman" w:cs="Times New Roman"/>
                <w:sz w:val="16"/>
                <w:szCs w:val="16"/>
                <w:lang w:eastAsia="zh-TW"/>
              </w:rPr>
              <w:t>T</w:t>
            </w:r>
            <w:r w:rsidRPr="00F40E85">
              <w:rPr>
                <w:rFonts w:ascii="Times New Roman" w:hAnsi="Times New Roman" w:cs="Times New Roman"/>
                <w:sz w:val="16"/>
                <w:szCs w:val="16"/>
                <w:vertAlign w:val="subscript"/>
                <w:lang w:eastAsia="zh-TW"/>
              </w:rPr>
              <w:t>a</w:t>
            </w:r>
            <w:r w:rsidR="00AD613B" w:rsidRPr="00F40E85">
              <w:rPr>
                <w:rFonts w:ascii="Times New Roman" w:hAnsi="Times New Roman" w:cs="Times New Roman"/>
                <w:sz w:val="16"/>
                <w:szCs w:val="16"/>
                <w:lang w:eastAsia="zh-TW"/>
              </w:rPr>
              <w:t xml:space="preserve">, </w:t>
            </w:r>
            <w:r w:rsidR="003B7F33" w:rsidRPr="00F40E85">
              <w:rPr>
                <w:rFonts w:ascii="Times New Roman" w:hAnsi="Times New Roman" w:cs="Times New Roman"/>
                <w:sz w:val="16"/>
                <w:szCs w:val="16"/>
                <w:lang w:eastAsia="zh-TW"/>
              </w:rPr>
              <w:t>RH</w:t>
            </w:r>
            <w:r w:rsidR="00AD613B" w:rsidRPr="00F40E85">
              <w:rPr>
                <w:rFonts w:ascii="Times New Roman" w:hAnsi="Times New Roman" w:cs="Times New Roman"/>
                <w:sz w:val="16"/>
                <w:szCs w:val="16"/>
                <w:lang w:eastAsia="zh-TW"/>
              </w:rPr>
              <w:t xml:space="preserve">, </w:t>
            </w:r>
            <w:r w:rsidR="009E3194" w:rsidRPr="00F40E85">
              <w:rPr>
                <w:rFonts w:ascii="Times New Roman" w:hAnsi="Times New Roman" w:cs="Times New Roman"/>
                <w:sz w:val="16"/>
                <w:szCs w:val="16"/>
                <w:lang w:eastAsia="zh-TW"/>
              </w:rPr>
              <w:t>v</w:t>
            </w:r>
            <w:r w:rsidR="00AD613B" w:rsidRPr="00F40E85">
              <w:rPr>
                <w:rFonts w:ascii="Times New Roman" w:hAnsi="Times New Roman" w:cs="Times New Roman"/>
                <w:sz w:val="16"/>
                <w:szCs w:val="16"/>
                <w:lang w:eastAsia="zh-TW"/>
              </w:rPr>
              <w:t xml:space="preserve">, </w:t>
            </w:r>
            <w:r w:rsidR="009E3194">
              <w:rPr>
                <w:rFonts w:ascii="Times New Roman" w:hAnsi="Times New Roman" w:cs="Times New Roman"/>
                <w:sz w:val="16"/>
                <w:szCs w:val="16"/>
                <w:lang w:eastAsia="zh-TW"/>
              </w:rPr>
              <w:t>G</w:t>
            </w:r>
          </w:p>
        </w:tc>
        <w:tc>
          <w:tcPr>
            <w:tcW w:w="2112" w:type="dxa"/>
            <w:tcBorders>
              <w:top w:val="nil"/>
              <w:left w:val="nil"/>
              <w:bottom w:val="single" w:sz="8" w:space="0" w:color="CCCCCC"/>
              <w:right w:val="single" w:sz="8" w:space="0" w:color="CCCCCC"/>
            </w:tcBorders>
            <w:hideMark/>
          </w:tcPr>
          <w:p w14:paraId="6C6E1AA8"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Integrated weather station</w:t>
            </w:r>
          </w:p>
        </w:tc>
        <w:tc>
          <w:tcPr>
            <w:tcW w:w="1822" w:type="dxa"/>
            <w:tcBorders>
              <w:top w:val="nil"/>
              <w:left w:val="nil"/>
              <w:bottom w:val="single" w:sz="8" w:space="0" w:color="CCCCCC"/>
              <w:right w:val="single" w:sz="8" w:space="0" w:color="CCCCCC"/>
            </w:tcBorders>
            <w:hideMark/>
          </w:tcPr>
          <w:p w14:paraId="57019E55" w14:textId="1981B7B1" w:rsidR="00AD613B" w:rsidRPr="00F40E85" w:rsidRDefault="00455695"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0.6 °C; </w:t>
            </w:r>
            <w:r w:rsidR="003B7F33" w:rsidRPr="00F40E85">
              <w:rPr>
                <w:rFonts w:ascii="Times New Roman" w:hAnsi="Times New Roman" w:cs="Times New Roman"/>
                <w:sz w:val="16"/>
                <w:szCs w:val="16"/>
                <w:lang w:val="en-US" w:eastAsia="zh-TW"/>
              </w:rPr>
              <w:t>RH</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1.5%; </w:t>
            </w:r>
            <w:r w:rsidR="003B7F33" w:rsidRPr="00F40E85">
              <w:rPr>
                <w:rFonts w:ascii="Times New Roman" w:hAnsi="Times New Roman" w:cs="Times New Roman"/>
                <w:sz w:val="16"/>
                <w:szCs w:val="16"/>
                <w:lang w:val="en-US" w:eastAsia="zh-TW"/>
              </w:rPr>
              <w:t>v</w:t>
            </w:r>
            <w:r w:rsidR="00AD613B" w:rsidRPr="00F40E85">
              <w:rPr>
                <w:rFonts w:ascii="Times New Roman" w:hAnsi="Times New Roman" w:cs="Times New Roman"/>
                <w:sz w:val="16"/>
                <w:szCs w:val="16"/>
                <w:lang w:val="en-US" w:eastAsia="zh-TW"/>
              </w:rPr>
              <w:t xml:space="preserve">: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3%; G: </w:t>
            </w:r>
            <w:r w:rsidR="003B7F33" w:rsidRPr="00F40E85">
              <w:rPr>
                <w:rFonts w:ascii="Times New Roman" w:hAnsi="Times New Roman" w:cs="Times New Roman"/>
                <w:sz w:val="16"/>
                <w:szCs w:val="16"/>
                <w:lang w:val="en-US" w:eastAsia="zh-TW"/>
              </w:rPr>
              <w:t>±</w:t>
            </w:r>
            <w:r w:rsidR="00AD613B" w:rsidRPr="00F40E85">
              <w:rPr>
                <w:rFonts w:ascii="Times New Roman" w:hAnsi="Times New Roman" w:cs="Times New Roman"/>
                <w:sz w:val="16"/>
                <w:szCs w:val="16"/>
                <w:lang w:val="en-US" w:eastAsia="zh-TW"/>
              </w:rPr>
              <w:t xml:space="preserve"> 5%</w:t>
            </w:r>
          </w:p>
        </w:tc>
        <w:tc>
          <w:tcPr>
            <w:tcW w:w="2006" w:type="dxa"/>
            <w:tcBorders>
              <w:top w:val="nil"/>
              <w:left w:val="nil"/>
              <w:bottom w:val="single" w:sz="8" w:space="0" w:color="CCCCCC"/>
              <w:right w:val="single" w:sz="8" w:space="0" w:color="CCCCCC"/>
            </w:tcBorders>
            <w:hideMark/>
          </w:tcPr>
          <w:p w14:paraId="74241418"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1 min</w:t>
            </w:r>
          </w:p>
        </w:tc>
        <w:tc>
          <w:tcPr>
            <w:tcW w:w="1784" w:type="dxa"/>
            <w:tcBorders>
              <w:top w:val="nil"/>
              <w:left w:val="nil"/>
              <w:bottom w:val="single" w:sz="8" w:space="0" w:color="CCCCCC"/>
              <w:right w:val="single" w:sz="8" w:space="0" w:color="CCCCCC"/>
            </w:tcBorders>
            <w:hideMark/>
          </w:tcPr>
          <w:p w14:paraId="2723C82B" w14:textId="77777777" w:rsidR="00AD613B" w:rsidRPr="00F40E85" w:rsidRDefault="00AD613B" w:rsidP="00F40E85">
            <w:pPr>
              <w:pStyle w:val="NoSpacing"/>
              <w:rPr>
                <w:rFonts w:ascii="Times New Roman" w:hAnsi="Times New Roman" w:cs="Times New Roman"/>
                <w:sz w:val="16"/>
                <w:szCs w:val="16"/>
                <w:lang w:val="en-US" w:eastAsia="zh-TW"/>
              </w:rPr>
            </w:pPr>
            <w:r w:rsidRPr="00F40E85">
              <w:rPr>
                <w:rFonts w:ascii="Times New Roman" w:hAnsi="Times New Roman" w:cs="Times New Roman"/>
                <w:sz w:val="16"/>
                <w:szCs w:val="16"/>
                <w:lang w:val="en-US" w:eastAsia="zh-TW"/>
              </w:rPr>
              <w:t>Wheeled tripods (1.1 m)</w:t>
            </w:r>
          </w:p>
        </w:tc>
        <w:tc>
          <w:tcPr>
            <w:tcW w:w="2050" w:type="dxa"/>
            <w:tcBorders>
              <w:top w:val="nil"/>
              <w:left w:val="nil"/>
              <w:bottom w:val="single" w:sz="8" w:space="0" w:color="CCCCCC"/>
              <w:right w:val="single" w:sz="8" w:space="0" w:color="CCCCCC"/>
            </w:tcBorders>
            <w:hideMark/>
          </w:tcPr>
          <w:p w14:paraId="22C2DF62" w14:textId="055863B0" w:rsidR="00AD613B" w:rsidRPr="00F40E85" w:rsidRDefault="003546A2" w:rsidP="00F40E85">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{"citationID":"fpzVlY7x","properties":{"formattedCitation":"(E. J. Kim &amp; Kim, 2024)","plainCitation":"(E. J. Kim &amp; Kim, 2024)","noteIndex":0},"citationItems":[{"id":231,"uris":["http://zotero.org/users/15620616/items/DENDY42D"],"itemData":{"id":231,"type":"article-journal","abstract":"This study evaluates the reliability of the “Go-and-Stop” mobile method for collecting spatial thermal data in urban environments. Field measurements were conducted using six fixed weather stations installed in diverse spatial contexts and a mobile station following a route on a university campus in South Korea. While the mobile station accurately measured air temperature (Ta), wind speed (Va) exhibited variability, with errors between 25 % and 36 %, indicating a need for improved techniques. Globe temperature (GT) and mean radiant temperature (MRT) showed lower accuracy under lower sky view factor (SVF) (&lt; 0.2) compared to areas with higher SVF (&gt; 0.5). Statistical analysis confirmed that spatial factors like SVF affect accuracy, with a tendency to underestimate cooling effects in shaded areas using mobile measurements. In shaded and windy areas under building piloti, GT and MRT predictions were insignificant, requiring supplementary fixed measurements. The results highlight that in high SVF areas, GT and MRT accuracy aligns with Ta, while further research is needed in low SVF conditions. This study confirms the effectiveness of the Go-and-Stop method, taking into account spatial characteristics (e.g., SVF), while also identifying its limitations.","container-title":"Urban Climate","DOI":"10.1016/j.uclim.2024.102154","ISSN":"2212-0955","journalAbbreviation":"Urban Climate","page":"102154","source":"ScienceDirect","title":"Walking-based mobile measurement: Examining its reliability for spatial thermal characteristics in urban environments","title-short":"Walking-based mobile measurement","volume":"58","author":[{"family":"Kim","given":"Eujin Julia"},{"family":"Kim","given":"Hyoungsub"}],"issued":{"date-parts":[["2024",11,1]]}}}],"schema":"https://github.com/citation-style-language/schema/raw/master/csl-citation.json"} </w:instrText>
            </w:r>
            <w:r>
              <w:rPr>
                <w:rFonts w:ascii="Times New Roman" w:hAnsi="Times New Roman" w:cs="Times New Roman"/>
                <w:sz w:val="16"/>
                <w:szCs w:val="16"/>
                <w:lang w:val="en-US" w:eastAsia="zh-TW"/>
              </w:rPr>
              <w:fldChar w:fldCharType="separate"/>
            </w:r>
            <w:r w:rsidRPr="003546A2">
              <w:rPr>
                <w:rFonts w:ascii="Times New Roman" w:hAnsi="Times New Roman" w:cs="Times New Roman"/>
                <w:sz w:val="16"/>
              </w:rPr>
              <w:t>Kim &amp; Kim, 2024</w:t>
            </w:r>
            <w:r>
              <w:rPr>
                <w:rFonts w:ascii="Times New Roman" w:hAnsi="Times New Roman" w:cs="Times New Roman"/>
                <w:sz w:val="16"/>
                <w:szCs w:val="16"/>
                <w:lang w:val="en-US" w:eastAsia="zh-TW"/>
              </w:rPr>
              <w:fldChar w:fldCharType="end"/>
            </w:r>
          </w:p>
        </w:tc>
      </w:tr>
      <w:tr w:rsidR="003A2329" w:rsidRPr="009463F0" w14:paraId="4C081C81" w14:textId="77777777" w:rsidTr="00F40E85">
        <w:trPr>
          <w:trHeight w:val="144"/>
        </w:trPr>
        <w:tc>
          <w:tcPr>
            <w:tcW w:w="1840" w:type="dxa"/>
            <w:tcBorders>
              <w:top w:val="nil"/>
              <w:left w:val="single" w:sz="8" w:space="0" w:color="CCCCCC"/>
              <w:bottom w:val="single" w:sz="8" w:space="0" w:color="CCCCCC"/>
              <w:right w:val="single" w:sz="8" w:space="0" w:color="CCCCCC"/>
            </w:tcBorders>
            <w:hideMark/>
          </w:tcPr>
          <w:p w14:paraId="03F9137B" w14:textId="77777777" w:rsidR="003A2329" w:rsidRPr="00815B93" w:rsidRDefault="003A2329" w:rsidP="00C12D47">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LI-COR LI-1500</w:t>
            </w:r>
          </w:p>
        </w:tc>
        <w:tc>
          <w:tcPr>
            <w:tcW w:w="2326" w:type="dxa"/>
            <w:tcBorders>
              <w:top w:val="nil"/>
              <w:left w:val="nil"/>
              <w:bottom w:val="single" w:sz="8" w:space="0" w:color="CCCCCC"/>
              <w:right w:val="single" w:sz="8" w:space="0" w:color="CCCCCC"/>
            </w:tcBorders>
            <w:hideMark/>
          </w:tcPr>
          <w:p w14:paraId="056CF947" w14:textId="197EFAA1" w:rsidR="003A2329" w:rsidRPr="00815B93" w:rsidRDefault="009E3194" w:rsidP="00C12D47">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G</w:t>
            </w:r>
            <w:r w:rsidR="003A2329" w:rsidRPr="00815B93">
              <w:rPr>
                <w:rFonts w:ascii="Times New Roman" w:hAnsi="Times New Roman" w:cs="Times New Roman"/>
                <w:sz w:val="16"/>
                <w:szCs w:val="16"/>
                <w:lang w:val="en-US" w:eastAsia="zh-TW"/>
              </w:rPr>
              <w:t>, GPS tagging</w:t>
            </w:r>
          </w:p>
        </w:tc>
        <w:tc>
          <w:tcPr>
            <w:tcW w:w="2112" w:type="dxa"/>
            <w:tcBorders>
              <w:top w:val="nil"/>
              <w:left w:val="nil"/>
              <w:bottom w:val="single" w:sz="8" w:space="0" w:color="CCCCCC"/>
              <w:right w:val="single" w:sz="8" w:space="0" w:color="CCCCCC"/>
            </w:tcBorders>
            <w:hideMark/>
          </w:tcPr>
          <w:p w14:paraId="40A3D6FC" w14:textId="77777777" w:rsidR="003A2329" w:rsidRPr="00F40E85" w:rsidRDefault="003A2329" w:rsidP="00C12D47">
            <w:pPr>
              <w:pStyle w:val="NoSpacing"/>
              <w:rPr>
                <w:rFonts w:ascii="Times New Roman" w:hAnsi="Times New Roman" w:cs="Times New Roman"/>
                <w:sz w:val="16"/>
                <w:szCs w:val="16"/>
                <w:lang w:eastAsia="zh-TW"/>
              </w:rPr>
            </w:pPr>
            <w:r w:rsidRPr="00F40E85">
              <w:rPr>
                <w:rFonts w:ascii="Times New Roman" w:hAnsi="Times New Roman" w:cs="Times New Roman"/>
                <w:sz w:val="16"/>
                <w:szCs w:val="16"/>
                <w:lang w:eastAsia="zh-TW"/>
              </w:rPr>
              <w:t>Pyranometer LI-200R, RADIONOVA RF Antenna</w:t>
            </w:r>
          </w:p>
        </w:tc>
        <w:tc>
          <w:tcPr>
            <w:tcW w:w="1822" w:type="dxa"/>
            <w:tcBorders>
              <w:top w:val="nil"/>
              <w:left w:val="nil"/>
              <w:bottom w:val="single" w:sz="8" w:space="0" w:color="CCCCCC"/>
              <w:right w:val="single" w:sz="8" w:space="0" w:color="CCCCCC"/>
            </w:tcBorders>
            <w:hideMark/>
          </w:tcPr>
          <w:p w14:paraId="687B523E" w14:textId="3ED02BF9" w:rsidR="003A2329" w:rsidRPr="00815B93" w:rsidRDefault="003A2329" w:rsidP="00C12D47">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G</w:t>
            </w:r>
            <w:r w:rsidRPr="00815B93">
              <w:rPr>
                <w:rFonts w:ascii="Times New Roman" w:hAnsi="Times New Roman" w:cs="Times New Roman"/>
                <w:sz w:val="16"/>
                <w:szCs w:val="16"/>
                <w:lang w:val="en-US" w:eastAsia="zh-TW"/>
              </w:rPr>
              <w:t xml:space="preserve">: 0.183 </w:t>
            </w:r>
            <w:r w:rsidRPr="00F40E85">
              <w:rPr>
                <w:rFonts w:ascii="Times New Roman" w:hAnsi="Times New Roman" w:cs="Times New Roman"/>
                <w:sz w:val="16"/>
                <w:szCs w:val="16"/>
                <w:lang w:val="en-US" w:eastAsia="zh-TW"/>
              </w:rPr>
              <w:t>W/m</w:t>
            </w:r>
            <w:r w:rsidRPr="00F40E85">
              <w:rPr>
                <w:rFonts w:ascii="Times New Roman" w:hAnsi="Times New Roman" w:cs="Times New Roman"/>
                <w:sz w:val="16"/>
                <w:szCs w:val="16"/>
                <w:vertAlign w:val="superscript"/>
                <w:lang w:val="en-US" w:eastAsia="zh-TW"/>
              </w:rPr>
              <w:t>2</w:t>
            </w:r>
            <w:r w:rsidRPr="00815B93">
              <w:rPr>
                <w:rFonts w:ascii="Times New Roman" w:hAnsi="Times New Roman" w:cs="Times New Roman"/>
                <w:sz w:val="16"/>
                <w:szCs w:val="16"/>
                <w:lang w:val="en-US" w:eastAsia="zh-TW"/>
              </w:rPr>
              <w:t>; GPS: 2.5 m</w:t>
            </w:r>
          </w:p>
        </w:tc>
        <w:tc>
          <w:tcPr>
            <w:tcW w:w="2006" w:type="dxa"/>
            <w:tcBorders>
              <w:top w:val="nil"/>
              <w:left w:val="nil"/>
              <w:bottom w:val="single" w:sz="8" w:space="0" w:color="CCCCCC"/>
              <w:right w:val="single" w:sz="8" w:space="0" w:color="CCCCCC"/>
            </w:tcBorders>
            <w:hideMark/>
          </w:tcPr>
          <w:p w14:paraId="5E0F066A" w14:textId="77777777" w:rsidR="003A2329" w:rsidRPr="00815B93" w:rsidRDefault="003A2329" w:rsidP="00C12D47">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5 s steps</w:t>
            </w:r>
          </w:p>
        </w:tc>
        <w:tc>
          <w:tcPr>
            <w:tcW w:w="1784" w:type="dxa"/>
            <w:tcBorders>
              <w:top w:val="nil"/>
              <w:left w:val="nil"/>
              <w:bottom w:val="single" w:sz="8" w:space="0" w:color="CCCCCC"/>
              <w:right w:val="single" w:sz="8" w:space="0" w:color="CCCCCC"/>
            </w:tcBorders>
            <w:hideMark/>
          </w:tcPr>
          <w:p w14:paraId="0175EDF3" w14:textId="77777777" w:rsidR="003A2329" w:rsidRPr="00815B93" w:rsidRDefault="003A2329" w:rsidP="00C12D47">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Backpack</w:t>
            </w:r>
          </w:p>
        </w:tc>
        <w:tc>
          <w:tcPr>
            <w:tcW w:w="2050" w:type="dxa"/>
            <w:tcBorders>
              <w:top w:val="nil"/>
              <w:left w:val="nil"/>
              <w:bottom w:val="single" w:sz="8" w:space="0" w:color="CCCCCC"/>
              <w:right w:val="single" w:sz="8" w:space="0" w:color="CCCCCC"/>
            </w:tcBorders>
            <w:hideMark/>
          </w:tcPr>
          <w:p w14:paraId="243623CC" w14:textId="1718C51D" w:rsidR="003A2329" w:rsidRPr="00815B93" w:rsidRDefault="003546A2" w:rsidP="00C12D47">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{"citationID":"IsDc1tcu","properties":{"formattedCitation":"(Chokhachian et al., 2018)","plainCitation":"(Chokhachian et al., 2018)","noteIndex":0},"citationItems":[{"id":246,"uris":["http://zotero.org/users/15620616/items/3L5S7T4W"],"itemData":{"id":246,"type":"article-journal","abstract":"Studies on microclimate of cities have already proved that pedestrian thermal comfort is function of built environment and it is fundamental to understand this phenomena both with numerical techniques and field measurements to achieve comfortable, healthier and more livable urban spaces. There has been wide variety of methods to approach this question that how people react or behave in transient outdoor condition since most of the thermal comfort studies perceive pedestrian thermal comfort as “static” phenomena. The application of thermal comfort monitoring in transient conditions is limited due to complexity of the task and instrumental setup which leads to lack of understanding about how pedestrians compensate heat loads. This study contributes in two directions, first to setup a georeferenced environmental monitoring equipment as a methodology and second to use the toolkit to have better understanding of dynamic thermal comfort and the thresholds for tolerance to thermal discomfort.","container-title":"Journal of Building Engineering","DOI":"10.1016/j.jobe.2018.07.003","ISSN":"2352-7102","journalAbbreviation":"Journal of Building Engineering","page":"94-104","source":"ScienceDirect","title":"Sensing transient outdoor comfort: A georeferenced method to monitor and map microclimate","title-short":"Sensing transient outdoor comfort","volume":"20","author":[{"family":"Chokhachian","given":"Ata"},{"family":"Ka-Lun Lau","given":"Kevin"},{"family":"Perini","given":"Katia"},{"family":"Auer","given":"Thomas"}],"issued":{"date-parts":[["2018",11,1]]}}}],"schema":"https://github.com/citation-style-language/schema/raw/master/csl-citation.json"} </w:instrText>
            </w:r>
            <w:r>
              <w:rPr>
                <w:rFonts w:ascii="Times New Roman" w:hAnsi="Times New Roman" w:cs="Times New Roman"/>
                <w:sz w:val="16"/>
                <w:szCs w:val="16"/>
                <w:lang w:val="en-US" w:eastAsia="zh-TW"/>
              </w:rPr>
              <w:fldChar w:fldCharType="separate"/>
            </w:r>
            <w:r w:rsidRPr="003546A2">
              <w:rPr>
                <w:rFonts w:ascii="Times New Roman" w:hAnsi="Times New Roman" w:cs="Times New Roman"/>
                <w:sz w:val="16"/>
              </w:rPr>
              <w:t>Chokhachian et al., 2018</w:t>
            </w:r>
            <w:r>
              <w:rPr>
                <w:rFonts w:ascii="Times New Roman" w:hAnsi="Times New Roman" w:cs="Times New Roman"/>
                <w:sz w:val="16"/>
                <w:szCs w:val="16"/>
                <w:lang w:val="en-US" w:eastAsia="zh-TW"/>
              </w:rPr>
              <w:fldChar w:fldCharType="end"/>
            </w:r>
          </w:p>
        </w:tc>
      </w:tr>
    </w:tbl>
    <w:p w14:paraId="7822C54F" w14:textId="77777777" w:rsidR="00F95253" w:rsidRDefault="00F95253" w:rsidP="005B09FD">
      <w:pPr>
        <w:pStyle w:val="NoSpacing"/>
        <w:spacing w:line="360" w:lineRule="auto"/>
        <w:ind w:left="360" w:hanging="360"/>
        <w:rPr>
          <w:rFonts w:ascii="Times New Roman" w:hAnsi="Times New Roman" w:cs="Times New Roman"/>
          <w:sz w:val="20"/>
          <w:szCs w:val="20"/>
          <w:lang w:val="en-GB"/>
        </w:rPr>
      </w:pPr>
    </w:p>
    <w:p w14:paraId="57AE6EC2" w14:textId="77777777" w:rsidR="003546A2" w:rsidRDefault="003546A2">
      <w:pPr>
        <w:rPr>
          <w:rFonts w:ascii="Times New Roman" w:hAnsi="Times New Roman" w:cs="Times New Roman"/>
          <w:b/>
          <w:bCs/>
          <w:i/>
          <w:iCs/>
          <w:lang w:val="en-GB"/>
        </w:rPr>
      </w:pPr>
      <w:r>
        <w:rPr>
          <w:rFonts w:ascii="Times New Roman" w:hAnsi="Times New Roman" w:cs="Times New Roman"/>
          <w:b/>
          <w:bCs/>
          <w:i/>
          <w:iCs/>
          <w:lang w:val="en-GB"/>
        </w:rPr>
        <w:br w:type="page"/>
      </w:r>
    </w:p>
    <w:p w14:paraId="465DE5C4" w14:textId="0EF7E8E6" w:rsidR="001218B9" w:rsidRPr="00F40E85" w:rsidRDefault="009463F0" w:rsidP="00F40E85">
      <w:pPr>
        <w:spacing w:line="360" w:lineRule="auto"/>
        <w:jc w:val="both"/>
        <w:rPr>
          <w:rFonts w:ascii="Times New Roman" w:hAnsi="Times New Roman" w:cs="Times New Roman"/>
          <w:i/>
          <w:iCs/>
          <w:lang w:val="en-GB"/>
        </w:rPr>
      </w:pPr>
      <w:r w:rsidRPr="00B74585">
        <w:rPr>
          <w:rFonts w:ascii="Times New Roman" w:hAnsi="Times New Roman" w:cs="Times New Roman"/>
          <w:b/>
          <w:bCs/>
          <w:i/>
          <w:iCs/>
          <w:lang w:val="en-GB"/>
        </w:rPr>
        <w:lastRenderedPageBreak/>
        <w:t xml:space="preserve">Table </w:t>
      </w:r>
      <w:r>
        <w:rPr>
          <w:rFonts w:ascii="Times New Roman" w:hAnsi="Times New Roman" w:cs="Times New Roman"/>
          <w:b/>
          <w:bCs/>
          <w:i/>
          <w:iCs/>
          <w:lang w:val="en-GB"/>
        </w:rPr>
        <w:t>S</w:t>
      </w:r>
      <w:r w:rsidRPr="00B74585">
        <w:rPr>
          <w:rFonts w:ascii="Times New Roman" w:hAnsi="Times New Roman" w:cs="Times New Roman"/>
          <w:b/>
          <w:bCs/>
          <w:i/>
          <w:iCs/>
          <w:lang w:val="en-GB"/>
        </w:rPr>
        <w:t>1</w:t>
      </w:r>
      <w:r>
        <w:rPr>
          <w:rFonts w:ascii="Times New Roman" w:hAnsi="Times New Roman" w:cs="Times New Roman"/>
          <w:b/>
          <w:bCs/>
          <w:i/>
          <w:iCs/>
          <w:lang w:val="en-GB"/>
        </w:rPr>
        <w:t xml:space="preserve"> (continued)</w:t>
      </w:r>
      <w:r w:rsidRPr="00B74585">
        <w:rPr>
          <w:rFonts w:ascii="Times New Roman" w:hAnsi="Times New Roman" w:cs="Times New Roman"/>
          <w:b/>
          <w:bCs/>
          <w:i/>
          <w:iCs/>
          <w:lang w:val="en-GB"/>
        </w:rPr>
        <w:t>.</w:t>
      </w:r>
      <w:r w:rsidRPr="00B74585">
        <w:rPr>
          <w:rFonts w:ascii="Times New Roman" w:hAnsi="Times New Roman" w:cs="Times New Roman"/>
          <w:i/>
          <w:iCs/>
          <w:lang w:val="en-GB"/>
        </w:rPr>
        <w:t xml:space="preserve"> </w:t>
      </w:r>
      <w:r>
        <w:rPr>
          <w:rFonts w:ascii="Times New Roman" w:hAnsi="Times New Roman" w:cs="Times New Roman"/>
          <w:i/>
          <w:iCs/>
          <w:lang w:val="en-GB"/>
        </w:rPr>
        <w:t>Comparison of instruments employed in studies covered by the present study</w:t>
      </w:r>
      <w:r w:rsidRPr="00B74585">
        <w:rPr>
          <w:rFonts w:ascii="Times New Roman" w:hAnsi="Times New Roman" w:cs="Times New Roman"/>
          <w:i/>
          <w:iCs/>
          <w:lang w:val="en-GB"/>
        </w:rPr>
        <w:t>.</w:t>
      </w:r>
    </w:p>
    <w:tbl>
      <w:tblPr>
        <w:tblW w:w="13940" w:type="dxa"/>
        <w:tblLook w:val="04A0" w:firstRow="1" w:lastRow="0" w:firstColumn="1" w:lastColumn="0" w:noHBand="0" w:noVBand="1"/>
      </w:tblPr>
      <w:tblGrid>
        <w:gridCol w:w="1840"/>
        <w:gridCol w:w="2326"/>
        <w:gridCol w:w="2112"/>
        <w:gridCol w:w="1822"/>
        <w:gridCol w:w="2006"/>
        <w:gridCol w:w="1784"/>
        <w:gridCol w:w="2050"/>
      </w:tblGrid>
      <w:tr w:rsidR="001218B9" w:rsidRPr="003E0C4F" w14:paraId="4826F2A7" w14:textId="77777777" w:rsidTr="00815B93">
        <w:trPr>
          <w:trHeight w:val="144"/>
        </w:trPr>
        <w:tc>
          <w:tcPr>
            <w:tcW w:w="1840" w:type="dxa"/>
            <w:tcBorders>
              <w:top w:val="single" w:sz="8" w:space="0" w:color="CCCCCC"/>
              <w:left w:val="single" w:sz="8" w:space="0" w:color="CCCCCC"/>
              <w:bottom w:val="single" w:sz="8" w:space="0" w:color="CCCCCC"/>
              <w:right w:val="single" w:sz="8" w:space="0" w:color="CCCCCC"/>
            </w:tcBorders>
            <w:vAlign w:val="bottom"/>
            <w:hideMark/>
          </w:tcPr>
          <w:p w14:paraId="27346439"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Instrument/Logger</w:t>
            </w:r>
          </w:p>
        </w:tc>
        <w:tc>
          <w:tcPr>
            <w:tcW w:w="2326" w:type="dxa"/>
            <w:tcBorders>
              <w:top w:val="single" w:sz="8" w:space="0" w:color="CCCCCC"/>
              <w:left w:val="nil"/>
              <w:bottom w:val="single" w:sz="8" w:space="0" w:color="CCCCCC"/>
              <w:right w:val="single" w:sz="8" w:space="0" w:color="CCCCCC"/>
            </w:tcBorders>
            <w:vAlign w:val="bottom"/>
            <w:hideMark/>
          </w:tcPr>
          <w:p w14:paraId="1FF5AB49"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Parameters Measured</w:t>
            </w:r>
          </w:p>
        </w:tc>
        <w:tc>
          <w:tcPr>
            <w:tcW w:w="2112" w:type="dxa"/>
            <w:tcBorders>
              <w:top w:val="single" w:sz="8" w:space="0" w:color="CCCCCC"/>
              <w:left w:val="nil"/>
              <w:bottom w:val="single" w:sz="8" w:space="0" w:color="CCCCCC"/>
              <w:right w:val="single" w:sz="8" w:space="0" w:color="CCCCCC"/>
            </w:tcBorders>
            <w:vAlign w:val="bottom"/>
            <w:hideMark/>
          </w:tcPr>
          <w:p w14:paraId="2EB8DB6C"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Sensor Type</w:t>
            </w:r>
          </w:p>
        </w:tc>
        <w:tc>
          <w:tcPr>
            <w:tcW w:w="1822" w:type="dxa"/>
            <w:tcBorders>
              <w:top w:val="single" w:sz="8" w:space="0" w:color="CCCCCC"/>
              <w:left w:val="nil"/>
              <w:bottom w:val="single" w:sz="8" w:space="0" w:color="CCCCCC"/>
              <w:right w:val="single" w:sz="8" w:space="0" w:color="CCCCCC"/>
            </w:tcBorders>
            <w:vAlign w:val="bottom"/>
            <w:hideMark/>
          </w:tcPr>
          <w:p w14:paraId="04C69827"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Accuracy</w:t>
            </w:r>
          </w:p>
        </w:tc>
        <w:tc>
          <w:tcPr>
            <w:tcW w:w="2006" w:type="dxa"/>
            <w:tcBorders>
              <w:top w:val="single" w:sz="8" w:space="0" w:color="CCCCCC"/>
              <w:left w:val="nil"/>
              <w:bottom w:val="single" w:sz="8" w:space="0" w:color="CCCCCC"/>
              <w:right w:val="single" w:sz="8" w:space="0" w:color="CCCCCC"/>
            </w:tcBorders>
            <w:vAlign w:val="bottom"/>
            <w:hideMark/>
          </w:tcPr>
          <w:p w14:paraId="51C7C272"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Sampling/Response Time</w:t>
            </w:r>
          </w:p>
        </w:tc>
        <w:tc>
          <w:tcPr>
            <w:tcW w:w="1784" w:type="dxa"/>
            <w:tcBorders>
              <w:top w:val="single" w:sz="8" w:space="0" w:color="CCCCCC"/>
              <w:left w:val="nil"/>
              <w:bottom w:val="single" w:sz="8" w:space="0" w:color="CCCCCC"/>
              <w:right w:val="single" w:sz="8" w:space="0" w:color="CCCCCC"/>
            </w:tcBorders>
            <w:vAlign w:val="bottom"/>
            <w:hideMark/>
          </w:tcPr>
          <w:p w14:paraId="777B64AE"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Mounting Type</w:t>
            </w:r>
          </w:p>
        </w:tc>
        <w:tc>
          <w:tcPr>
            <w:tcW w:w="2050" w:type="dxa"/>
            <w:tcBorders>
              <w:top w:val="single" w:sz="8" w:space="0" w:color="CCCCCC"/>
              <w:left w:val="nil"/>
              <w:bottom w:val="single" w:sz="8" w:space="0" w:color="CCCCCC"/>
              <w:right w:val="single" w:sz="8" w:space="0" w:color="CCCCCC"/>
            </w:tcBorders>
            <w:vAlign w:val="bottom"/>
            <w:hideMark/>
          </w:tcPr>
          <w:p w14:paraId="53D25C2C"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Source</w:t>
            </w:r>
          </w:p>
        </w:tc>
      </w:tr>
      <w:tr w:rsidR="001218B9" w:rsidRPr="009205A3" w14:paraId="4C7EDB5E"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500CB16B"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MS1 &amp; MS2 (Mobile Stations)</w:t>
            </w:r>
          </w:p>
        </w:tc>
        <w:tc>
          <w:tcPr>
            <w:tcW w:w="2326" w:type="dxa"/>
            <w:tcBorders>
              <w:top w:val="nil"/>
              <w:left w:val="nil"/>
              <w:bottom w:val="single" w:sz="8" w:space="0" w:color="CCCCCC"/>
              <w:right w:val="single" w:sz="8" w:space="0" w:color="CCCCCC"/>
            </w:tcBorders>
            <w:vAlign w:val="bottom"/>
            <w:hideMark/>
          </w:tcPr>
          <w:p w14:paraId="11FF34BC" w14:textId="13D8F350" w:rsidR="001218B9" w:rsidRPr="00F40E85" w:rsidRDefault="003546A2" w:rsidP="00815B93">
            <w:pPr>
              <w:pStyle w:val="NoSpacing"/>
              <w:rPr>
                <w:rFonts w:ascii="Times New Roman" w:hAnsi="Times New Roman" w:cs="Times New Roman"/>
                <w:sz w:val="16"/>
                <w:szCs w:val="16"/>
                <w:lang w:eastAsia="zh-TW"/>
              </w:rPr>
            </w:pPr>
            <w:r w:rsidRPr="00F40E85">
              <w:rPr>
                <w:rFonts w:ascii="Times New Roman" w:hAnsi="Times New Roman" w:cs="Times New Roman"/>
                <w:sz w:val="16"/>
                <w:szCs w:val="16"/>
                <w:lang w:eastAsia="zh-TW"/>
              </w:rPr>
              <w:t>T</w:t>
            </w:r>
            <w:r w:rsidRPr="00F40E85">
              <w:rPr>
                <w:rFonts w:ascii="Times New Roman" w:hAnsi="Times New Roman" w:cs="Times New Roman"/>
                <w:sz w:val="16"/>
                <w:szCs w:val="16"/>
                <w:vertAlign w:val="subscript"/>
                <w:lang w:eastAsia="zh-TW"/>
              </w:rPr>
              <w:t>a</w:t>
            </w:r>
            <w:r w:rsidR="001218B9" w:rsidRPr="00F40E85">
              <w:rPr>
                <w:rFonts w:ascii="Times New Roman" w:hAnsi="Times New Roman" w:cs="Times New Roman"/>
                <w:sz w:val="16"/>
                <w:szCs w:val="16"/>
                <w:lang w:eastAsia="zh-TW"/>
              </w:rPr>
              <w:t xml:space="preserve">, RH, </w:t>
            </w:r>
            <w:r w:rsidR="009E3194" w:rsidRPr="00F40E85">
              <w:rPr>
                <w:rFonts w:ascii="Times New Roman" w:hAnsi="Times New Roman" w:cs="Times New Roman"/>
                <w:sz w:val="16"/>
                <w:szCs w:val="16"/>
                <w:lang w:eastAsia="zh-TW"/>
              </w:rPr>
              <w:t>v</w:t>
            </w:r>
            <w:r w:rsidR="001218B9" w:rsidRPr="00F40E85">
              <w:rPr>
                <w:rFonts w:ascii="Times New Roman" w:hAnsi="Times New Roman" w:cs="Times New Roman"/>
                <w:sz w:val="16"/>
                <w:szCs w:val="16"/>
                <w:lang w:eastAsia="zh-TW"/>
              </w:rPr>
              <w:t xml:space="preserve">, </w:t>
            </w:r>
            <w:r w:rsidRPr="00F40E85">
              <w:rPr>
                <w:rFonts w:ascii="Times New Roman" w:hAnsi="Times New Roman" w:cs="Times New Roman"/>
                <w:sz w:val="16"/>
                <w:szCs w:val="16"/>
                <w:lang w:eastAsia="zh-TW"/>
              </w:rPr>
              <w:t>T</w:t>
            </w:r>
            <w:r w:rsidRPr="00F40E85">
              <w:rPr>
                <w:rFonts w:ascii="Times New Roman" w:hAnsi="Times New Roman" w:cs="Times New Roman"/>
                <w:sz w:val="16"/>
                <w:szCs w:val="16"/>
                <w:vertAlign w:val="subscript"/>
                <w:lang w:eastAsia="zh-TW"/>
              </w:rPr>
              <w:t>g</w:t>
            </w:r>
            <w:r w:rsidR="001218B9" w:rsidRPr="00F40E85">
              <w:rPr>
                <w:rFonts w:ascii="Times New Roman" w:hAnsi="Times New Roman" w:cs="Times New Roman"/>
                <w:sz w:val="16"/>
                <w:szCs w:val="16"/>
                <w:lang w:eastAsia="zh-TW"/>
              </w:rPr>
              <w:t xml:space="preserve">, </w:t>
            </w:r>
            <w:r w:rsidR="009E3194">
              <w:rPr>
                <w:rFonts w:ascii="Times New Roman" w:hAnsi="Times New Roman" w:cs="Times New Roman"/>
                <w:sz w:val="16"/>
                <w:szCs w:val="16"/>
                <w:lang w:eastAsia="zh-TW"/>
              </w:rPr>
              <w:t>G</w:t>
            </w:r>
          </w:p>
        </w:tc>
        <w:tc>
          <w:tcPr>
            <w:tcW w:w="2112" w:type="dxa"/>
            <w:tcBorders>
              <w:top w:val="nil"/>
              <w:left w:val="nil"/>
              <w:bottom w:val="single" w:sz="8" w:space="0" w:color="CCCCCC"/>
              <w:right w:val="single" w:sz="8" w:space="0" w:color="CCCCCC"/>
            </w:tcBorders>
            <w:vAlign w:val="bottom"/>
            <w:hideMark/>
          </w:tcPr>
          <w:p w14:paraId="0696C221" w14:textId="77777777" w:rsidR="001218B9" w:rsidRPr="00815B93" w:rsidRDefault="001218B9" w:rsidP="00815B93">
            <w:pPr>
              <w:pStyle w:val="NoSpacing"/>
              <w:rPr>
                <w:rFonts w:ascii="Times New Roman" w:hAnsi="Times New Roman" w:cs="Times New Roman"/>
                <w:sz w:val="16"/>
                <w:szCs w:val="16"/>
                <w:lang w:eastAsia="zh-TW"/>
              </w:rPr>
            </w:pPr>
            <w:r w:rsidRPr="00815B93">
              <w:rPr>
                <w:rFonts w:ascii="Times New Roman" w:hAnsi="Times New Roman" w:cs="Times New Roman"/>
                <w:sz w:val="16"/>
                <w:szCs w:val="16"/>
                <w:lang w:eastAsia="zh-TW"/>
              </w:rPr>
              <w:t>Delta OHM HD32.3, HD2102.2, HD52.3D17</w:t>
            </w:r>
          </w:p>
        </w:tc>
        <w:tc>
          <w:tcPr>
            <w:tcW w:w="1822" w:type="dxa"/>
            <w:tcBorders>
              <w:top w:val="nil"/>
              <w:left w:val="nil"/>
              <w:bottom w:val="single" w:sz="8" w:space="0" w:color="CCCCCC"/>
              <w:right w:val="single" w:sz="8" w:space="0" w:color="CCCCCC"/>
            </w:tcBorders>
            <w:vAlign w:val="bottom"/>
            <w:hideMark/>
          </w:tcPr>
          <w:p w14:paraId="60A21772"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Not in source</w:t>
            </w:r>
          </w:p>
        </w:tc>
        <w:tc>
          <w:tcPr>
            <w:tcW w:w="2006" w:type="dxa"/>
            <w:tcBorders>
              <w:top w:val="nil"/>
              <w:left w:val="nil"/>
              <w:bottom w:val="single" w:sz="8" w:space="0" w:color="CCCCCC"/>
              <w:right w:val="single" w:sz="8" w:space="0" w:color="CCCCCC"/>
            </w:tcBorders>
            <w:vAlign w:val="bottom"/>
            <w:hideMark/>
          </w:tcPr>
          <w:p w14:paraId="456A57BD"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Not in source</w:t>
            </w:r>
          </w:p>
        </w:tc>
        <w:tc>
          <w:tcPr>
            <w:tcW w:w="1784" w:type="dxa"/>
            <w:tcBorders>
              <w:top w:val="nil"/>
              <w:left w:val="nil"/>
              <w:bottom w:val="single" w:sz="8" w:space="0" w:color="CCCCCC"/>
              <w:right w:val="single" w:sz="8" w:space="0" w:color="CCCCCC"/>
            </w:tcBorders>
            <w:vAlign w:val="bottom"/>
            <w:hideMark/>
          </w:tcPr>
          <w:p w14:paraId="1BB4DA02"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Backpack or Cart</w:t>
            </w:r>
          </w:p>
        </w:tc>
        <w:tc>
          <w:tcPr>
            <w:tcW w:w="2050" w:type="dxa"/>
            <w:tcBorders>
              <w:top w:val="nil"/>
              <w:left w:val="nil"/>
              <w:bottom w:val="single" w:sz="8" w:space="0" w:color="CCCCCC"/>
              <w:right w:val="single" w:sz="8" w:space="0" w:color="CCCCCC"/>
            </w:tcBorders>
            <w:vAlign w:val="bottom"/>
            <w:hideMark/>
          </w:tcPr>
          <w:p w14:paraId="041C4B3B" w14:textId="5DD09A6F" w:rsidR="001218B9" w:rsidRPr="00815B93" w:rsidRDefault="004960D7"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{"citationID":"7T5FkWEc","properties":{"formattedCitation":"(P. Deng et al., 2025)","plainCitation":"(P. Deng et al., 2025)","noteIndex":0},"citationItems":[{"id":232,"uris":["http://zotero.org/users/15620616/items/MHAJ44TZ"],"itemData":{"id":232,"type":"article-journal","abstract":"This study bridges the gap in understanding the precision differential between fixed meteorological stations (FS) and mobile meteorological stations (MS) in evaluating outdoor thermal comfort in variable environments. We enrolled 249 subjects and conducted synchronized \"stop-and-go\" measurements using FS, backpack-type MS (MS1), and cart-type MS (MS2). A thermal sensation prediction model was developed by correlating subjective survey data, which was then validated across diverse outdoor settings. The analysis revealed that the MS2 method had the highest predictive power for thermal sensation (R² = 0.863), followed by FS (R² = 0.822) and MS1 (R² = 0.804). The prediction model was more accurate in hardscapes than in plantscapes within similar sky view factor (SVF) intervals. In high-SVF settings, MS2 was superior in thermal sensation vote (TSV) prediction, while FS was more accurate than MS1 and MS2 in low-SVF settings. MS underestimated thermal sensation in high-SVF spaces with no significant difference between MS2 and FS, but overestimated it in low-SVF spaces, particularly in plantscapes, showing significant deviation from FS (p &lt; 0.01). Buildings significantly influenced the TSV prediction error by FS (ST = 0.50), whereas SVF had the greatest impact on MS1 (ST = 0.48) and MS2 (ST = 0.43).","container-title":"Sustainable Cities and Society","DOI":"10.1016/j.scs.2025.106330","ISSN":"2210-6707","journalAbbreviation":"Sustainable Cities and Society","page":"106330","source":"ScienceDirect","title":"Comparing fixed and mobile measurement techniques for evaluating outdoor thermal comfort","volume":"124","author":[{"family":"Deng","given":"Pei"},{"family":"Li","given":"Zi"},{"family":"Wang","given":"Xiaoxi"},{"family":"Tang","given":"Zihan"},{"family":"Hong","given":"Bo"}],"issued":{"date-parts":[["2025",4,15]]}}}],"schema":"https://github.com/citation-style-language/schema/raw/master/csl-citation.json"} </w:instrText>
            </w:r>
            <w:r>
              <w:rPr>
                <w:rFonts w:ascii="Times New Roman" w:hAnsi="Times New Roman" w:cs="Times New Roman"/>
                <w:sz w:val="16"/>
                <w:szCs w:val="16"/>
                <w:lang w:val="en-US" w:eastAsia="zh-TW"/>
              </w:rPr>
              <w:fldChar w:fldCharType="separate"/>
            </w:r>
            <w:r w:rsidRPr="004960D7">
              <w:rPr>
                <w:rFonts w:ascii="Times New Roman" w:hAnsi="Times New Roman" w:cs="Times New Roman"/>
                <w:sz w:val="16"/>
              </w:rPr>
              <w:t>Deng et al., 2025</w:t>
            </w:r>
            <w:r>
              <w:rPr>
                <w:rFonts w:ascii="Times New Roman" w:hAnsi="Times New Roman" w:cs="Times New Roman"/>
                <w:sz w:val="16"/>
                <w:szCs w:val="16"/>
                <w:lang w:val="en-US" w:eastAsia="zh-TW"/>
              </w:rPr>
              <w:fldChar w:fldCharType="end"/>
            </w:r>
          </w:p>
        </w:tc>
      </w:tr>
      <w:tr w:rsidR="001218B9" w:rsidRPr="009205A3" w14:paraId="19B27EDB"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39B2832F"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HOBO U23 Pro v2 / U12-014</w:t>
            </w:r>
          </w:p>
        </w:tc>
        <w:tc>
          <w:tcPr>
            <w:tcW w:w="2326" w:type="dxa"/>
            <w:tcBorders>
              <w:top w:val="nil"/>
              <w:left w:val="nil"/>
              <w:bottom w:val="single" w:sz="8" w:space="0" w:color="CCCCCC"/>
              <w:right w:val="single" w:sz="8" w:space="0" w:color="CCCCCC"/>
            </w:tcBorders>
            <w:vAlign w:val="bottom"/>
            <w:hideMark/>
          </w:tcPr>
          <w:p w14:paraId="105F7A58" w14:textId="41CDC04F"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RH, </w:t>
            </w:r>
            <w:r w:rsidR="009E3194">
              <w:rPr>
                <w:rFonts w:ascii="Times New Roman" w:hAnsi="Times New Roman" w:cs="Times New Roman"/>
                <w:sz w:val="16"/>
                <w:szCs w:val="16"/>
                <w:lang w:val="en-US" w:eastAsia="zh-TW"/>
              </w:rPr>
              <w:t>T</w:t>
            </w:r>
            <w:r w:rsidR="009E3194">
              <w:rPr>
                <w:rFonts w:ascii="Times New Roman" w:hAnsi="Times New Roman" w:cs="Times New Roman"/>
                <w:sz w:val="16"/>
                <w:szCs w:val="16"/>
                <w:vertAlign w:val="subscript"/>
                <w:lang w:val="en-US" w:eastAsia="zh-TW"/>
              </w:rPr>
              <w:t>g</w:t>
            </w:r>
          </w:p>
        </w:tc>
        <w:tc>
          <w:tcPr>
            <w:tcW w:w="2112" w:type="dxa"/>
            <w:tcBorders>
              <w:top w:val="nil"/>
              <w:left w:val="nil"/>
              <w:bottom w:val="single" w:sz="8" w:space="0" w:color="CCCCCC"/>
              <w:right w:val="single" w:sz="8" w:space="0" w:color="CCCCCC"/>
            </w:tcBorders>
            <w:vAlign w:val="bottom"/>
            <w:hideMark/>
          </w:tcPr>
          <w:p w14:paraId="39E53465"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Type-T Copper-Constantan thermocouple (40 mm ball)</w:t>
            </w:r>
          </w:p>
        </w:tc>
        <w:tc>
          <w:tcPr>
            <w:tcW w:w="1822" w:type="dxa"/>
            <w:tcBorders>
              <w:top w:val="nil"/>
              <w:left w:val="nil"/>
              <w:bottom w:val="single" w:sz="8" w:space="0" w:color="CCCCCC"/>
              <w:right w:val="single" w:sz="8" w:space="0" w:color="CCCCCC"/>
            </w:tcBorders>
            <w:vAlign w:val="bottom"/>
            <w:hideMark/>
          </w:tcPr>
          <w:p w14:paraId="2917E9E6" w14:textId="17532CCD" w:rsidR="001218B9" w:rsidRPr="00815B93" w:rsidRDefault="003546A2" w:rsidP="00815B93">
            <w:pPr>
              <w:pStyle w:val="NoSpacing"/>
              <w:rPr>
                <w:rFonts w:ascii="Times New Roman" w:hAnsi="Times New Roman" w:cs="Times New Roman"/>
                <w:sz w:val="16"/>
                <w:szCs w:val="16"/>
                <w:lang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eastAsia="zh-TW"/>
              </w:rPr>
              <w:t xml:space="preserve">: </w:t>
            </w:r>
            <w:r w:rsidR="001218B9">
              <w:rPr>
                <w:rFonts w:ascii="Times New Roman" w:hAnsi="Times New Roman" w:cs="Times New Roman"/>
                <w:sz w:val="16"/>
                <w:szCs w:val="16"/>
                <w:lang w:eastAsia="zh-TW"/>
              </w:rPr>
              <w:t>±</w:t>
            </w:r>
            <w:r w:rsidR="001218B9" w:rsidRPr="00815B93">
              <w:rPr>
                <w:rFonts w:ascii="Times New Roman" w:hAnsi="Times New Roman" w:cs="Times New Roman"/>
                <w:sz w:val="16"/>
                <w:szCs w:val="16"/>
                <w:lang w:eastAsia="zh-TW"/>
              </w:rPr>
              <w:t xml:space="preserve"> 0.2 °C; </w:t>
            </w:r>
            <w:r>
              <w:rPr>
                <w:rFonts w:ascii="Times New Roman" w:hAnsi="Times New Roman" w:cs="Times New Roman"/>
                <w:sz w:val="16"/>
                <w:szCs w:val="16"/>
                <w:lang w:val="en-US" w:eastAsia="zh-TW"/>
              </w:rPr>
              <w:t>T</w:t>
            </w:r>
            <w:r>
              <w:rPr>
                <w:rFonts w:ascii="Times New Roman" w:hAnsi="Times New Roman" w:cs="Times New Roman"/>
                <w:sz w:val="16"/>
                <w:szCs w:val="16"/>
                <w:vertAlign w:val="subscript"/>
                <w:lang w:val="en-US" w:eastAsia="zh-TW"/>
              </w:rPr>
              <w:t>g</w:t>
            </w:r>
            <w:r w:rsidR="001218B9" w:rsidRPr="00815B93">
              <w:rPr>
                <w:rFonts w:ascii="Times New Roman" w:hAnsi="Times New Roman" w:cs="Times New Roman"/>
                <w:sz w:val="16"/>
                <w:szCs w:val="16"/>
                <w:lang w:eastAsia="zh-TW"/>
              </w:rPr>
              <w:t xml:space="preserve">: </w:t>
            </w:r>
            <w:r w:rsidR="001218B9">
              <w:rPr>
                <w:rFonts w:ascii="Times New Roman" w:hAnsi="Times New Roman" w:cs="Times New Roman"/>
                <w:sz w:val="16"/>
                <w:szCs w:val="16"/>
                <w:lang w:eastAsia="zh-TW"/>
              </w:rPr>
              <w:t>±</w:t>
            </w:r>
            <w:r w:rsidR="001218B9" w:rsidRPr="00815B93">
              <w:rPr>
                <w:rFonts w:ascii="Times New Roman" w:hAnsi="Times New Roman" w:cs="Times New Roman"/>
                <w:sz w:val="16"/>
                <w:szCs w:val="16"/>
                <w:lang w:eastAsia="zh-TW"/>
              </w:rPr>
              <w:t xml:space="preserve"> 1.5 °C</w:t>
            </w:r>
          </w:p>
        </w:tc>
        <w:tc>
          <w:tcPr>
            <w:tcW w:w="2006" w:type="dxa"/>
            <w:tcBorders>
              <w:top w:val="nil"/>
              <w:left w:val="nil"/>
              <w:bottom w:val="single" w:sz="8" w:space="0" w:color="CCCCCC"/>
              <w:right w:val="single" w:sz="8" w:space="0" w:color="CCCCCC"/>
            </w:tcBorders>
            <w:vAlign w:val="bottom"/>
            <w:hideMark/>
          </w:tcPr>
          <w:p w14:paraId="1574E2EA"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 min planned stops</w:t>
            </w:r>
          </w:p>
        </w:tc>
        <w:tc>
          <w:tcPr>
            <w:tcW w:w="1784" w:type="dxa"/>
            <w:tcBorders>
              <w:top w:val="nil"/>
              <w:left w:val="nil"/>
              <w:bottom w:val="single" w:sz="8" w:space="0" w:color="CCCCCC"/>
              <w:right w:val="single" w:sz="8" w:space="0" w:color="CCCCCC"/>
            </w:tcBorders>
            <w:vAlign w:val="bottom"/>
            <w:hideMark/>
          </w:tcPr>
          <w:p w14:paraId="4031F3FD"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Walking tripod (1.6 m)</w:t>
            </w:r>
          </w:p>
        </w:tc>
        <w:tc>
          <w:tcPr>
            <w:tcW w:w="2050" w:type="dxa"/>
            <w:tcBorders>
              <w:top w:val="nil"/>
              <w:left w:val="nil"/>
              <w:bottom w:val="single" w:sz="8" w:space="0" w:color="CCCCCC"/>
              <w:right w:val="single" w:sz="8" w:space="0" w:color="CCCCCC"/>
            </w:tcBorders>
            <w:vAlign w:val="bottom"/>
            <w:hideMark/>
          </w:tcPr>
          <w:p w14:paraId="576A079A" w14:textId="68A2F0C9" w:rsidR="001218B9" w:rsidRPr="00815B93" w:rsidRDefault="004960D7"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{"citationID":"5hUFfQG6","properties":{"formattedCitation":"(Ch\\uc0\\u224{}fer et al., 2022)","plainCitation":"(Chàfer et al., 2022)","noteIndex":0},"citationItems":[{"id":216,"uris":["http://zotero.org/users/15620616/items/ERSGYQBJ"],"itemData":{"id":216,"type":"article-journal","abstract":"High-density cities, such as Singapore, are currently facing the urban heat island (UHI) effect, a phenomenon that leads to higher air and surface temperatures within the urban area in comparison to the surroundings and is one of the most critical anthropogenic climate change-related environmental issues for contemporary high-density cities. This study aims to investigate the effect of different urban morphologies such as high-rise and low-rise buildings, green areas, and water bodies on the urban microclimate in Singapore. Mobile measurements taken from a pedestrian perspective were conducted for the first time in the central area of Singapore to explore the severity of the UHI effect through distinctive urban morphologies. The Sky View Factor (SVF) was the metric used to quantify these characteristics. During daytime, the air temperature was higher when SVF increased, except for the water body area. Shading showed to be an important factor to decreasing air temperature in the tropics. Reductions by up to 4.5 ºC were observed due to the buildings shading during daytime, while the cooling effect of vegetation reduced the air temperature by up to 4 ºC during the daytime and 1 ºC at night-time. Thus, this study revealed a strong relationship between the decrease in air temperature and greenery coverage in the city. Therefore, understanding the relationship between urban morphology and microclimate conditions may better drive sustainable urban planning and development in the tropics. Finally, it was demonstrated the importance of using mobile monitoring to retrieve granular data that allows identifying specific environmental issues on a hyperlocal scale, which would not be recognised through other monitoring techniques.","container-title":"Sustainable Cities and Society","DOI":"10.1016/j.scs.2022.103986","ISSN":"2210-6707","journalAbbreviation":"Sustainable Cities and Society","page":"103986","source":"ScienceDirect","title":"Mobile measurements of microclimatic variables through the central area of Singapore: An analysis from the pedestrian perspective","title-short":"Mobile measurements of microclimatic variables through the central area of Singapore","volume":"83","author":[{"family":"Chàfer","given":"Marta"},{"family":"Tan","given":"Chun Liang"},{"family":"Cureau","given":"Roberta Jacoby"},{"family":"Hien","given":"Wong Nyuk"},{"family":"Pisello","given":"Anna Laura"},{"family":"Cabeza","given":"Luisa F."}],"issued":{"date-parts":[["2022",8,1]]}}}],"schema":"https://github.com/citation-style-language/schema/raw/master/csl-citation.json"} </w:instrText>
            </w:r>
            <w:r>
              <w:rPr>
                <w:rFonts w:ascii="Times New Roman" w:hAnsi="Times New Roman" w:cs="Times New Roman"/>
                <w:sz w:val="16"/>
                <w:szCs w:val="16"/>
                <w:lang w:val="en-US" w:eastAsia="zh-TW"/>
              </w:rPr>
              <w:fldChar w:fldCharType="separate"/>
            </w:r>
            <w:r w:rsidRPr="004960D7">
              <w:rPr>
                <w:rFonts w:ascii="Times New Roman" w:hAnsi="Times New Roman" w:cs="Times New Roman"/>
                <w:kern w:val="0"/>
                <w:sz w:val="16"/>
              </w:rPr>
              <w:t>Chàfer et al., 2022</w:t>
            </w:r>
            <w:r>
              <w:rPr>
                <w:rFonts w:ascii="Times New Roman" w:hAnsi="Times New Roman" w:cs="Times New Roman"/>
                <w:sz w:val="16"/>
                <w:szCs w:val="16"/>
                <w:lang w:val="en-US" w:eastAsia="zh-TW"/>
              </w:rPr>
              <w:fldChar w:fldCharType="end"/>
            </w:r>
          </w:p>
        </w:tc>
      </w:tr>
      <w:tr w:rsidR="001218B9" w:rsidRPr="008C19B8" w14:paraId="48448E45"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6FB95E37"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Wearable system / Station</w:t>
            </w:r>
          </w:p>
        </w:tc>
        <w:tc>
          <w:tcPr>
            <w:tcW w:w="2326" w:type="dxa"/>
            <w:tcBorders>
              <w:top w:val="nil"/>
              <w:left w:val="nil"/>
              <w:bottom w:val="single" w:sz="8" w:space="0" w:color="CCCCCC"/>
              <w:right w:val="single" w:sz="8" w:space="0" w:color="CCCCCC"/>
            </w:tcBorders>
            <w:vAlign w:val="bottom"/>
            <w:hideMark/>
          </w:tcPr>
          <w:p w14:paraId="356048D6" w14:textId="50DC129A"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CO</w:t>
            </w:r>
            <w:r w:rsidRPr="00F40E85">
              <w:rPr>
                <w:rFonts w:ascii="Times New Roman" w:hAnsi="Times New Roman" w:cs="Times New Roman"/>
                <w:sz w:val="16"/>
                <w:szCs w:val="16"/>
                <w:vertAlign w:val="subscript"/>
                <w:lang w:val="en-US" w:eastAsia="zh-TW"/>
              </w:rPr>
              <w:t>2</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RH</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v</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P</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G</w:t>
            </w:r>
            <w:r w:rsidR="001218B9" w:rsidRPr="00815B93">
              <w:rPr>
                <w:rFonts w:ascii="Times New Roman" w:hAnsi="Times New Roman" w:cs="Times New Roman"/>
                <w:sz w:val="16"/>
                <w:szCs w:val="16"/>
                <w:lang w:val="en-US" w:eastAsia="zh-TW"/>
              </w:rPr>
              <w:t>, Illuminance, PM</w:t>
            </w:r>
          </w:p>
        </w:tc>
        <w:tc>
          <w:tcPr>
            <w:tcW w:w="2112" w:type="dxa"/>
            <w:tcBorders>
              <w:top w:val="nil"/>
              <w:left w:val="nil"/>
              <w:bottom w:val="single" w:sz="8" w:space="0" w:color="CCCCCC"/>
              <w:right w:val="single" w:sz="8" w:space="0" w:color="CCCCCC"/>
            </w:tcBorders>
            <w:vAlign w:val="bottom"/>
            <w:hideMark/>
          </w:tcPr>
          <w:p w14:paraId="49D70019"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SHT35, TDS0037 (NDIR), calibrated sensors</w:t>
            </w:r>
          </w:p>
        </w:tc>
        <w:tc>
          <w:tcPr>
            <w:tcW w:w="1822" w:type="dxa"/>
            <w:tcBorders>
              <w:top w:val="nil"/>
              <w:left w:val="nil"/>
              <w:bottom w:val="single" w:sz="8" w:space="0" w:color="CCCCCC"/>
              <w:right w:val="single" w:sz="8" w:space="0" w:color="CCCCCC"/>
            </w:tcBorders>
            <w:vAlign w:val="bottom"/>
            <w:hideMark/>
          </w:tcPr>
          <w:p w14:paraId="582BAE6D" w14:textId="6B114CD4"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w:t>
            </w:r>
            <w:r w:rsidR="001218B9" w:rsidRPr="00815B93">
              <w:rPr>
                <w:rFonts w:ascii="Times New Roman" w:hAnsi="Times New Roman" w:cs="Times New Roman"/>
                <w:sz w:val="16"/>
                <w:szCs w:val="16"/>
                <w:lang w:val="en-US" w:eastAsia="zh-TW"/>
              </w:rPr>
              <w:t xml:space="preserve"> 0.1 °C; </w:t>
            </w:r>
            <w:r w:rsidRPr="00815B93">
              <w:rPr>
                <w:rFonts w:ascii="Times New Roman" w:hAnsi="Times New Roman" w:cs="Times New Roman"/>
                <w:sz w:val="16"/>
                <w:szCs w:val="16"/>
                <w:lang w:val="en-US" w:eastAsia="zh-TW"/>
              </w:rPr>
              <w:t>CO</w:t>
            </w:r>
            <w:r w:rsidRPr="00E46D72">
              <w:rPr>
                <w:rFonts w:ascii="Times New Roman" w:hAnsi="Times New Roman" w:cs="Times New Roman"/>
                <w:sz w:val="16"/>
                <w:szCs w:val="16"/>
                <w:vertAlign w:val="subscript"/>
                <w:lang w:val="en-US" w:eastAsia="zh-TW"/>
              </w:rPr>
              <w:t>2</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w:t>
            </w:r>
            <w:r w:rsidR="001218B9" w:rsidRPr="00815B93">
              <w:rPr>
                <w:rFonts w:ascii="Times New Roman" w:hAnsi="Times New Roman" w:cs="Times New Roman"/>
                <w:sz w:val="16"/>
                <w:szCs w:val="16"/>
                <w:lang w:val="en-US" w:eastAsia="zh-TW"/>
              </w:rPr>
              <w:t xml:space="preserve"> 2%</w:t>
            </w:r>
          </w:p>
        </w:tc>
        <w:tc>
          <w:tcPr>
            <w:tcW w:w="2006" w:type="dxa"/>
            <w:tcBorders>
              <w:top w:val="nil"/>
              <w:left w:val="nil"/>
              <w:bottom w:val="single" w:sz="8" w:space="0" w:color="CCCCCC"/>
              <w:right w:val="single" w:sz="8" w:space="0" w:color="CCCCCC"/>
            </w:tcBorders>
            <w:vAlign w:val="bottom"/>
            <w:hideMark/>
          </w:tcPr>
          <w:p w14:paraId="1ECF624B" w14:textId="5FB2E7DC" w:rsidR="001218B9" w:rsidRPr="00815B93" w:rsidRDefault="006A48B1"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t</w:t>
            </w:r>
            <w:r w:rsidRPr="00E46D72">
              <w:rPr>
                <w:rFonts w:ascii="Times New Roman" w:hAnsi="Times New Roman" w:cs="Times New Roman"/>
                <w:sz w:val="16"/>
                <w:szCs w:val="16"/>
                <w:vertAlign w:val="subscript"/>
                <w:lang w:val="en-US" w:eastAsia="zh-TW"/>
              </w:rPr>
              <w:t>90</w:t>
            </w:r>
            <w:r>
              <w:rPr>
                <w:rFonts w:ascii="Times New Roman" w:hAnsi="Times New Roman" w:cs="Times New Roman"/>
                <w:sz w:val="16"/>
                <w:szCs w:val="16"/>
                <w:vertAlign w:val="subscript"/>
                <w:lang w:val="en-US" w:eastAsia="zh-TW"/>
              </w:rPr>
              <w:t xml:space="preserve"> </w:t>
            </w:r>
            <w:r w:rsidR="001218B9" w:rsidRPr="00815B93">
              <w:rPr>
                <w:rFonts w:ascii="Times New Roman" w:hAnsi="Times New Roman" w:cs="Times New Roman"/>
                <w:sz w:val="16"/>
                <w:szCs w:val="16"/>
                <w:lang w:val="en-US" w:eastAsia="zh-TW"/>
              </w:rPr>
              <w:t>&lt; 8 to 30 s</w:t>
            </w:r>
          </w:p>
        </w:tc>
        <w:tc>
          <w:tcPr>
            <w:tcW w:w="1784" w:type="dxa"/>
            <w:tcBorders>
              <w:top w:val="nil"/>
              <w:left w:val="nil"/>
              <w:bottom w:val="single" w:sz="8" w:space="0" w:color="CCCCCC"/>
              <w:right w:val="single" w:sz="8" w:space="0" w:color="CCCCCC"/>
            </w:tcBorders>
            <w:vAlign w:val="bottom"/>
            <w:hideMark/>
          </w:tcPr>
          <w:p w14:paraId="14FA90CB"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Wearable or Backpack</w:t>
            </w:r>
          </w:p>
        </w:tc>
        <w:tc>
          <w:tcPr>
            <w:tcW w:w="2050" w:type="dxa"/>
            <w:tcBorders>
              <w:top w:val="nil"/>
              <w:left w:val="nil"/>
              <w:bottom w:val="single" w:sz="8" w:space="0" w:color="CCCCCC"/>
              <w:right w:val="single" w:sz="8" w:space="0" w:color="CCCCCC"/>
            </w:tcBorders>
            <w:vAlign w:val="bottom"/>
            <w:hideMark/>
          </w:tcPr>
          <w:p w14:paraId="372A79BE" w14:textId="6155E7F3" w:rsidR="008C19B8" w:rsidRDefault="008C19B8" w:rsidP="00815B93">
            <w:pPr>
              <w:pStyle w:val="NoSpacing"/>
              <w:rPr>
                <w:rFonts w:ascii="Times New Roman" w:hAnsi="Times New Roman" w:cs="Times New Roman"/>
                <w:sz w:val="16"/>
                <w:lang w:val="en-US"/>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{"citationID":"0F9WzYbl","properties":{"formattedCitation":"(Cureau et al., 2022; Grapas et al., 2025)","plainCitation":"(Cureau et al., 2022; Grapas et al., 2025)","noteIndex":0},"citationItems":[{"id":219,"uris":["http://zotero.org/users/15620616/items/8XR5JSF9"],"itemData":{"id":219,"type":"article-journal","abstract":"Human comfort outdoors is widely investigated, but most studies explore the comfort domains singularly. This paper aimed to evaluate human comfort in parks, verifying the importance of using a multi-domain (simultaneously evaluating thermal, visual, acoustic, and air quality) and multi-disciplinary (combining environmental and social fields) approach. A walk through a pre-defined path from one park to another was repeated twice per day on four consecutive days in June, with three participants per walk. The two investigated parks are in central Italy and were chosen because they differ in their design and spatial characteristics. Environmental data were recorded with an innovative wearable device during the whole walk, and surveys were used to assess people’s perceptions of the parks. Despite observed differences in collected physical parameters, the survey’s responses were similar, and different comfort domains showed dependence on each other in the two parks. Logistic regression models were developed for each park, and they revealed that the qualitative information predicted the overall comfort level more accurately than the environmental data. In detail, the models based on environmental data resulted in R2 equal to 0.126 and 0.111 in Parks 1 and 2, respectively, whereas using the survey answers increased it up to 0.820 (Park 1) and 0.806 (Park 2). This study contributes to addressing the gap in multi-domain comfort studies outdoors and confirms the importance of using multi-disciplinary and multi-domain approaches for a complete comfort analysis, supporting holistic human-biometeorology-oriented models and forecasting opportunities that can promote improvements in urban environmental quality and liveability.","container-title":"International Journal of Biometeorology","DOI":"10.1007/s00484-022-02338-7","ISSN":"1432-1254","issue":"10","journalAbbreviation":"Int J Biometeorol","language":"en","license":"2022 The Author(s)","note":"Company: Springer\nDistributor: Springer\nInstitution: Springer\nLabel: Springer\npublisher: Springer Berlin Heidelberg","page":"2033-2045","source":"link-springer-com.proxy.lib.ltu.se","title":"Multi-domain human-oriented approach to evaluate human comfort in outdoor environments","volume":"66","author":[{"family":"Cureau","given":"Roberta Jacoby"},{"family":"Pigliautile","given":"Ilaria"},{"family":"Kousis","given":"Ioannis"},{"family":"Pisello","given":"Anna Laura"}],"issued":{"date-parts":[["2022",10,1]]}}},{"id":210,"uris":["http://zotero.org/users/15620616/items/2TH7CTKC"],"itemData":{"id":210,"type":"article-journal","abstract":"Multisensory human vulnerability assessments in outdoor environments are needed, as existing approaches often neglect the simultaneous exposure to multiple environmental stimuli. While Local Climate Zones (LCZs) effectively map urban microclimates, they overlook human activity impact on environmental conditions. This study addresses these gaps by integrating dynamic anthropogenic influences with traditional urban structure metrics and introducing Multisensory Urban Climate Zones (MUCZs) as an LCZ extension. Once identified LCZs, the proposed methodology enhanced thermal mapping accuracy through mobile monitoring transects and crowdsourced meteorological data. Human activity datasets were also integrated to capture real-time environmental conditions and behavior. The Universal Thermal Climate Index (UTCI) was calculated from these sources and correlated to Local Climate Zones (LCZs) assessing the influence of urban structure and human activity on it. Geographically Weighted Regression (GWR) allowed to spatially model the most prominent multidomain comfort patterns. Findings reveal that air pollution significantly decreases thermal comfort, with the Universal Air Quality Index (UAQI) positively correlated with UTCI in dense urban areas (r=0.55 at 5 PM). In contrast, Ecological Connectivity (EC) mitigates thermal stress, showing a negative correlation (r=-0.28 to -0.29 at 10 AM and 5 PM). These results suggest that human-driven factors can influence outdoor comfort as much as urban form variables. While urban structure is difficult to be modified, human activity is adaptable. By integrating human-centric indicators into the LCZ framework, MUCZs enhance urban climate mapping, offering a granular, behavior-sensitive approach that bridges the gap between static urban form and dynamic human activity. This framework supports localized human centric adaptation strategies to improve urban resilience and wellbeing in a changing climate.","container-title":"Sustainable Cities and Society","DOI":"10.1016/j.scs.2025.106673","ISSN":"2210-6707","journalAbbreviation":"Sustainable Cities and Society","page":"106673","source":"ScienceDirect","title":"Multisensory Urban Climate Zones (MUCZ): A Framework for Mapping Dynamic Multidomain Human Comfort in Complex Urban Fabrics beyond Urban Morphology","title-short":"Multisensory Urban Climate Zones (MUCZ)","volume":"131","author":[{"family":"Grapas","given":"Christos"},{"family":"Pisello","given":"Anna Laura"},{"family":"Pigliautile","given":"Ilaria"},{"family":"Guattari","given":"Claudia"},{"family":"De Cristo","given":"Edoardo"}],"issued":{"date-parts":[["2025",9,1]]}}}],"schema":"https://github.com/citation-style-language/schema/raw/master/csl-citation.json"}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sz w:val="16"/>
                <w:lang w:val="en-US"/>
              </w:rPr>
              <w:t>Cureau et al., 2022</w:t>
            </w:r>
          </w:p>
          <w:p w14:paraId="6B918267" w14:textId="37B03E67" w:rsidR="001218B9" w:rsidRPr="00815B93" w:rsidRDefault="008C19B8" w:rsidP="00815B93">
            <w:pPr>
              <w:pStyle w:val="NoSpacing"/>
              <w:rPr>
                <w:rFonts w:ascii="Times New Roman" w:hAnsi="Times New Roman" w:cs="Times New Roman"/>
                <w:sz w:val="16"/>
                <w:szCs w:val="16"/>
                <w:lang w:val="en-US" w:eastAsia="zh-TW"/>
              </w:rPr>
            </w:pPr>
            <w:r w:rsidRPr="00F40E85">
              <w:rPr>
                <w:rFonts w:ascii="Times New Roman" w:hAnsi="Times New Roman" w:cs="Times New Roman"/>
                <w:sz w:val="16"/>
                <w:lang w:val="en-US"/>
              </w:rPr>
              <w:t>Grapas et al., 2025</w:t>
            </w:r>
            <w:r>
              <w:rPr>
                <w:rFonts w:ascii="Times New Roman" w:hAnsi="Times New Roman" w:cs="Times New Roman"/>
                <w:sz w:val="16"/>
                <w:szCs w:val="16"/>
                <w:lang w:val="en-US" w:eastAsia="zh-TW"/>
              </w:rPr>
              <w:fldChar w:fldCharType="end"/>
            </w:r>
          </w:p>
        </w:tc>
      </w:tr>
      <w:tr w:rsidR="001218B9" w:rsidRPr="008C19B8" w14:paraId="634A4F22"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0912D9CB"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Multi-parametric station</w:t>
            </w:r>
          </w:p>
        </w:tc>
        <w:tc>
          <w:tcPr>
            <w:tcW w:w="2326" w:type="dxa"/>
            <w:tcBorders>
              <w:top w:val="nil"/>
              <w:left w:val="nil"/>
              <w:bottom w:val="single" w:sz="8" w:space="0" w:color="CCCCCC"/>
              <w:right w:val="single" w:sz="8" w:space="0" w:color="CCCCCC"/>
            </w:tcBorders>
            <w:vAlign w:val="bottom"/>
            <w:hideMark/>
          </w:tcPr>
          <w:p w14:paraId="3339E35D" w14:textId="1F406C1E"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RH</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v</w:t>
            </w:r>
          </w:p>
        </w:tc>
        <w:tc>
          <w:tcPr>
            <w:tcW w:w="2112" w:type="dxa"/>
            <w:tcBorders>
              <w:top w:val="nil"/>
              <w:left w:val="nil"/>
              <w:bottom w:val="single" w:sz="8" w:space="0" w:color="CCCCCC"/>
              <w:right w:val="single" w:sz="8" w:space="0" w:color="CCCCCC"/>
            </w:tcBorders>
            <w:vAlign w:val="bottom"/>
            <w:hideMark/>
          </w:tcPr>
          <w:p w14:paraId="4ED43D7A"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Not in source</w:t>
            </w:r>
          </w:p>
        </w:tc>
        <w:tc>
          <w:tcPr>
            <w:tcW w:w="1822" w:type="dxa"/>
            <w:tcBorders>
              <w:top w:val="nil"/>
              <w:left w:val="nil"/>
              <w:bottom w:val="single" w:sz="8" w:space="0" w:color="CCCCCC"/>
              <w:right w:val="single" w:sz="8" w:space="0" w:color="CCCCCC"/>
            </w:tcBorders>
            <w:vAlign w:val="bottom"/>
            <w:hideMark/>
          </w:tcPr>
          <w:p w14:paraId="3F47513B" w14:textId="04D78A4B" w:rsidR="001218B9" w:rsidRPr="00F40E85"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F40E85">
              <w:rPr>
                <w:rFonts w:ascii="Times New Roman" w:hAnsi="Times New Roman" w:cs="Times New Roman"/>
                <w:sz w:val="16"/>
                <w:szCs w:val="16"/>
                <w:lang w:val="en-US" w:eastAsia="zh-TW"/>
              </w:rPr>
              <w:t>: ± 0.3 °C; RH: ± 2%; v: ± 3%</w:t>
            </w:r>
          </w:p>
        </w:tc>
        <w:tc>
          <w:tcPr>
            <w:tcW w:w="2006" w:type="dxa"/>
            <w:tcBorders>
              <w:top w:val="nil"/>
              <w:left w:val="nil"/>
              <w:bottom w:val="single" w:sz="8" w:space="0" w:color="CCCCCC"/>
              <w:right w:val="single" w:sz="8" w:space="0" w:color="CCCCCC"/>
            </w:tcBorders>
            <w:vAlign w:val="bottom"/>
            <w:hideMark/>
          </w:tcPr>
          <w:p w14:paraId="2E040B18"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10 s</w:t>
            </w:r>
          </w:p>
        </w:tc>
        <w:tc>
          <w:tcPr>
            <w:tcW w:w="1784" w:type="dxa"/>
            <w:tcBorders>
              <w:top w:val="nil"/>
              <w:left w:val="nil"/>
              <w:bottom w:val="single" w:sz="8" w:space="0" w:color="CCCCCC"/>
              <w:right w:val="single" w:sz="8" w:space="0" w:color="CCCCCC"/>
            </w:tcBorders>
            <w:vAlign w:val="bottom"/>
            <w:hideMark/>
          </w:tcPr>
          <w:p w14:paraId="6C2A5635"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Van</w:t>
            </w:r>
          </w:p>
        </w:tc>
        <w:tc>
          <w:tcPr>
            <w:tcW w:w="2050" w:type="dxa"/>
            <w:tcBorders>
              <w:top w:val="nil"/>
              <w:left w:val="nil"/>
              <w:bottom w:val="single" w:sz="8" w:space="0" w:color="CCCCCC"/>
              <w:right w:val="single" w:sz="8" w:space="0" w:color="CCCCCC"/>
            </w:tcBorders>
            <w:vAlign w:val="bottom"/>
            <w:hideMark/>
          </w:tcPr>
          <w:p w14:paraId="2F3A1BD4" w14:textId="3F711320" w:rsidR="001218B9" w:rsidRPr="00815B93" w:rsidRDefault="008C19B8"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{"citationID":"9arnCOwr","properties":{"formattedCitation":"(Grapas et al., 2025)","plainCitation":"(Grapas et al., 2025)","noteIndex":0},"citationItems":[{"id":210,"uris":["http://zotero.org/users/15620616/items/2TH7CTKC"],"itemData":{"id":210,"type":"article-journal","abstract":"Multisensory human vulnerability assessments in outdoor environments are needed, as existing approaches often neglect the simultaneous exposure to multiple environmental stimuli. While Local Climate Zones (LCZs) effectively map urban microclimates, they overlook human activity impact on environmental conditions. This study addresses these gaps by integrating dynamic anthropogenic influences with traditional urban structure metrics and introducing Multisensory Urban Climate Zones (MUCZs) as an LCZ extension. Once identified LCZs, the proposed methodology enhanced thermal mapping accuracy through mobile monitoring transects and crowdsourced meteorological data. Human activity datasets were also integrated to capture real-time environmental conditions and behavior. The Universal Thermal Climate Index (UTCI) was calculated from these sources and correlated to Local Climate Zones (LCZs) assessing the influence of urban structure and human activity on it. Geographically Weighted Regression (GWR) allowed to spatially model the most prominent multidomain comfort patterns. Findings reveal that air pollution significantly decreases thermal comfort, with the Universal Air Quality Index (UAQI) positively correlated with UTCI in dense urban areas (r=0.55 at 5 PM). In contrast, Ecological Connectivity (EC) mitigates thermal stress, showing a negative correlation (r=-0.28 to -0.29 at 10 AM and 5 PM). These results suggest that human-driven factors can influence outdoor comfort as much as urban form variables. While urban structure is difficult to be modified, human activity is adaptable. By integrating human-centric indicators into the LCZ framework, MUCZs enhance urban climate mapping, offering a granular, behavior-sensitive approach that bridges the gap between static urban form and dynamic human activity. This framework supports localized human centric adaptation strategies to improve urban resilience and wellbeing in a changing climate.","container-title":"Sustainable Cities and Society","DOI":"10.1016/j.scs.2025.106673","ISSN":"2210-6707","journalAbbreviation":"Sustainable Cities and Society","page":"106673","source":"ScienceDirect","title":"Multisensory Urban Climate Zones (MUCZ): A Framework for Mapping Dynamic Multidomain Human Comfort in Complex Urban Fabrics beyond Urban Morphology","title-short":"Multisensory Urban Climate Zones (MUCZ)","volume":"131","author":[{"family":"Grapas","given":"Christos"},{"family":"Pisello","given":"Anna Laura"},{"family":"Pigliautile","given":"Ilaria"},{"family":"Guattari","given":"Claudia"},{"family":"De Cristo","given":"Edoardo"}],"issued":{"date-parts":[["2025",9,1]]}}}],"schema":"https://github.com/citation-style-language/schema/raw/master/csl-citation.json"}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sz w:val="16"/>
                <w:lang w:val="en-US"/>
              </w:rPr>
              <w:t>Grapas et al., 2025</w:t>
            </w:r>
            <w:r>
              <w:rPr>
                <w:rFonts w:ascii="Times New Roman" w:hAnsi="Times New Roman" w:cs="Times New Roman"/>
                <w:sz w:val="16"/>
                <w:szCs w:val="16"/>
                <w:lang w:val="en-US" w:eastAsia="zh-TW"/>
              </w:rPr>
              <w:fldChar w:fldCharType="end"/>
            </w:r>
          </w:p>
        </w:tc>
      </w:tr>
      <w:tr w:rsidR="001218B9" w:rsidRPr="008C19B8" w14:paraId="6131EA3F"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34CAB141"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Helmet/Backpack Sensors</w:t>
            </w:r>
          </w:p>
        </w:tc>
        <w:tc>
          <w:tcPr>
            <w:tcW w:w="2326" w:type="dxa"/>
            <w:tcBorders>
              <w:top w:val="nil"/>
              <w:left w:val="nil"/>
              <w:bottom w:val="single" w:sz="8" w:space="0" w:color="CCCCCC"/>
              <w:right w:val="single" w:sz="8" w:space="0" w:color="CCCCCC"/>
            </w:tcBorders>
            <w:vAlign w:val="bottom"/>
            <w:hideMark/>
          </w:tcPr>
          <w:p w14:paraId="5EFEE5A6" w14:textId="1C9D338A"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RH</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P</w:t>
            </w:r>
            <w:r w:rsidR="001218B9" w:rsidRPr="00815B93">
              <w:rPr>
                <w:rFonts w:ascii="Times New Roman" w:hAnsi="Times New Roman" w:cs="Times New Roman"/>
                <w:sz w:val="16"/>
                <w:szCs w:val="16"/>
                <w:lang w:val="en-US" w:eastAsia="zh-TW"/>
              </w:rPr>
              <w:t xml:space="preserve">, G, </w:t>
            </w:r>
            <w:r w:rsidR="009E3194">
              <w:rPr>
                <w:rFonts w:ascii="Times New Roman" w:hAnsi="Times New Roman" w:cs="Times New Roman"/>
                <w:sz w:val="16"/>
                <w:szCs w:val="16"/>
                <w:lang w:val="en-US" w:eastAsia="zh-TW"/>
              </w:rPr>
              <w:t>v</w:t>
            </w:r>
            <w:r w:rsidR="001218B9" w:rsidRPr="00815B93">
              <w:rPr>
                <w:rFonts w:ascii="Times New Roman" w:hAnsi="Times New Roman" w:cs="Times New Roman"/>
                <w:sz w:val="16"/>
                <w:szCs w:val="16"/>
                <w:lang w:val="en-US" w:eastAsia="zh-TW"/>
              </w:rPr>
              <w:t xml:space="preserve">, </w:t>
            </w:r>
            <w:r w:rsidR="009E3194" w:rsidRPr="00815B93">
              <w:rPr>
                <w:rFonts w:ascii="Times New Roman" w:hAnsi="Times New Roman" w:cs="Times New Roman"/>
                <w:sz w:val="16"/>
                <w:szCs w:val="16"/>
                <w:lang w:val="en-US" w:eastAsia="zh-TW"/>
              </w:rPr>
              <w:t>CO</w:t>
            </w:r>
            <w:r w:rsidR="009E3194" w:rsidRPr="00E46D72">
              <w:rPr>
                <w:rFonts w:ascii="Times New Roman" w:hAnsi="Times New Roman" w:cs="Times New Roman"/>
                <w:sz w:val="16"/>
                <w:szCs w:val="16"/>
                <w:vertAlign w:val="subscript"/>
                <w:lang w:val="en-US" w:eastAsia="zh-TW"/>
              </w:rPr>
              <w:t>2</w:t>
            </w:r>
            <w:r w:rsidR="001218B9" w:rsidRPr="00815B93">
              <w:rPr>
                <w:rFonts w:ascii="Times New Roman" w:hAnsi="Times New Roman" w:cs="Times New Roman"/>
                <w:sz w:val="16"/>
                <w:szCs w:val="16"/>
                <w:lang w:val="en-US" w:eastAsia="zh-TW"/>
              </w:rPr>
              <w:t xml:space="preserve">, </w:t>
            </w:r>
            <w:r w:rsidR="009E3194" w:rsidRPr="00815B93">
              <w:rPr>
                <w:rFonts w:ascii="Times New Roman" w:hAnsi="Times New Roman" w:cs="Times New Roman"/>
                <w:sz w:val="16"/>
                <w:szCs w:val="16"/>
                <w:lang w:val="en-US" w:eastAsia="zh-TW"/>
              </w:rPr>
              <w:t>CO</w:t>
            </w:r>
            <w:r w:rsidR="001218B9" w:rsidRPr="00815B93">
              <w:rPr>
                <w:rFonts w:ascii="Times New Roman" w:hAnsi="Times New Roman" w:cs="Times New Roman"/>
                <w:sz w:val="16"/>
                <w:szCs w:val="16"/>
                <w:lang w:val="en-US" w:eastAsia="zh-TW"/>
              </w:rPr>
              <w:t xml:space="preserve">, VOC, </w:t>
            </w:r>
            <w:r w:rsidR="009E3194">
              <w:rPr>
                <w:rFonts w:ascii="Times New Roman" w:hAnsi="Times New Roman" w:cs="Times New Roman"/>
                <w:sz w:val="16"/>
                <w:szCs w:val="16"/>
                <w:lang w:val="en-US" w:eastAsia="zh-TW"/>
              </w:rPr>
              <w:t>T</w:t>
            </w:r>
            <w:r w:rsidR="009E3194">
              <w:rPr>
                <w:rFonts w:ascii="Times New Roman" w:hAnsi="Times New Roman" w:cs="Times New Roman"/>
                <w:sz w:val="16"/>
                <w:szCs w:val="16"/>
                <w:vertAlign w:val="subscript"/>
                <w:lang w:val="en-US" w:eastAsia="zh-TW"/>
              </w:rPr>
              <w:t>s</w:t>
            </w:r>
          </w:p>
        </w:tc>
        <w:tc>
          <w:tcPr>
            <w:tcW w:w="2112" w:type="dxa"/>
            <w:tcBorders>
              <w:top w:val="nil"/>
              <w:left w:val="nil"/>
              <w:bottom w:val="single" w:sz="8" w:space="0" w:color="CCCCCC"/>
              <w:right w:val="single" w:sz="8" w:space="0" w:color="CCCCCC"/>
            </w:tcBorders>
            <w:vAlign w:val="bottom"/>
            <w:hideMark/>
          </w:tcPr>
          <w:p w14:paraId="73BD05BE"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BME280, SP-215, CV7-OEM, DYNAMENT MSH-P-CO2, FLIR vue Pro R</w:t>
            </w:r>
          </w:p>
        </w:tc>
        <w:tc>
          <w:tcPr>
            <w:tcW w:w="1822" w:type="dxa"/>
            <w:tcBorders>
              <w:top w:val="nil"/>
              <w:left w:val="nil"/>
              <w:bottom w:val="single" w:sz="8" w:space="0" w:color="CCCCCC"/>
              <w:right w:val="single" w:sz="8" w:space="0" w:color="CCCCCC"/>
            </w:tcBorders>
            <w:vAlign w:val="bottom"/>
            <w:hideMark/>
          </w:tcPr>
          <w:p w14:paraId="35922E34" w14:textId="673F74D5"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w:t>
            </w:r>
            <w:r w:rsidR="001218B9" w:rsidRPr="00815B93">
              <w:rPr>
                <w:rFonts w:ascii="Times New Roman" w:hAnsi="Times New Roman" w:cs="Times New Roman"/>
                <w:sz w:val="16"/>
                <w:szCs w:val="16"/>
                <w:lang w:val="en-US" w:eastAsia="zh-TW"/>
              </w:rPr>
              <w:t xml:space="preserve"> 0.5 °C; </w:t>
            </w:r>
            <w:r w:rsidR="001218B9">
              <w:rPr>
                <w:rFonts w:ascii="Times New Roman" w:hAnsi="Times New Roman" w:cs="Times New Roman"/>
                <w:sz w:val="16"/>
                <w:szCs w:val="16"/>
                <w:lang w:val="en-US" w:eastAsia="zh-TW"/>
              </w:rPr>
              <w:t>v</w:t>
            </w:r>
            <w:r w:rsidR="001218B9" w:rsidRPr="00815B93">
              <w:rPr>
                <w:rFonts w:ascii="Times New Roman" w:hAnsi="Times New Roman" w:cs="Times New Roman"/>
                <w:sz w:val="16"/>
                <w:szCs w:val="16"/>
                <w:lang w:val="en-US" w:eastAsia="zh-TW"/>
              </w:rPr>
              <w:t xml:space="preserve">: 0.13 m/s; </w:t>
            </w:r>
            <w:r w:rsidR="009E3194" w:rsidRPr="00815B93">
              <w:rPr>
                <w:rFonts w:ascii="Times New Roman" w:hAnsi="Times New Roman" w:cs="Times New Roman"/>
                <w:sz w:val="16"/>
                <w:szCs w:val="16"/>
                <w:lang w:val="en-US" w:eastAsia="zh-TW"/>
              </w:rPr>
              <w:t>CO</w:t>
            </w:r>
            <w:r w:rsidR="009E3194" w:rsidRPr="00E46D72">
              <w:rPr>
                <w:rFonts w:ascii="Times New Roman" w:hAnsi="Times New Roman" w:cs="Times New Roman"/>
                <w:sz w:val="16"/>
                <w:szCs w:val="16"/>
                <w:vertAlign w:val="subscript"/>
                <w:lang w:val="en-US" w:eastAsia="zh-TW"/>
              </w:rPr>
              <w:t>2</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w:t>
            </w:r>
            <w:r w:rsidR="001218B9" w:rsidRPr="00815B93">
              <w:rPr>
                <w:rFonts w:ascii="Times New Roman" w:hAnsi="Times New Roman" w:cs="Times New Roman"/>
                <w:sz w:val="16"/>
                <w:szCs w:val="16"/>
                <w:lang w:val="en-US" w:eastAsia="zh-TW"/>
              </w:rPr>
              <w:t xml:space="preserve"> 2%; </w:t>
            </w:r>
            <w:r w:rsidR="009E3194">
              <w:rPr>
                <w:rFonts w:ascii="Times New Roman" w:hAnsi="Times New Roman" w:cs="Times New Roman"/>
                <w:sz w:val="16"/>
                <w:szCs w:val="16"/>
                <w:lang w:val="en-US" w:eastAsia="zh-TW"/>
              </w:rPr>
              <w:t>T</w:t>
            </w:r>
            <w:r w:rsidR="009E3194">
              <w:rPr>
                <w:rFonts w:ascii="Times New Roman" w:hAnsi="Times New Roman" w:cs="Times New Roman"/>
                <w:sz w:val="16"/>
                <w:szCs w:val="16"/>
                <w:vertAlign w:val="subscript"/>
                <w:lang w:val="en-US" w:eastAsia="zh-TW"/>
              </w:rPr>
              <w:t>s</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w:t>
            </w:r>
            <w:r w:rsidR="001218B9" w:rsidRPr="00815B93">
              <w:rPr>
                <w:rFonts w:ascii="Times New Roman" w:hAnsi="Times New Roman" w:cs="Times New Roman"/>
                <w:sz w:val="16"/>
                <w:szCs w:val="16"/>
                <w:lang w:val="en-US" w:eastAsia="zh-TW"/>
              </w:rPr>
              <w:t xml:space="preserve"> 5 °C</w:t>
            </w:r>
          </w:p>
        </w:tc>
        <w:tc>
          <w:tcPr>
            <w:tcW w:w="2006" w:type="dxa"/>
            <w:tcBorders>
              <w:top w:val="nil"/>
              <w:left w:val="nil"/>
              <w:bottom w:val="single" w:sz="8" w:space="0" w:color="CCCCCC"/>
              <w:right w:val="single" w:sz="8" w:space="0" w:color="CCCCCC"/>
            </w:tcBorders>
            <w:vAlign w:val="bottom"/>
            <w:hideMark/>
          </w:tcPr>
          <w:p w14:paraId="4403552F" w14:textId="6C316B59"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 s to 30 s (t</w:t>
            </w:r>
            <w:r w:rsidR="006A48B1" w:rsidRPr="00F40E85">
              <w:rPr>
                <w:rFonts w:ascii="Times New Roman" w:hAnsi="Times New Roman" w:cs="Times New Roman"/>
                <w:sz w:val="16"/>
                <w:szCs w:val="16"/>
                <w:vertAlign w:val="subscript"/>
                <w:lang w:val="en-US" w:eastAsia="zh-TW"/>
              </w:rPr>
              <w:t>90</w:t>
            </w:r>
            <w:r w:rsidRPr="00815B93">
              <w:rPr>
                <w:rFonts w:ascii="Times New Roman" w:hAnsi="Times New Roman" w:cs="Times New Roman"/>
                <w:sz w:val="16"/>
                <w:szCs w:val="16"/>
                <w:lang w:val="en-US" w:eastAsia="zh-TW"/>
              </w:rPr>
              <w:t>)</w:t>
            </w:r>
          </w:p>
        </w:tc>
        <w:tc>
          <w:tcPr>
            <w:tcW w:w="1784" w:type="dxa"/>
            <w:tcBorders>
              <w:top w:val="nil"/>
              <w:left w:val="nil"/>
              <w:bottom w:val="single" w:sz="8" w:space="0" w:color="CCCCCC"/>
              <w:right w:val="single" w:sz="8" w:space="0" w:color="CCCCCC"/>
            </w:tcBorders>
            <w:vAlign w:val="bottom"/>
            <w:hideMark/>
          </w:tcPr>
          <w:p w14:paraId="4EE7D32D"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Helmet or Backpack</w:t>
            </w:r>
          </w:p>
        </w:tc>
        <w:tc>
          <w:tcPr>
            <w:tcW w:w="2050" w:type="dxa"/>
            <w:tcBorders>
              <w:top w:val="nil"/>
              <w:left w:val="nil"/>
              <w:bottom w:val="single" w:sz="8" w:space="0" w:color="CCCCCC"/>
              <w:right w:val="single" w:sz="8" w:space="0" w:color="CCCCCC"/>
            </w:tcBorders>
            <w:vAlign w:val="bottom"/>
            <w:hideMark/>
          </w:tcPr>
          <w:p w14:paraId="2E9D3CCA" w14:textId="050E5757" w:rsidR="001218B9" w:rsidRPr="00815B93" w:rsidRDefault="008C19B8"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{"citationID":"et8lAyJA","properties":{"formattedCitation":"(Pigliautile &amp; Pisello, 2018)","plainCitation":"(Pigliautile &amp; Pisello, 2018)","noteIndex":0},"citationItems":[{"id":214,"uris":["http://zotero.org/users/15620616/items/HTUJV37Q"],"itemData":{"id":214,"type":"article-journal","abstract":"Urban population is predicted to increase rapidly and massively in the next decades, by producing also the exacerbation of urban scale climate change imputable to anthropogenic actions, such as urban heat island. In this view, urban pedestrians assume a key role in determining city livability in dense built environments, typically much more polluted than suburban or rural areas. Despite that, urban heat island experimental studies are pretty focused on data collected by means of permanent microclimate stations for environmental monitoring, also coupled with satellite measurements or mobile stations equipped over transportation media. This work deals with the development, experimental startup with field test and critical data analysis of a brand new wearable system for microclimate and air quality investigation, just developed with the purpose to characterize livability environmental conditions which affect urban population wellbeing. To this aim, the experimental tool definition and the first field test are carried out in a historical city centre in Italy, where cluster analysis is performed in order to also identify the role of urban design in affecting key microclimate parameters such as air temperature, solar radiation, daylight, air pollution and pedestrian thermal comfort in general. The analysis showed that very site-specific environmental conditions may be detected while several environmental spheres are investigated by the novel wearable system in summer conditions.","container-title":"Science of The Total Environment","DOI":"10.1016/j.scitotenv.2018.02.208","ISSN":"0048-9697","journalAbbreviation":"Science of The Total Environment","page":"690-706","source":"ScienceDirect","title":"A new wearable monitoring system for investigating pedestrians' environmental conditions: Development of the experimental tool and start-up findings","title-short":"A new wearable monitoring system for investigating pedestrians' environmental conditions","volume":"630","author":[{"family":"Pigliautile","given":"Ilaria"},{"family":"Pisello","given":"Anna Laura"}],"issued":{"date-parts":[["2018",7,15]]}}}],"schema":"https://github.com/citation-style-language/schema/raw/master/csl-citation.json"} </w:instrText>
            </w:r>
            <w:r>
              <w:rPr>
                <w:rFonts w:ascii="Times New Roman" w:hAnsi="Times New Roman" w:cs="Times New Roman"/>
                <w:sz w:val="16"/>
                <w:szCs w:val="16"/>
                <w:lang w:val="en-US" w:eastAsia="zh-TW"/>
              </w:rPr>
              <w:fldChar w:fldCharType="separate"/>
            </w:r>
            <w:r w:rsidRPr="008C19B8">
              <w:rPr>
                <w:rFonts w:ascii="Times New Roman" w:hAnsi="Times New Roman" w:cs="Times New Roman"/>
                <w:sz w:val="16"/>
              </w:rPr>
              <w:t>Pigliautile &amp; Pisello, 2018</w:t>
            </w:r>
            <w:r>
              <w:rPr>
                <w:rFonts w:ascii="Times New Roman" w:hAnsi="Times New Roman" w:cs="Times New Roman"/>
                <w:sz w:val="16"/>
                <w:szCs w:val="16"/>
                <w:lang w:val="en-US" w:eastAsia="zh-TW"/>
              </w:rPr>
              <w:fldChar w:fldCharType="end"/>
            </w:r>
          </w:p>
        </w:tc>
      </w:tr>
      <w:tr w:rsidR="001218B9" w:rsidRPr="008C19B8" w14:paraId="1E011FE7"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52F45D0F"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Stop-and-go station (Parison 2023)</w:t>
            </w:r>
          </w:p>
        </w:tc>
        <w:tc>
          <w:tcPr>
            <w:tcW w:w="2326" w:type="dxa"/>
            <w:tcBorders>
              <w:top w:val="nil"/>
              <w:left w:val="nil"/>
              <w:bottom w:val="single" w:sz="8" w:space="0" w:color="CCCCCC"/>
              <w:right w:val="single" w:sz="8" w:space="0" w:color="CCCCCC"/>
            </w:tcBorders>
            <w:vAlign w:val="bottom"/>
            <w:hideMark/>
          </w:tcPr>
          <w:p w14:paraId="03A2F10E" w14:textId="3314A21B"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RH</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T</w:t>
            </w:r>
            <w:r w:rsidR="009E3194">
              <w:rPr>
                <w:rFonts w:ascii="Times New Roman" w:hAnsi="Times New Roman" w:cs="Times New Roman"/>
                <w:sz w:val="16"/>
                <w:szCs w:val="16"/>
                <w:vertAlign w:val="subscript"/>
                <w:lang w:val="en-US" w:eastAsia="zh-TW"/>
              </w:rPr>
              <w:t>g</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v</w:t>
            </w:r>
          </w:p>
        </w:tc>
        <w:tc>
          <w:tcPr>
            <w:tcW w:w="2112" w:type="dxa"/>
            <w:tcBorders>
              <w:top w:val="nil"/>
              <w:left w:val="nil"/>
              <w:bottom w:val="single" w:sz="8" w:space="0" w:color="CCCCCC"/>
              <w:right w:val="single" w:sz="8" w:space="0" w:color="CCCCCC"/>
            </w:tcBorders>
            <w:vAlign w:val="bottom"/>
            <w:hideMark/>
          </w:tcPr>
          <w:p w14:paraId="1D064914"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Sheltered Pt100, Capacitive hygrometer, Hot-wire anemometer</w:t>
            </w:r>
          </w:p>
        </w:tc>
        <w:tc>
          <w:tcPr>
            <w:tcW w:w="1822" w:type="dxa"/>
            <w:tcBorders>
              <w:top w:val="nil"/>
              <w:left w:val="nil"/>
              <w:bottom w:val="single" w:sz="8" w:space="0" w:color="CCCCCC"/>
              <w:right w:val="single" w:sz="8" w:space="0" w:color="CCCCCC"/>
            </w:tcBorders>
            <w:vAlign w:val="bottom"/>
            <w:hideMark/>
          </w:tcPr>
          <w:p w14:paraId="152E5770" w14:textId="4978C07A" w:rsidR="001218B9" w:rsidRPr="00F40E85"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F40E85">
              <w:rPr>
                <w:rFonts w:ascii="Times New Roman" w:hAnsi="Times New Roman" w:cs="Times New Roman"/>
                <w:sz w:val="16"/>
                <w:szCs w:val="16"/>
                <w:lang w:val="en-US" w:eastAsia="zh-TW"/>
              </w:rPr>
              <w:t xml:space="preserve">: ± 0.1 °C; RH: ± 1.5%; </w:t>
            </w:r>
            <w:r w:rsidR="009E3194">
              <w:rPr>
                <w:rFonts w:ascii="Times New Roman" w:hAnsi="Times New Roman" w:cs="Times New Roman"/>
                <w:sz w:val="16"/>
                <w:szCs w:val="16"/>
                <w:lang w:val="en-US" w:eastAsia="zh-TW"/>
              </w:rPr>
              <w:t>T</w:t>
            </w:r>
            <w:r w:rsidR="009E3194">
              <w:rPr>
                <w:rFonts w:ascii="Times New Roman" w:hAnsi="Times New Roman" w:cs="Times New Roman"/>
                <w:sz w:val="16"/>
                <w:szCs w:val="16"/>
                <w:vertAlign w:val="subscript"/>
                <w:lang w:val="en-US" w:eastAsia="zh-TW"/>
              </w:rPr>
              <w:t>g</w:t>
            </w:r>
            <w:r w:rsidR="001218B9" w:rsidRPr="00F40E85">
              <w:rPr>
                <w:rFonts w:ascii="Times New Roman" w:hAnsi="Times New Roman" w:cs="Times New Roman"/>
                <w:sz w:val="16"/>
                <w:szCs w:val="16"/>
                <w:lang w:val="en-US" w:eastAsia="zh-TW"/>
              </w:rPr>
              <w:t>: ± 0.15 °C</w:t>
            </w:r>
          </w:p>
        </w:tc>
        <w:tc>
          <w:tcPr>
            <w:tcW w:w="2006" w:type="dxa"/>
            <w:tcBorders>
              <w:top w:val="nil"/>
              <w:left w:val="nil"/>
              <w:bottom w:val="single" w:sz="8" w:space="0" w:color="CCCCCC"/>
              <w:right w:val="single" w:sz="8" w:space="0" w:color="CCCCCC"/>
            </w:tcBorders>
            <w:vAlign w:val="bottom"/>
            <w:hideMark/>
          </w:tcPr>
          <w:p w14:paraId="2DDD2EFE"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10–20 min stabilization</w:t>
            </w:r>
          </w:p>
        </w:tc>
        <w:tc>
          <w:tcPr>
            <w:tcW w:w="1784" w:type="dxa"/>
            <w:tcBorders>
              <w:top w:val="nil"/>
              <w:left w:val="nil"/>
              <w:bottom w:val="single" w:sz="8" w:space="0" w:color="CCCCCC"/>
              <w:right w:val="single" w:sz="8" w:space="0" w:color="CCCCCC"/>
            </w:tcBorders>
            <w:vAlign w:val="bottom"/>
            <w:hideMark/>
          </w:tcPr>
          <w:p w14:paraId="19608ECF"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Mobile station</w:t>
            </w:r>
          </w:p>
        </w:tc>
        <w:tc>
          <w:tcPr>
            <w:tcW w:w="2050" w:type="dxa"/>
            <w:tcBorders>
              <w:top w:val="nil"/>
              <w:left w:val="nil"/>
              <w:bottom w:val="single" w:sz="8" w:space="0" w:color="CCCCCC"/>
              <w:right w:val="single" w:sz="8" w:space="0" w:color="CCCCCC"/>
            </w:tcBorders>
            <w:vAlign w:val="bottom"/>
            <w:hideMark/>
          </w:tcPr>
          <w:p w14:paraId="28534815" w14:textId="3CBB71E3" w:rsidR="001218B9" w:rsidRPr="00815B93" w:rsidRDefault="008C19B8"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{"citationID":"jhSt9tOF","properties":{"formattedCitation":"(Parison et al., 2023)","plainCitation":"(Parison et al., 2023)","noteIndex":0},"citationItems":[{"id":224,"uris":["http://zotero.org/users/15620616/items/ZTRJ5B3T"],"itemData":{"id":224,"type":"article-journal","abstract":"An asphalt-concrete parking lot was converted to a small urban forest with 72 trees and permeable pavement as an urban heat island countermeasure. Microclimate monitoring was performed pre- and post-renovation using fixed and mobile measurements. We propose a protocol to estimate robust statistical effects over 24 h constructed with several days of observation, and to compare the spatial distribution of heat stress pre- and post-conversion regardless of differences in weather conditions. Detailed effects on solar and infrared radiation, microclimate and pedestrian heat stress are assessed and tested for statistical significance. Great improvements of pedestrian heat stress are reported, especially in daytime, following the creation of shade which significantly reduces the radiative load of the area. UTCI-equivalent temperature is reduced up to 6.2 °C (3.1 °C on a 24h-average). Mobile measurements were used to characterize the spatial disparity of heat stress. Strong thermal discomfort is exhibited under direct insolation. At night, positive effects on pedestrian heat stress are slightly counterbalanced by an increase in infrared trapping due to the reduction of the sky view factor beneath the trees while wind speed is slowed. Recommendations are formulated for urban planners.","container-title":"Sustainable Cities and Society","DOI":"10.1016/j.scs.2023.104818","ISSN":"2210-6707","journalAbbreviation":"Sustainable Cities and Society","page":"104818","source":"ScienceDirect","title":"The effects of greening a parking lot as a heat mitigation strategy on outdoor thermal stress using fixed and mobile measurements: case-study project “tertiary forest”","title-short":"The effects of greening a parking lot as a heat mitigation strategy on outdoor thermal stress using fixed and mobile measurements","volume":"98","author":[{"family":"Parison","given":"Sophie"},{"family":"Chaumont","given":"Maxime"},{"family":"Kounkou-Arnaud","given":"Raphaëlle"},{"family":"Long","given":"Frédéric"},{"family":"Bernik","given":"Andrej"},{"family":"Da Silva","given":"Marcos"},{"family":"Hendel","given":"Martin"}],"issued":{"date-parts":[["2023",11,1]]}}}],"schema":"https://github.com/citation-style-language/schema/raw/master/csl-citation.json"} </w:instrText>
            </w:r>
            <w:r>
              <w:rPr>
                <w:rFonts w:ascii="Times New Roman" w:hAnsi="Times New Roman" w:cs="Times New Roman"/>
                <w:sz w:val="16"/>
                <w:szCs w:val="16"/>
                <w:lang w:val="en-US" w:eastAsia="zh-TW"/>
              </w:rPr>
              <w:fldChar w:fldCharType="separate"/>
            </w:r>
            <w:r w:rsidRPr="008C19B8">
              <w:rPr>
                <w:rFonts w:ascii="Times New Roman" w:hAnsi="Times New Roman" w:cs="Times New Roman"/>
                <w:sz w:val="16"/>
              </w:rPr>
              <w:t>Parison et al., 2023</w:t>
            </w:r>
            <w:r>
              <w:rPr>
                <w:rFonts w:ascii="Times New Roman" w:hAnsi="Times New Roman" w:cs="Times New Roman"/>
                <w:sz w:val="16"/>
                <w:szCs w:val="16"/>
                <w:lang w:val="en-US" w:eastAsia="zh-TW"/>
              </w:rPr>
              <w:fldChar w:fldCharType="end"/>
            </w:r>
          </w:p>
        </w:tc>
      </w:tr>
      <w:tr w:rsidR="001218B9" w:rsidRPr="008C19B8" w14:paraId="6A232D4F"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2C31A554"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MaRTy (mobile platform)</w:t>
            </w:r>
          </w:p>
        </w:tc>
        <w:tc>
          <w:tcPr>
            <w:tcW w:w="2326" w:type="dxa"/>
            <w:tcBorders>
              <w:top w:val="nil"/>
              <w:left w:val="nil"/>
              <w:bottom w:val="single" w:sz="8" w:space="0" w:color="CCCCCC"/>
              <w:right w:val="single" w:sz="8" w:space="0" w:color="CCCCCC"/>
            </w:tcBorders>
            <w:vAlign w:val="bottom"/>
            <w:hideMark/>
          </w:tcPr>
          <w:p w14:paraId="07A05B24" w14:textId="1DB7239B"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RH</w:t>
            </w:r>
            <w:r w:rsidR="001218B9" w:rsidRPr="00815B93">
              <w:rPr>
                <w:rFonts w:ascii="Times New Roman" w:hAnsi="Times New Roman" w:cs="Times New Roman"/>
                <w:sz w:val="16"/>
                <w:szCs w:val="16"/>
                <w:lang w:val="en-US" w:eastAsia="zh-TW"/>
              </w:rPr>
              <w:t xml:space="preserve">, Radiation (SW/LW), </w:t>
            </w:r>
            <w:r w:rsidR="009E3194">
              <w:rPr>
                <w:rFonts w:ascii="Times New Roman" w:hAnsi="Times New Roman" w:cs="Times New Roman"/>
                <w:sz w:val="16"/>
                <w:szCs w:val="16"/>
                <w:lang w:val="en-US" w:eastAsia="zh-TW"/>
              </w:rPr>
              <w:t>v</w:t>
            </w:r>
          </w:p>
        </w:tc>
        <w:tc>
          <w:tcPr>
            <w:tcW w:w="2112" w:type="dxa"/>
            <w:tcBorders>
              <w:top w:val="nil"/>
              <w:left w:val="nil"/>
              <w:bottom w:val="single" w:sz="8" w:space="0" w:color="CCCCCC"/>
              <w:right w:val="single" w:sz="8" w:space="0" w:color="CCCCCC"/>
            </w:tcBorders>
            <w:vAlign w:val="bottom"/>
            <w:hideMark/>
          </w:tcPr>
          <w:p w14:paraId="2DD51C77"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Six-direction sensors</w:t>
            </w:r>
          </w:p>
        </w:tc>
        <w:tc>
          <w:tcPr>
            <w:tcW w:w="1822" w:type="dxa"/>
            <w:tcBorders>
              <w:top w:val="nil"/>
              <w:left w:val="nil"/>
              <w:bottom w:val="single" w:sz="8" w:space="0" w:color="CCCCCC"/>
              <w:right w:val="single" w:sz="8" w:space="0" w:color="CCCCCC"/>
            </w:tcBorders>
            <w:vAlign w:val="bottom"/>
            <w:hideMark/>
          </w:tcPr>
          <w:p w14:paraId="63B1D765"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Not in source</w:t>
            </w:r>
          </w:p>
        </w:tc>
        <w:tc>
          <w:tcPr>
            <w:tcW w:w="2006" w:type="dxa"/>
            <w:tcBorders>
              <w:top w:val="nil"/>
              <w:left w:val="nil"/>
              <w:bottom w:val="single" w:sz="8" w:space="0" w:color="CCCCCC"/>
              <w:right w:val="single" w:sz="8" w:space="0" w:color="CCCCCC"/>
            </w:tcBorders>
            <w:vAlign w:val="bottom"/>
            <w:hideMark/>
          </w:tcPr>
          <w:p w14:paraId="38A1398C"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Not in source</w:t>
            </w:r>
          </w:p>
        </w:tc>
        <w:tc>
          <w:tcPr>
            <w:tcW w:w="1784" w:type="dxa"/>
            <w:tcBorders>
              <w:top w:val="nil"/>
              <w:left w:val="nil"/>
              <w:bottom w:val="single" w:sz="8" w:space="0" w:color="CCCCCC"/>
              <w:right w:val="single" w:sz="8" w:space="0" w:color="CCCCCC"/>
            </w:tcBorders>
            <w:vAlign w:val="bottom"/>
            <w:hideMark/>
          </w:tcPr>
          <w:p w14:paraId="1C29935E"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Human-biometeorological cart</w:t>
            </w:r>
          </w:p>
        </w:tc>
        <w:tc>
          <w:tcPr>
            <w:tcW w:w="2050" w:type="dxa"/>
            <w:tcBorders>
              <w:top w:val="nil"/>
              <w:left w:val="nil"/>
              <w:bottom w:val="single" w:sz="8" w:space="0" w:color="CCCCCC"/>
              <w:right w:val="single" w:sz="8" w:space="0" w:color="CCCCCC"/>
            </w:tcBorders>
            <w:vAlign w:val="bottom"/>
            <w:hideMark/>
          </w:tcPr>
          <w:p w14:paraId="02073905" w14:textId="517517F4" w:rsidR="001218B9" w:rsidRPr="00815B93" w:rsidRDefault="006A48B1"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{"citationID":"NZoMF4kv","properties":{"formattedCitation":"(Dzyuban et al., 2022)","plainCitation":"(Dzyuban et al., 2022)","noteIndex":0},"citationItems":[{"id":221,"uris":["http://zotero.org/users/15620616/items/KW5SMHPV"],"itemData":{"id":221,"type":"article-journal","abstract":"Designing cities for thermal comfort is an important priority in a warming and urbanizing world. As temperatures in cities continue to break extreme heat records, it is necessary to develop and test new approaches capable of tracking human thermal sensations influenced by microclimate conditions, complex urban geometries, and individual characteristics in dynamic settings. Thermal walks are a promising novel research method to address this gap. During a thermal walk in Phoenix, Arizona, USA, we examined relationships between the built environment, microclimate, and subjective thermal judgments across a downtown city neighborhood slated for redevelopment. Subjects equipped with GPS devices participated in a 1-hour walk on a hot sunny day and recorded their experience in a field guide. Microclimate measurements were simultaneously collected using the mobile human-biometeorological instrument platform MaRTy. Results revealed significant differences in physiologically equivalent temperature (PET) and modified physiologically equivalent temperature (mPET) and between street segments with more than 18 °C (25 °C mPET) between the maximum and minimum values. Wider range of mPET values reflected the inclusion of individual level data into the model. Streets with higher sky view factor (SVF) and east-west orientation showed a higher PET and mPET overall. Furthermore, we showed evidence of thermal alliesthesia, the pleasure resulting from slight changes in microclimate conditions. Participants' sense of pleasure was related to the mean PET of the segment they just walked, with linear regression explaining over 60% of the variability. We also showed that estimated percent shade was significantly correlated with SVF, PET, mPET, and pleasure, indicating that participants could sense minor changes in microclimate and perceived shade as pleasant. Although generalization of results is limited by a low sample size, findings of this study improve the understanding of dynamic thermal comfort in complex urban environments and highlight the value of thermal walks as a robust research method.","container-title":"Science of The Total Environment","DOI":"10.1016/j.scitotenv.2022.155294","ISSN":"0048-9697","journalAbbreviation":"Science of The Total Environment","page":"155294","source":"ScienceDirect","title":"Evidence of alliesthesia during a neighborhood thermal walk in a hot and dry city","volume":"834","author":[{"family":"Dzyuban","given":"Y."},{"family":"Hondula","given":"D. M."},{"family":"Vanos","given":"J. K."},{"family":"Middel","given":"A."},{"family":"Coseo","given":"P. J."},{"family":"Kuras","given":"E. R."},{"family":"Redman","given":"C. L."}],"issued":{"date-parts":[["2022",8,15]]}}}],"schema":"https://github.com/citation-style-language/schema/raw/master/csl-citation.json"}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sz w:val="16"/>
                <w:lang w:val="en-US"/>
              </w:rPr>
              <w:t>Dzyuban et al., 2022</w:t>
            </w:r>
            <w:r>
              <w:rPr>
                <w:rFonts w:ascii="Times New Roman" w:hAnsi="Times New Roman" w:cs="Times New Roman"/>
                <w:sz w:val="16"/>
                <w:szCs w:val="16"/>
                <w:lang w:val="en-US" w:eastAsia="zh-TW"/>
              </w:rPr>
              <w:fldChar w:fldCharType="end"/>
            </w:r>
          </w:p>
        </w:tc>
      </w:tr>
      <w:tr w:rsidR="001218B9" w:rsidRPr="008C19B8" w14:paraId="6CB847BE"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628E2E41"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MoBio Platform</w:t>
            </w:r>
          </w:p>
        </w:tc>
        <w:tc>
          <w:tcPr>
            <w:tcW w:w="2326" w:type="dxa"/>
            <w:tcBorders>
              <w:top w:val="nil"/>
              <w:left w:val="nil"/>
              <w:bottom w:val="single" w:sz="8" w:space="0" w:color="CCCCCC"/>
              <w:right w:val="single" w:sz="8" w:space="0" w:color="CCCCCC"/>
            </w:tcBorders>
            <w:vAlign w:val="bottom"/>
            <w:hideMark/>
          </w:tcPr>
          <w:p w14:paraId="03915C71" w14:textId="57BF94E4" w:rsidR="001218B9" w:rsidRPr="008C19B8" w:rsidRDefault="003546A2" w:rsidP="00815B93">
            <w:pPr>
              <w:pStyle w:val="NoSpacing"/>
              <w:rPr>
                <w:rFonts w:ascii="Times New Roman" w:hAnsi="Times New Roman" w:cs="Times New Roman"/>
                <w:sz w:val="16"/>
                <w:szCs w:val="16"/>
                <w:lang w:val="en-US" w:eastAsia="zh-TW"/>
              </w:rPr>
            </w:pPr>
            <w:r w:rsidRPr="008C19B8">
              <w:rPr>
                <w:rFonts w:ascii="Times New Roman" w:hAnsi="Times New Roman" w:cs="Times New Roman"/>
                <w:sz w:val="16"/>
                <w:szCs w:val="16"/>
                <w:lang w:val="en-US" w:eastAsia="zh-TW"/>
              </w:rPr>
              <w:t>T</w:t>
            </w:r>
            <w:r w:rsidRPr="008C19B8">
              <w:rPr>
                <w:rFonts w:ascii="Times New Roman" w:hAnsi="Times New Roman" w:cs="Times New Roman"/>
                <w:sz w:val="16"/>
                <w:szCs w:val="16"/>
                <w:vertAlign w:val="subscript"/>
                <w:lang w:val="en-US" w:eastAsia="zh-TW"/>
              </w:rPr>
              <w:t>a</w:t>
            </w:r>
            <w:r w:rsidR="001218B9" w:rsidRPr="008C19B8">
              <w:rPr>
                <w:rFonts w:ascii="Times New Roman" w:hAnsi="Times New Roman" w:cs="Times New Roman"/>
                <w:sz w:val="16"/>
                <w:szCs w:val="16"/>
                <w:lang w:val="en-US" w:eastAsia="zh-TW"/>
              </w:rPr>
              <w:t xml:space="preserve">, </w:t>
            </w:r>
            <w:r w:rsidR="009E3194" w:rsidRPr="008C19B8">
              <w:rPr>
                <w:rFonts w:ascii="Times New Roman" w:hAnsi="Times New Roman" w:cs="Times New Roman"/>
                <w:sz w:val="16"/>
                <w:szCs w:val="16"/>
                <w:lang w:val="en-US" w:eastAsia="zh-TW"/>
              </w:rPr>
              <w:t>RH</w:t>
            </w:r>
            <w:r w:rsidR="001218B9" w:rsidRPr="008C19B8">
              <w:rPr>
                <w:rFonts w:ascii="Times New Roman" w:hAnsi="Times New Roman" w:cs="Times New Roman"/>
                <w:sz w:val="16"/>
                <w:szCs w:val="16"/>
                <w:lang w:val="en-US" w:eastAsia="zh-TW"/>
              </w:rPr>
              <w:t xml:space="preserve">, </w:t>
            </w:r>
            <w:r w:rsidR="009E3194" w:rsidRPr="008C19B8">
              <w:rPr>
                <w:rFonts w:ascii="Times New Roman" w:hAnsi="Times New Roman" w:cs="Times New Roman"/>
                <w:sz w:val="16"/>
                <w:szCs w:val="16"/>
                <w:lang w:val="en-US" w:eastAsia="zh-TW"/>
              </w:rPr>
              <w:t>v</w:t>
            </w:r>
            <w:r w:rsidR="009E3194" w:rsidRPr="00F40E85">
              <w:rPr>
                <w:rFonts w:ascii="Times New Roman" w:hAnsi="Times New Roman" w:cs="Times New Roman"/>
                <w:sz w:val="16"/>
                <w:szCs w:val="16"/>
                <w:lang w:val="en-US" w:eastAsia="zh-TW"/>
              </w:rPr>
              <w:t>, G</w:t>
            </w:r>
            <w:r w:rsidR="001218B9" w:rsidRPr="008C19B8">
              <w:rPr>
                <w:rFonts w:ascii="Times New Roman" w:hAnsi="Times New Roman" w:cs="Times New Roman"/>
                <w:sz w:val="16"/>
                <w:szCs w:val="16"/>
                <w:lang w:val="en-US" w:eastAsia="zh-TW"/>
              </w:rPr>
              <w:t>, Fluxes</w:t>
            </w:r>
          </w:p>
        </w:tc>
        <w:tc>
          <w:tcPr>
            <w:tcW w:w="2112" w:type="dxa"/>
            <w:tcBorders>
              <w:top w:val="nil"/>
              <w:left w:val="nil"/>
              <w:bottom w:val="single" w:sz="8" w:space="0" w:color="CCCCCC"/>
              <w:right w:val="single" w:sz="8" w:space="0" w:color="CCCCCC"/>
            </w:tcBorders>
            <w:vAlign w:val="bottom"/>
            <w:hideMark/>
          </w:tcPr>
          <w:p w14:paraId="7A9412F2"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Integrated (Hukseflux, Gill, Vaisala)</w:t>
            </w:r>
          </w:p>
        </w:tc>
        <w:tc>
          <w:tcPr>
            <w:tcW w:w="1822" w:type="dxa"/>
            <w:tcBorders>
              <w:top w:val="nil"/>
              <w:left w:val="nil"/>
              <w:bottom w:val="single" w:sz="8" w:space="0" w:color="CCCCCC"/>
              <w:right w:val="single" w:sz="8" w:space="0" w:color="CCCCCC"/>
            </w:tcBorders>
            <w:vAlign w:val="bottom"/>
            <w:hideMark/>
          </w:tcPr>
          <w:p w14:paraId="1DA7BB16"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Not in source</w:t>
            </w:r>
          </w:p>
        </w:tc>
        <w:tc>
          <w:tcPr>
            <w:tcW w:w="2006" w:type="dxa"/>
            <w:tcBorders>
              <w:top w:val="nil"/>
              <w:left w:val="nil"/>
              <w:bottom w:val="single" w:sz="8" w:space="0" w:color="CCCCCC"/>
              <w:right w:val="single" w:sz="8" w:space="0" w:color="CCCCCC"/>
            </w:tcBorders>
            <w:vAlign w:val="bottom"/>
            <w:hideMark/>
          </w:tcPr>
          <w:p w14:paraId="46C1077E"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2 s intervals</w:t>
            </w:r>
          </w:p>
        </w:tc>
        <w:tc>
          <w:tcPr>
            <w:tcW w:w="1784" w:type="dxa"/>
            <w:tcBorders>
              <w:top w:val="nil"/>
              <w:left w:val="nil"/>
              <w:bottom w:val="single" w:sz="8" w:space="0" w:color="CCCCCC"/>
              <w:right w:val="single" w:sz="8" w:space="0" w:color="CCCCCC"/>
            </w:tcBorders>
            <w:vAlign w:val="bottom"/>
            <w:hideMark/>
          </w:tcPr>
          <w:p w14:paraId="76495811"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Pedestrian-carried / Push-cart</w:t>
            </w:r>
          </w:p>
        </w:tc>
        <w:tc>
          <w:tcPr>
            <w:tcW w:w="2050" w:type="dxa"/>
            <w:tcBorders>
              <w:top w:val="nil"/>
              <w:left w:val="nil"/>
              <w:bottom w:val="single" w:sz="8" w:space="0" w:color="CCCCCC"/>
              <w:right w:val="single" w:sz="8" w:space="0" w:color="CCCCCC"/>
            </w:tcBorders>
            <w:vAlign w:val="bottom"/>
            <w:hideMark/>
          </w:tcPr>
          <w:p w14:paraId="76C48892" w14:textId="646AB251" w:rsidR="001218B9" w:rsidRPr="00815B93" w:rsidRDefault="006A48B1"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{"citationID":"oZFyjimE","properties":{"formattedCitation":"(Ouyang et al., 2025)","plainCitation":"(Ouyang et al., 2025)","noteIndex":0},"citationItems":[{"id":239,"uris":["http://zotero.org/users/15620616/items/C8HDYBVV"],"itemData":{"id":239,"type":"article-journal","abstract":"In light of escalating climate change, causing more frequent and severe heatwaves, outdoor walking during the hot weather poses risks of heat stress and health issues. Evaluating pedestrian thermal comfort and physiological responses across varying outdoor environments is crucial. Physiologically Equivalent Temperature (PET) is a widely utilized thermal index, while modified PET was proposed to improve the application in high humidity regions. There has been a lack of comparative evaluations assessing the ability of PET and mPET models to predict physiological responses. This study aims to systematically evaluate the performance of PET and mPET in outdoor walking scenarios. Three typical outdoor environments and two age groups have been considered. Using the measured skin temperature (Tskin) and core temperature (Tcore) as benchmark, this study finds that mPET outperforms PET in dynamic walking processes, irrespective of environmental settings and personnel characteristics. The root mean square errors (RMSE) of Tskin based on PET and mPET estimations were 3.66 °C and 1.04 °C, respectively. While for Tcore, PET and mPET models presented RMSE of 2.02 °C and 0.24 °C, separately. Sensitivity tests highlighted the impact of personal characteristics (e.g., age, sex, weighting, height, etc.) on thermos-physiological responses. PET model overestimated Tcore and Tskin in all outdoor walking scenarios, indicating its limitations. This study contributes by (1) bridging the gap between theoretical modelling and practical applications, aiding in model selection for specific walking scenario; (2) providing valuable insights for improving physiological models, and designing health-conscious urban environments.","container-title":"Building and Environment","DOI":"10.1016/j.buildenv.2025.112636","ISSN":"0360-1323","journalAbbreviation":"Building and Environment","page":"112636","source":"ScienceDirect","title":"Comparative evaluation of PET and mPET models for outdoor walking in hot-humid climates","volume":"271","author":[{"family":"Ouyang","given":"Wanlu"},{"family":"Tan","given":"Zheng"},{"family":"Chen","given":"Yung-Chang"},{"family":"Ren","given":"Guancong"}],"issued":{"date-parts":[["2025",3,1]]}}}],"schema":"https://github.com/citation-style-language/schema/raw/master/csl-citation.json"} </w:instrText>
            </w:r>
            <w:r>
              <w:rPr>
                <w:rFonts w:ascii="Times New Roman" w:hAnsi="Times New Roman" w:cs="Times New Roman"/>
                <w:sz w:val="16"/>
                <w:szCs w:val="16"/>
                <w:lang w:val="en-US" w:eastAsia="zh-TW"/>
              </w:rPr>
              <w:fldChar w:fldCharType="separate"/>
            </w:r>
            <w:r w:rsidRPr="006A48B1">
              <w:rPr>
                <w:rFonts w:ascii="Times New Roman" w:hAnsi="Times New Roman" w:cs="Times New Roman"/>
                <w:sz w:val="16"/>
              </w:rPr>
              <w:t>Ouyang et al., 2025</w:t>
            </w:r>
            <w:r>
              <w:rPr>
                <w:rFonts w:ascii="Times New Roman" w:hAnsi="Times New Roman" w:cs="Times New Roman"/>
                <w:sz w:val="16"/>
                <w:szCs w:val="16"/>
                <w:lang w:val="en-US" w:eastAsia="zh-TW"/>
              </w:rPr>
              <w:fldChar w:fldCharType="end"/>
            </w:r>
          </w:p>
        </w:tc>
      </w:tr>
      <w:tr w:rsidR="001218B9" w:rsidRPr="008C19B8" w14:paraId="7234B7CF"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74A523DB"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HR-500</w:t>
            </w:r>
          </w:p>
        </w:tc>
        <w:tc>
          <w:tcPr>
            <w:tcW w:w="2326" w:type="dxa"/>
            <w:tcBorders>
              <w:top w:val="nil"/>
              <w:left w:val="nil"/>
              <w:bottom w:val="single" w:sz="8" w:space="0" w:color="CCCCCC"/>
              <w:right w:val="single" w:sz="8" w:space="0" w:color="CCCCCC"/>
            </w:tcBorders>
            <w:vAlign w:val="bottom"/>
            <w:hideMark/>
          </w:tcPr>
          <w:p w14:paraId="7E5D6EAF" w14:textId="0360AE1F"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 xml:space="preserve">PM1, PM2.5, PM10, </w:t>
            </w:r>
            <w:r w:rsidR="009E3194" w:rsidRPr="00815B93">
              <w:rPr>
                <w:rFonts w:ascii="Times New Roman" w:hAnsi="Times New Roman" w:cs="Times New Roman"/>
                <w:sz w:val="16"/>
                <w:szCs w:val="16"/>
                <w:lang w:val="en-US" w:eastAsia="zh-TW"/>
              </w:rPr>
              <w:t>CO</w:t>
            </w:r>
            <w:r w:rsidR="009E3194" w:rsidRPr="00E46D72">
              <w:rPr>
                <w:rFonts w:ascii="Times New Roman" w:hAnsi="Times New Roman" w:cs="Times New Roman"/>
                <w:sz w:val="16"/>
                <w:szCs w:val="16"/>
                <w:vertAlign w:val="subscript"/>
                <w:lang w:val="en-US" w:eastAsia="zh-TW"/>
              </w:rPr>
              <w:t>2</w:t>
            </w:r>
          </w:p>
        </w:tc>
        <w:tc>
          <w:tcPr>
            <w:tcW w:w="2112" w:type="dxa"/>
            <w:tcBorders>
              <w:top w:val="nil"/>
              <w:left w:val="nil"/>
              <w:bottom w:val="single" w:sz="8" w:space="0" w:color="CCCCCC"/>
              <w:right w:val="single" w:sz="8" w:space="0" w:color="CCCCCC"/>
            </w:tcBorders>
            <w:vAlign w:val="bottom"/>
            <w:hideMark/>
          </w:tcPr>
          <w:p w14:paraId="616C1F97"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Not in source</w:t>
            </w:r>
          </w:p>
        </w:tc>
        <w:tc>
          <w:tcPr>
            <w:tcW w:w="1822" w:type="dxa"/>
            <w:tcBorders>
              <w:top w:val="nil"/>
              <w:left w:val="nil"/>
              <w:bottom w:val="single" w:sz="8" w:space="0" w:color="CCCCCC"/>
              <w:right w:val="single" w:sz="8" w:space="0" w:color="CCCCCC"/>
            </w:tcBorders>
            <w:vAlign w:val="bottom"/>
            <w:hideMark/>
          </w:tcPr>
          <w:p w14:paraId="0C04D2FA" w14:textId="2A2843E2"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PM: 0.1 g/m</w:t>
            </w:r>
            <w:r w:rsidRPr="00F40E85">
              <w:rPr>
                <w:rFonts w:ascii="Times New Roman" w:hAnsi="Times New Roman" w:cs="Times New Roman"/>
                <w:sz w:val="16"/>
                <w:szCs w:val="16"/>
                <w:vertAlign w:val="superscript"/>
                <w:lang w:val="en-US" w:eastAsia="zh-TW"/>
              </w:rPr>
              <w:t>3</w:t>
            </w:r>
            <w:r w:rsidRPr="00815B93">
              <w:rPr>
                <w:rFonts w:ascii="Times New Roman" w:hAnsi="Times New Roman" w:cs="Times New Roman"/>
                <w:sz w:val="16"/>
                <w:szCs w:val="16"/>
                <w:lang w:val="en-US" w:eastAsia="zh-TW"/>
              </w:rPr>
              <w:t xml:space="preserve">; </w:t>
            </w:r>
            <w:r w:rsidR="009E3194" w:rsidRPr="00815B93">
              <w:rPr>
                <w:rFonts w:ascii="Times New Roman" w:hAnsi="Times New Roman" w:cs="Times New Roman"/>
                <w:sz w:val="16"/>
                <w:szCs w:val="16"/>
                <w:lang w:val="en-US" w:eastAsia="zh-TW"/>
              </w:rPr>
              <w:t>CO</w:t>
            </w:r>
            <w:r w:rsidR="009E3194" w:rsidRPr="00E46D72">
              <w:rPr>
                <w:rFonts w:ascii="Times New Roman" w:hAnsi="Times New Roman" w:cs="Times New Roman"/>
                <w:sz w:val="16"/>
                <w:szCs w:val="16"/>
                <w:vertAlign w:val="subscript"/>
                <w:lang w:val="en-US" w:eastAsia="zh-TW"/>
              </w:rPr>
              <w:t>2</w:t>
            </w:r>
            <w:r w:rsidRPr="00815B93">
              <w:rPr>
                <w:rFonts w:ascii="Times New Roman" w:hAnsi="Times New Roman" w:cs="Times New Roman"/>
                <w:sz w:val="16"/>
                <w:szCs w:val="16"/>
                <w:lang w:val="en-US" w:eastAsia="zh-TW"/>
              </w:rPr>
              <w:t>: 1 ppmv</w:t>
            </w:r>
          </w:p>
        </w:tc>
        <w:tc>
          <w:tcPr>
            <w:tcW w:w="2006" w:type="dxa"/>
            <w:tcBorders>
              <w:top w:val="nil"/>
              <w:left w:val="nil"/>
              <w:bottom w:val="single" w:sz="8" w:space="0" w:color="CCCCCC"/>
              <w:right w:val="single" w:sz="8" w:space="0" w:color="CCCCCC"/>
            </w:tcBorders>
            <w:vAlign w:val="bottom"/>
            <w:hideMark/>
          </w:tcPr>
          <w:p w14:paraId="301E829C"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 s</w:t>
            </w:r>
          </w:p>
        </w:tc>
        <w:tc>
          <w:tcPr>
            <w:tcW w:w="1784" w:type="dxa"/>
            <w:tcBorders>
              <w:top w:val="nil"/>
              <w:left w:val="nil"/>
              <w:bottom w:val="single" w:sz="8" w:space="0" w:color="CCCCCC"/>
              <w:right w:val="single" w:sz="8" w:space="0" w:color="CCCCCC"/>
            </w:tcBorders>
            <w:vAlign w:val="bottom"/>
            <w:hideMark/>
          </w:tcPr>
          <w:p w14:paraId="1D856095"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Backpack</w:t>
            </w:r>
          </w:p>
        </w:tc>
        <w:tc>
          <w:tcPr>
            <w:tcW w:w="2050" w:type="dxa"/>
            <w:tcBorders>
              <w:top w:val="nil"/>
              <w:left w:val="nil"/>
              <w:bottom w:val="single" w:sz="8" w:space="0" w:color="CCCCCC"/>
              <w:right w:val="single" w:sz="8" w:space="0" w:color="CCCCCC"/>
            </w:tcBorders>
            <w:vAlign w:val="bottom"/>
            <w:hideMark/>
          </w:tcPr>
          <w:p w14:paraId="20D6F9AA" w14:textId="15195FAB" w:rsidR="001218B9" w:rsidRPr="00815B93" w:rsidRDefault="006A48B1"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{"citationID":"KR2SiPfv","properties":{"formattedCitation":"(Lam et al., 2024)","plainCitation":"(Lam et al., 2024)","noteIndex":0},"citationItems":[{"id":240,"uris":["http://zotero.org/users/15620616/items/BPR5GRR6"],"itemData":{"id":240,"type":"article-journal","abstract":"Urban residents are exposed to multiple environmental stimuli. Past studies have examined the influence of heat stress on outdoor thermal comfort, but the cross-modal effects of various sensory stimuli on outdoor thermal comfort remain unclear. This study used chi-square tests and logistic regression to examine the cross-modal effects of perceived environmental quality (acoustic, visual and air quality) and psychological status (irritability, perceived tiredness) on outdoor thermal comfort. We conducted thermal walk experiments in Guangzhou, China, in September and October 2022. This panel study consisted of mobile environmental sensors and thermal comfort surveys by fourteen university students on three walking routes, representing urban renewal sites, new urban areas, and urban blue-green spaces. The ‘very bright’ (OR=15.76, p&lt;0.001) and ‘glaring’ groups (OR=4.09, p&lt;0.001) were likelier to feel hotter than the ‘dark’ and ‘not glaring’ groups. People who found the noise level annoying were likelier to feel uncomfortable (OR=1.61, p=0.004). Moreover, people perceiving air quality as ‘very good’ were less likely to find the thermal environment unacceptable (OR=0.27, p=0.035). The irritated (OR=4.18, p&lt;0.001) and tired groups (OR=1.81, p=0.002) were likelier to find the thermal environment intolerable. Our findings highlight the need to consider multisensory comfort and psychological status to inform sustainable urban design.","container-title":"Sustainable Cities and Society","DOI":"10.1016/j.scs.2024.105578","ISSN":"2210-6707","journalAbbreviation":"Sustainable Cities and Society","page":"105578","source":"ScienceDirect","title":"Effects of perceived environmental quality and psychological status on outdoor thermal comfort: a panel study in Southern China","title-short":"Effects of perceived environmental quality and psychological status on outdoor thermal comfort","volume":"112","author":[{"family":"Lam","given":"Cho Kwong Charlie"},{"family":"Pan","given":"Haonan"},{"family":"Nie","given":"Weixiao"},{"family":"Li","given":"Xiaohui"},{"family":"Wu","given":"Jie"},{"family":"Yin","given":"Zhe"},{"family":"Han","given":"Jiejie"}],"issued":{"date-parts":[["2024",10,1]]}}}],"schema":"https://github.com/citation-style-language/schema/raw/master/csl-citation.json"} </w:instrText>
            </w:r>
            <w:r>
              <w:rPr>
                <w:rFonts w:ascii="Times New Roman" w:hAnsi="Times New Roman" w:cs="Times New Roman"/>
                <w:sz w:val="16"/>
                <w:szCs w:val="16"/>
                <w:lang w:val="en-US" w:eastAsia="zh-TW"/>
              </w:rPr>
              <w:fldChar w:fldCharType="separate"/>
            </w:r>
            <w:r w:rsidRPr="006A48B1">
              <w:rPr>
                <w:rFonts w:ascii="Times New Roman" w:hAnsi="Times New Roman" w:cs="Times New Roman"/>
                <w:sz w:val="16"/>
              </w:rPr>
              <w:t>Lam et al., 2024</w:t>
            </w:r>
            <w:r>
              <w:rPr>
                <w:rFonts w:ascii="Times New Roman" w:hAnsi="Times New Roman" w:cs="Times New Roman"/>
                <w:sz w:val="16"/>
                <w:szCs w:val="16"/>
                <w:lang w:val="en-US" w:eastAsia="zh-TW"/>
              </w:rPr>
              <w:fldChar w:fldCharType="end"/>
            </w:r>
          </w:p>
        </w:tc>
      </w:tr>
      <w:tr w:rsidR="001218B9" w:rsidRPr="008C19B8" w14:paraId="028E558F"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6B7C8438"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TES 1339R lux meter</w:t>
            </w:r>
          </w:p>
        </w:tc>
        <w:tc>
          <w:tcPr>
            <w:tcW w:w="2326" w:type="dxa"/>
            <w:tcBorders>
              <w:top w:val="nil"/>
              <w:left w:val="nil"/>
              <w:bottom w:val="single" w:sz="8" w:space="0" w:color="CCCCCC"/>
              <w:right w:val="single" w:sz="8" w:space="0" w:color="CCCCCC"/>
            </w:tcBorders>
            <w:vAlign w:val="bottom"/>
            <w:hideMark/>
          </w:tcPr>
          <w:p w14:paraId="22E95AA5"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Illuminance (lx)</w:t>
            </w:r>
          </w:p>
        </w:tc>
        <w:tc>
          <w:tcPr>
            <w:tcW w:w="2112" w:type="dxa"/>
            <w:tcBorders>
              <w:top w:val="nil"/>
              <w:left w:val="nil"/>
              <w:bottom w:val="single" w:sz="8" w:space="0" w:color="CCCCCC"/>
              <w:right w:val="single" w:sz="8" w:space="0" w:color="CCCCCC"/>
            </w:tcBorders>
            <w:vAlign w:val="bottom"/>
            <w:hideMark/>
          </w:tcPr>
          <w:p w14:paraId="6D4740FC"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Lux meter</w:t>
            </w:r>
          </w:p>
        </w:tc>
        <w:tc>
          <w:tcPr>
            <w:tcW w:w="1822" w:type="dxa"/>
            <w:tcBorders>
              <w:top w:val="nil"/>
              <w:left w:val="nil"/>
              <w:bottom w:val="single" w:sz="8" w:space="0" w:color="CCCCCC"/>
              <w:right w:val="single" w:sz="8" w:space="0" w:color="CCCCCC"/>
            </w:tcBorders>
            <w:vAlign w:val="bottom"/>
            <w:hideMark/>
          </w:tcPr>
          <w:p w14:paraId="6194E39A" w14:textId="77777777" w:rsidR="001218B9" w:rsidRPr="00815B93" w:rsidRDefault="001218B9"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w:t>
            </w:r>
            <w:r w:rsidRPr="00815B93">
              <w:rPr>
                <w:rFonts w:ascii="Times New Roman" w:hAnsi="Times New Roman" w:cs="Times New Roman"/>
                <w:sz w:val="16"/>
                <w:szCs w:val="16"/>
                <w:lang w:val="en-US" w:eastAsia="zh-TW"/>
              </w:rPr>
              <w:t xml:space="preserve"> 3% of readings</w:t>
            </w:r>
          </w:p>
        </w:tc>
        <w:tc>
          <w:tcPr>
            <w:tcW w:w="2006" w:type="dxa"/>
            <w:tcBorders>
              <w:top w:val="nil"/>
              <w:left w:val="nil"/>
              <w:bottom w:val="single" w:sz="8" w:space="0" w:color="CCCCCC"/>
              <w:right w:val="single" w:sz="8" w:space="0" w:color="CCCCCC"/>
            </w:tcBorders>
            <w:vAlign w:val="bottom"/>
            <w:hideMark/>
          </w:tcPr>
          <w:p w14:paraId="27EC860E"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 s</w:t>
            </w:r>
          </w:p>
        </w:tc>
        <w:tc>
          <w:tcPr>
            <w:tcW w:w="1784" w:type="dxa"/>
            <w:tcBorders>
              <w:top w:val="nil"/>
              <w:left w:val="nil"/>
              <w:bottom w:val="single" w:sz="8" w:space="0" w:color="CCCCCC"/>
              <w:right w:val="single" w:sz="8" w:space="0" w:color="CCCCCC"/>
            </w:tcBorders>
            <w:vAlign w:val="bottom"/>
            <w:hideMark/>
          </w:tcPr>
          <w:p w14:paraId="37DF8B46"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Backpack</w:t>
            </w:r>
          </w:p>
        </w:tc>
        <w:tc>
          <w:tcPr>
            <w:tcW w:w="2050" w:type="dxa"/>
            <w:tcBorders>
              <w:top w:val="nil"/>
              <w:left w:val="nil"/>
              <w:bottom w:val="single" w:sz="8" w:space="0" w:color="CCCCCC"/>
              <w:right w:val="single" w:sz="8" w:space="0" w:color="CCCCCC"/>
            </w:tcBorders>
            <w:vAlign w:val="bottom"/>
            <w:hideMark/>
          </w:tcPr>
          <w:p w14:paraId="5630FD95" w14:textId="0977EDAE" w:rsidR="006A48B1" w:rsidRDefault="006A48B1" w:rsidP="00815B93">
            <w:pPr>
              <w:pStyle w:val="NoSpacing"/>
              <w:rPr>
                <w:rFonts w:ascii="Times New Roman" w:hAnsi="Times New Roman" w:cs="Times New Roman"/>
                <w:sz w:val="16"/>
                <w:lang w:val="en-US"/>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{"citationID":"lKRA5DGW","properties":{"formattedCitation":"(X. Deng et al., 2023; Lam et al., 2024)","plainCitation":"(X. Deng et al., 2023; Lam et al., 2024)","noteIndex":0},"citationItems":[{"id":233,"uris":["http://zotero.org/users/15620616/items/94AQ63IS"],"itemData":{"id":233,"type":"article-journal","abstract":"Urban populations face increasing heat stress in cities. However, the influence of the built environment of new and old urban blocks on pedestrian thermal comfort remains unclear. This study selected typical old (Yongqingfang) and new urban areas (Knowledge City) in Guangzhou, China, as our research sites. Through field monitoring and surveys, we used physiological equivalent temperature (PET) and thermal comfort vote (TCV) to evaluate outdoor thermal comfort by thermal walk experiments. We analyzed the relationships between built environment variables, meteorological variables, and pedestrian thermal comfort at the two sites. Our analysis revealed significant differences in the built environment and meteorological conditions between the new and old urban blocks within the 60-m buffer zone. PET and TCV showed noticeable spatiotemporal variations in both sites, and their correlation was stronger in the morning (r = 0.87–0.89) than late afternoon (r = 0.60–0.70). Our stepwise regression model indicated that sky view factor and building coverage ratio significantly affected outdoor thermal comfort in old and new urban blocks. Built environment variables explained a higher percentage of the variance in PET (Yongqingfang R2: 0.59–0.82, Knowledge City R2: 0.32–0.81) than TCV (Yongqingfang R2: 0.45–0.57, Knowledge City R2: 0.48–0.69). In short, built environment variables affected thermal indices more than thermal perception. The impact of built environment variables on TCV is also greater in new urban areas than in old urban blocks. Our findings provide insights into the complex relationship between built environments and outdoor thermal comfort in different urban landscapes, which informs climate-resilient urban design.","container-title":"Building and Environment","DOI":"10.1016/j.buildenv.2023.110133","ISSN":"0360-1323","journalAbbreviation":"Building and Environment","page":"110133","source":"ScienceDirect","title":"Influence of built environment on outdoor thermal comfort: A comparative study of new and old urban blocks in Guangzhou","title-short":"Influence of built environment on outdoor thermal comfort","volume":"234","author":[{"family":"Deng","given":"Xingdong"},{"family":"Nie","given":"Weixiao"},{"family":"Li","given":"Xiaohui"},{"family":"Wu","given":"Jie"},{"family":"Yin","given":"Zhe"},{"family":"Han","given":"Jiejie"},{"family":"Pan","given":"Haonan"},{"family":"Lam","given":"Cho Kwong Charlie"}],"issued":{"date-parts":[["2023",4,15]]}}},{"id":240,"uris":["http://zotero.org/users/15620616/items/BPR5GRR6"],"itemData":{"id":240,"type":"article-journal","abstract":"Urban residents are exposed to multiple environmental stimuli. Past studies have examined the influence of heat stress on outdoor thermal comfort, but the cross-modal effects of various sensory stimuli on outdoor thermal comfort remain unclear. This study used chi-square tests and logistic regression to examine the cross-modal effects of perceived environmental quality (acoustic, visual and air quality) and psychological status (irritability, perceived tiredness) on outdoor thermal comfort. We conducted thermal walk experiments in Guangzhou, China, in September and October 2022. This panel study consisted of mobile environmental sensors and thermal comfort surveys by fourteen university students on three walking routes, representing urban renewal sites, new urban areas, and urban blue-green spaces. The ‘very bright’ (OR=15.76, p&lt;0.001) and ‘glaring’ groups (OR=4.09, p&lt;0.001) were likelier to feel hotter than the ‘dark’ and ‘not glaring’ groups. People who found the noise level annoying were likelier to feel uncomfortable (OR=1.61, p=0.004). Moreover, people perceiving air quality as ‘very good’ were less likely to find the thermal environment unacceptable (OR=0.27, p=0.035). The irritated (OR=4.18, p&lt;0.001) and tired groups (OR=1.81, p=0.002) were likelier to find the thermal environment intolerable. Our findings highlight the need to consider multisensory comfort and psychological status to inform sustainable urban design.","container-title":"Sustainable Cities and Society","DOI":"10.1016/j.scs.2024.105578","ISSN":"2210-6707","journalAbbreviation":"Sustainable Cities and Society","page":"105578","source":"ScienceDirect","title":"Effects of perceived environmental quality and psychological status on outdoor thermal comfort: a panel study in Southern China","title-short":"Effects of perceived environmental quality and psychological status on outdoor thermal comfort","volume":"112","author":[{"family":"Lam","given":"Cho Kwong Charlie"},{"family":"Pan","given":"Haonan"},{"family":"Nie","given":"Weixiao"},{"family":"Li","given":"Xiaohui"},{"family":"Wu","given":"Jie"},{"family":"Yin","given":"Zhe"},{"family":"Han","given":"Jiejie"}],"issued":{"date-parts":[["2024",10,1]]}}}],"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sz w:val="16"/>
                <w:lang w:val="en-US"/>
              </w:rPr>
              <w:t>Deng et al., 2023</w:t>
            </w:r>
          </w:p>
          <w:p w14:paraId="15EEBB26" w14:textId="04396655" w:rsidR="001218B9" w:rsidRPr="00815B93" w:rsidRDefault="006A48B1" w:rsidP="00815B93">
            <w:pPr>
              <w:pStyle w:val="NoSpacing"/>
              <w:rPr>
                <w:rFonts w:ascii="Times New Roman" w:hAnsi="Times New Roman" w:cs="Times New Roman"/>
                <w:sz w:val="16"/>
                <w:szCs w:val="16"/>
                <w:lang w:val="en-US" w:eastAsia="zh-TW"/>
              </w:rPr>
            </w:pPr>
            <w:r w:rsidRPr="00F40E85">
              <w:rPr>
                <w:rFonts w:ascii="Times New Roman" w:hAnsi="Times New Roman" w:cs="Times New Roman"/>
                <w:sz w:val="16"/>
                <w:lang w:val="en-US"/>
              </w:rPr>
              <w:t>Lam et al., 2024</w:t>
            </w:r>
            <w:r>
              <w:rPr>
                <w:rFonts w:ascii="Times New Roman" w:hAnsi="Times New Roman" w:cs="Times New Roman"/>
                <w:sz w:val="16"/>
                <w:szCs w:val="16"/>
                <w:lang w:val="en-US" w:eastAsia="zh-TW"/>
              </w:rPr>
              <w:fldChar w:fldCharType="end"/>
            </w:r>
          </w:p>
        </w:tc>
      </w:tr>
      <w:tr w:rsidR="001218B9" w:rsidRPr="008C19B8" w14:paraId="1680048C"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2974FDA2"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IoT MF-300</w:t>
            </w:r>
          </w:p>
        </w:tc>
        <w:tc>
          <w:tcPr>
            <w:tcW w:w="2326" w:type="dxa"/>
            <w:tcBorders>
              <w:top w:val="nil"/>
              <w:left w:val="nil"/>
              <w:bottom w:val="single" w:sz="8" w:space="0" w:color="CCCCCC"/>
              <w:right w:val="single" w:sz="8" w:space="0" w:color="CCCCCC"/>
            </w:tcBorders>
            <w:vAlign w:val="bottom"/>
            <w:hideMark/>
          </w:tcPr>
          <w:p w14:paraId="0832E98D" w14:textId="5CC49DB0"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GPS</w:t>
            </w:r>
          </w:p>
        </w:tc>
        <w:tc>
          <w:tcPr>
            <w:tcW w:w="2112" w:type="dxa"/>
            <w:tcBorders>
              <w:top w:val="nil"/>
              <w:left w:val="nil"/>
              <w:bottom w:val="single" w:sz="8" w:space="0" w:color="CCCCCC"/>
              <w:right w:val="single" w:sz="8" w:space="0" w:color="CCCCCC"/>
            </w:tcBorders>
            <w:vAlign w:val="bottom"/>
            <w:hideMark/>
          </w:tcPr>
          <w:p w14:paraId="24368B75"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Temperature probe</w:t>
            </w:r>
          </w:p>
        </w:tc>
        <w:tc>
          <w:tcPr>
            <w:tcW w:w="1822" w:type="dxa"/>
            <w:tcBorders>
              <w:top w:val="nil"/>
              <w:left w:val="nil"/>
              <w:bottom w:val="single" w:sz="8" w:space="0" w:color="CCCCCC"/>
              <w:right w:val="single" w:sz="8" w:space="0" w:color="CCCCCC"/>
            </w:tcBorders>
            <w:vAlign w:val="bottom"/>
            <w:hideMark/>
          </w:tcPr>
          <w:p w14:paraId="5B90DB0C" w14:textId="733BE3D2"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w:t>
            </w:r>
            <w:r w:rsidR="001218B9" w:rsidRPr="00815B93">
              <w:rPr>
                <w:rFonts w:ascii="Times New Roman" w:hAnsi="Times New Roman" w:cs="Times New Roman"/>
                <w:sz w:val="16"/>
                <w:szCs w:val="16"/>
                <w:lang w:val="en-US" w:eastAsia="zh-TW"/>
              </w:rPr>
              <w:t xml:space="preserve"> 0.2 °C; GPS: 3.0 m</w:t>
            </w:r>
          </w:p>
        </w:tc>
        <w:tc>
          <w:tcPr>
            <w:tcW w:w="2006" w:type="dxa"/>
            <w:tcBorders>
              <w:top w:val="nil"/>
              <w:left w:val="nil"/>
              <w:bottom w:val="single" w:sz="8" w:space="0" w:color="CCCCCC"/>
              <w:right w:val="single" w:sz="8" w:space="0" w:color="CCCCCC"/>
            </w:tcBorders>
            <w:vAlign w:val="bottom"/>
            <w:hideMark/>
          </w:tcPr>
          <w:p w14:paraId="5F304981"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 s</w:t>
            </w:r>
          </w:p>
        </w:tc>
        <w:tc>
          <w:tcPr>
            <w:tcW w:w="1784" w:type="dxa"/>
            <w:tcBorders>
              <w:top w:val="nil"/>
              <w:left w:val="nil"/>
              <w:bottom w:val="single" w:sz="8" w:space="0" w:color="CCCCCC"/>
              <w:right w:val="single" w:sz="8" w:space="0" w:color="CCCCCC"/>
            </w:tcBorders>
            <w:vAlign w:val="bottom"/>
            <w:hideMark/>
          </w:tcPr>
          <w:p w14:paraId="5A80B427"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Backpack (cycling)</w:t>
            </w:r>
          </w:p>
        </w:tc>
        <w:tc>
          <w:tcPr>
            <w:tcW w:w="2050" w:type="dxa"/>
            <w:tcBorders>
              <w:top w:val="nil"/>
              <w:left w:val="nil"/>
              <w:bottom w:val="single" w:sz="8" w:space="0" w:color="CCCCCC"/>
              <w:right w:val="single" w:sz="8" w:space="0" w:color="CCCCCC"/>
            </w:tcBorders>
            <w:vAlign w:val="bottom"/>
            <w:hideMark/>
          </w:tcPr>
          <w:p w14:paraId="168C114A" w14:textId="03A52E43" w:rsidR="001218B9" w:rsidRPr="00815B93" w:rsidRDefault="006A48B1"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{"citationID":"HILrfgli","properties":{"formattedCitation":"(\\uc0\\u381{}gela et al., 2024)","plainCitation":"(Žgela et al., 2024)","noteIndex":0},"citationItems":[{"id":229,"uris":["http://zotero.org/users/15620616/items/VFGV55X7"],"itemData":{"id":229,"type":"article-journal","abstract":"A limited number of meteorological stations and sparse data challenge microclimate assessment in urban areas. Therefore, it is necessary to complement these data with additional measurements to achieve a denser spatial coverage, enabling a detailed representation of the city’s microclimatic features. In this study, conducted in Zagreb, Croatia, mobile air temperature measurements were utilized and compared with satellite-derived land surface temperature (LST). Here, air temperature measurements were carried out using bicycles and an instrument with a GPS receiver and temperature probe during a heat wave in June 2021, capturing the spatial pattern of air temperature to highlight the city’s microclimate characteristics (i.e. urban heat load; UHL) in extremely hot weather conditions. Simultaneously, remotely sensed LST was retrieved from the Landsat-8 satellite. Air temperature measurements were compared to city-specific street type classification, while neighbourhood heat load characteristics were analysed based on local climate zones (LCZ) and LST. Results indicated significant thermal differences between surface types and urban forms and between street types and LCZs. Air temperatures reached up to 35 °C, while LST exceeded 40 °C. City parks, tree-lined streets and areas near blue infrastructure were 1.5–3 °C cooler than densely built areas. Temperature contrasts between LCZs in terms of median LST were more emphasised and reached 9 °C between some classes. These findings highlight the importance of preserving green areas to reduce UHL and enhance urban resilience. Here, exemplified by the city of Zagreb, it has been demonstrated that the use of multiple datasets allows a comprehensive understanding of temperature patterns and their implications for urban climate research.","container-title":"Environmental Monitoring and Assessment","DOI":"10.1007/s10661-024-12538-w","ISSN":"1573-2959","issue":"5","journalAbbreviation":"Environ Monit Assess","language":"en","license":"2024 The Author(s), under exclusive licence to Springer Nature Switzerland AG","note":"Company: Springer\nDistributor: Springer\nInstitution: Springer\nLabel: Springer\npublisher: Springer International Publishing","page":"1-20","source":"link-springer-com.proxy.lib.ltu.se","title":"Urban heat load assessment in Zagreb, Croatia: a multi-scale analysis using mobile measurement and satellite imagery","title-short":"Urban heat load assessment in Zagreb, Croatia","volume":"196","author":[{"family":"Žgela","given":"Matej"},{"family":"Lozuk","given":"Jakov"},{"family":"Jureša","given":"Patrik"},{"family":"Justić","given":"Klara"},{"family":"Popović","given":"Margareta"},{"family":"Boras","given":"Marijana"},{"family":"Herceg-Bulić","given":"Ivana"}],"issued":{"date-parts":[["2024",5,1]]}}}],"schema":"https://github.com/citation-style-language/schema/raw/master/csl-citation.json"} </w:instrText>
            </w:r>
            <w:r>
              <w:rPr>
                <w:rFonts w:ascii="Times New Roman" w:hAnsi="Times New Roman" w:cs="Times New Roman"/>
                <w:sz w:val="16"/>
                <w:szCs w:val="16"/>
                <w:lang w:val="en-US" w:eastAsia="zh-TW"/>
              </w:rPr>
              <w:fldChar w:fldCharType="separate"/>
            </w:r>
            <w:r w:rsidRPr="00F40E85">
              <w:rPr>
                <w:rFonts w:ascii="Times New Roman" w:hAnsi="Times New Roman" w:cs="Times New Roman"/>
                <w:kern w:val="0"/>
                <w:sz w:val="16"/>
                <w:lang w:val="en-US"/>
              </w:rPr>
              <w:t>Žgela et al., 2024</w:t>
            </w:r>
            <w:r>
              <w:rPr>
                <w:rFonts w:ascii="Times New Roman" w:hAnsi="Times New Roman" w:cs="Times New Roman"/>
                <w:sz w:val="16"/>
                <w:szCs w:val="16"/>
                <w:lang w:val="en-US" w:eastAsia="zh-TW"/>
              </w:rPr>
              <w:fldChar w:fldCharType="end"/>
            </w:r>
          </w:p>
        </w:tc>
      </w:tr>
      <w:tr w:rsidR="001218B9" w:rsidRPr="008C19B8" w14:paraId="7017D192"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483B3F55"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Custom-made bike station</w:t>
            </w:r>
          </w:p>
        </w:tc>
        <w:tc>
          <w:tcPr>
            <w:tcW w:w="2326" w:type="dxa"/>
            <w:tcBorders>
              <w:top w:val="nil"/>
              <w:left w:val="nil"/>
              <w:bottom w:val="single" w:sz="8" w:space="0" w:color="CCCCCC"/>
              <w:right w:val="single" w:sz="8" w:space="0" w:color="CCCCCC"/>
            </w:tcBorders>
            <w:vAlign w:val="bottom"/>
            <w:hideMark/>
          </w:tcPr>
          <w:p w14:paraId="23F97CDE" w14:textId="52A412B4"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T</w:t>
            </w:r>
            <w:r w:rsidR="009E3194">
              <w:rPr>
                <w:rFonts w:ascii="Times New Roman" w:hAnsi="Times New Roman" w:cs="Times New Roman"/>
                <w:sz w:val="16"/>
                <w:szCs w:val="16"/>
                <w:vertAlign w:val="subscript"/>
                <w:lang w:val="en-US" w:eastAsia="zh-TW"/>
              </w:rPr>
              <w:t>s</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RH</w:t>
            </w:r>
          </w:p>
        </w:tc>
        <w:tc>
          <w:tcPr>
            <w:tcW w:w="2112" w:type="dxa"/>
            <w:tcBorders>
              <w:top w:val="nil"/>
              <w:left w:val="nil"/>
              <w:bottom w:val="single" w:sz="8" w:space="0" w:color="CCCCCC"/>
              <w:right w:val="single" w:sz="8" w:space="0" w:color="CCCCCC"/>
            </w:tcBorders>
            <w:vAlign w:val="bottom"/>
            <w:hideMark/>
          </w:tcPr>
          <w:p w14:paraId="35381416"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HD 500 thermologger</w:t>
            </w:r>
          </w:p>
        </w:tc>
        <w:tc>
          <w:tcPr>
            <w:tcW w:w="1822" w:type="dxa"/>
            <w:tcBorders>
              <w:top w:val="nil"/>
              <w:left w:val="nil"/>
              <w:bottom w:val="single" w:sz="8" w:space="0" w:color="CCCCCC"/>
              <w:right w:val="single" w:sz="8" w:space="0" w:color="CCCCCC"/>
            </w:tcBorders>
            <w:vAlign w:val="bottom"/>
            <w:hideMark/>
          </w:tcPr>
          <w:p w14:paraId="436755C0"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Not in source</w:t>
            </w:r>
          </w:p>
        </w:tc>
        <w:tc>
          <w:tcPr>
            <w:tcW w:w="2006" w:type="dxa"/>
            <w:tcBorders>
              <w:top w:val="nil"/>
              <w:left w:val="nil"/>
              <w:bottom w:val="single" w:sz="8" w:space="0" w:color="CCCCCC"/>
              <w:right w:val="single" w:sz="8" w:space="0" w:color="CCCCCC"/>
            </w:tcBorders>
            <w:vAlign w:val="bottom"/>
            <w:hideMark/>
          </w:tcPr>
          <w:p w14:paraId="6E5184B5"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 measurement/s</w:t>
            </w:r>
          </w:p>
        </w:tc>
        <w:tc>
          <w:tcPr>
            <w:tcW w:w="1784" w:type="dxa"/>
            <w:tcBorders>
              <w:top w:val="nil"/>
              <w:left w:val="nil"/>
              <w:bottom w:val="single" w:sz="8" w:space="0" w:color="CCCCCC"/>
              <w:right w:val="single" w:sz="8" w:space="0" w:color="CCCCCC"/>
            </w:tcBorders>
            <w:vAlign w:val="bottom"/>
            <w:hideMark/>
          </w:tcPr>
          <w:p w14:paraId="485D0B6A"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Bicycle</w:t>
            </w:r>
          </w:p>
        </w:tc>
        <w:tc>
          <w:tcPr>
            <w:tcW w:w="2050" w:type="dxa"/>
            <w:tcBorders>
              <w:top w:val="nil"/>
              <w:left w:val="nil"/>
              <w:bottom w:val="single" w:sz="8" w:space="0" w:color="CCCCCC"/>
              <w:right w:val="single" w:sz="8" w:space="0" w:color="CCCCCC"/>
            </w:tcBorders>
            <w:vAlign w:val="bottom"/>
            <w:hideMark/>
          </w:tcPr>
          <w:p w14:paraId="348BBE7F" w14:textId="75577CC2" w:rsidR="001218B9" w:rsidRPr="00815B93" w:rsidRDefault="006A48B1"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{"citationID":"V5S6cNPh","properties":{"formattedCitation":"(Jato-Espino et al., 2025)","plainCitation":"(Jato-Espino et al., 2025)","noteIndex":0},"citationItems":[{"id":234,"uris":["http://zotero.org/users/15620616/items/TDDVKEX9"],"itemData":{"id":234,"type":"article-journal","abstract":"Increasing urbanization is leading to rising temperatures in cities, especially in their central areas, where artificial covers, street canyons and human-induced heat release are more common. This urban microclimate is especially critical in historical centers, as the protection of these areas' cultural assets hinders the introduction of adaptation measures. In this context, this study developed a methodology to characterize the microclimate in historical city centers, using the Mediterranean city of Málaga in southern Spain as a paradigmatic case study. To this end, field measurements were carried out by using a bicycle mobile station and a handheld thermal imaging camera along the so-called Picassian route, covering eleven different streets and eight historical buildings (eleven façades) where air and surface temperatures were collected. The results showed significant differences in the values of air and surface temperatures, so studies of urban microclimate should consider both types of temperatures together, and especially the temperature of building façades, which is often ignored due to the lack of open data about it but has notable different patterns. An analysis of the relationship between field data and a range of spatial factors related to the morphology and surface artificiality of urban areas revealed that shading and tree planting might provide a solution to heat mitigation. For historical centers with important space constraints, these solutions may consist of installing awnings and green façades.","container-title":"Urban Climate","DOI":"10.1016/j.uclim.2025.102490","ISSN":"2212-0955","journalAbbreviation":"Urban Climate","page":"102490","source":"ScienceDirect","title":"Street-level surface and air temperatures in the Urban Center of Málaga, Spain","volume":"61","author":[{"family":"Jato-Espino","given":"Daniel"},{"family":"Tomatis","given":"Francisco"},{"family":"Forestieri","given":"Giulia"},{"family":"Pena","given":"Monica"}],"issued":{"date-parts":[["2025",6,1]]}}}],"schema":"https://github.com/citation-style-language/schema/raw/master/csl-citation.json"} </w:instrText>
            </w:r>
            <w:r>
              <w:rPr>
                <w:rFonts w:ascii="Times New Roman" w:hAnsi="Times New Roman" w:cs="Times New Roman"/>
                <w:sz w:val="16"/>
                <w:szCs w:val="16"/>
                <w:lang w:val="en-US" w:eastAsia="zh-TW"/>
              </w:rPr>
              <w:fldChar w:fldCharType="separate"/>
            </w:r>
            <w:r w:rsidRPr="006A48B1">
              <w:rPr>
                <w:rFonts w:ascii="Times New Roman" w:hAnsi="Times New Roman" w:cs="Times New Roman"/>
                <w:sz w:val="16"/>
              </w:rPr>
              <w:t>Jato-Espino et al., 2025</w:t>
            </w:r>
            <w:r>
              <w:rPr>
                <w:rFonts w:ascii="Times New Roman" w:hAnsi="Times New Roman" w:cs="Times New Roman"/>
                <w:sz w:val="16"/>
                <w:szCs w:val="16"/>
                <w:lang w:val="en-US" w:eastAsia="zh-TW"/>
              </w:rPr>
              <w:fldChar w:fldCharType="end"/>
            </w:r>
          </w:p>
        </w:tc>
      </w:tr>
      <w:tr w:rsidR="001218B9" w:rsidRPr="008C19B8" w14:paraId="0B4CF342"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5CCFBA29"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Fluke TI400</w:t>
            </w:r>
          </w:p>
        </w:tc>
        <w:tc>
          <w:tcPr>
            <w:tcW w:w="2326" w:type="dxa"/>
            <w:tcBorders>
              <w:top w:val="nil"/>
              <w:left w:val="nil"/>
              <w:bottom w:val="single" w:sz="8" w:space="0" w:color="CCCCCC"/>
              <w:right w:val="single" w:sz="8" w:space="0" w:color="CCCCCC"/>
            </w:tcBorders>
            <w:vAlign w:val="bottom"/>
            <w:hideMark/>
          </w:tcPr>
          <w:p w14:paraId="282594EE" w14:textId="6514E8EF" w:rsidR="001218B9" w:rsidRPr="00815B93" w:rsidRDefault="009E3194"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F40E85">
              <w:rPr>
                <w:rFonts w:ascii="Times New Roman" w:hAnsi="Times New Roman" w:cs="Times New Roman"/>
                <w:sz w:val="16"/>
                <w:szCs w:val="16"/>
                <w:vertAlign w:val="subscript"/>
                <w:lang w:val="en-US" w:eastAsia="zh-TW"/>
              </w:rPr>
              <w:t>s</w:t>
            </w:r>
          </w:p>
        </w:tc>
        <w:tc>
          <w:tcPr>
            <w:tcW w:w="2112" w:type="dxa"/>
            <w:tcBorders>
              <w:top w:val="nil"/>
              <w:left w:val="nil"/>
              <w:bottom w:val="single" w:sz="8" w:space="0" w:color="CCCCCC"/>
              <w:right w:val="single" w:sz="8" w:space="0" w:color="CCCCCC"/>
            </w:tcBorders>
            <w:vAlign w:val="bottom"/>
            <w:hideMark/>
          </w:tcPr>
          <w:p w14:paraId="44CF46BA"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Thermal imaging camera</w:t>
            </w:r>
          </w:p>
        </w:tc>
        <w:tc>
          <w:tcPr>
            <w:tcW w:w="1822" w:type="dxa"/>
            <w:tcBorders>
              <w:top w:val="nil"/>
              <w:left w:val="nil"/>
              <w:bottom w:val="single" w:sz="8" w:space="0" w:color="CCCCCC"/>
              <w:right w:val="single" w:sz="8" w:space="0" w:color="CCCCCC"/>
            </w:tcBorders>
            <w:vAlign w:val="bottom"/>
            <w:hideMark/>
          </w:tcPr>
          <w:p w14:paraId="5ED9265C"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Range -20 to 80 °C</w:t>
            </w:r>
          </w:p>
        </w:tc>
        <w:tc>
          <w:tcPr>
            <w:tcW w:w="2006" w:type="dxa"/>
            <w:tcBorders>
              <w:top w:val="nil"/>
              <w:left w:val="nil"/>
              <w:bottom w:val="single" w:sz="8" w:space="0" w:color="CCCCCC"/>
              <w:right w:val="single" w:sz="8" w:space="0" w:color="CCCCCC"/>
            </w:tcBorders>
            <w:vAlign w:val="bottom"/>
            <w:hideMark/>
          </w:tcPr>
          <w:p w14:paraId="4BA17AA0"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Site-specific scans</w:t>
            </w:r>
          </w:p>
        </w:tc>
        <w:tc>
          <w:tcPr>
            <w:tcW w:w="1784" w:type="dxa"/>
            <w:tcBorders>
              <w:top w:val="nil"/>
              <w:left w:val="nil"/>
              <w:bottom w:val="single" w:sz="8" w:space="0" w:color="CCCCCC"/>
              <w:right w:val="single" w:sz="8" w:space="0" w:color="CCCCCC"/>
            </w:tcBorders>
            <w:vAlign w:val="bottom"/>
            <w:hideMark/>
          </w:tcPr>
          <w:p w14:paraId="0CEA38D9"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Handheld</w:t>
            </w:r>
          </w:p>
        </w:tc>
        <w:tc>
          <w:tcPr>
            <w:tcW w:w="2050" w:type="dxa"/>
            <w:tcBorders>
              <w:top w:val="nil"/>
              <w:left w:val="nil"/>
              <w:bottom w:val="single" w:sz="8" w:space="0" w:color="CCCCCC"/>
              <w:right w:val="single" w:sz="8" w:space="0" w:color="CCCCCC"/>
            </w:tcBorders>
            <w:vAlign w:val="bottom"/>
            <w:hideMark/>
          </w:tcPr>
          <w:p w14:paraId="1093A5D1" w14:textId="71722C52" w:rsidR="001218B9" w:rsidRPr="00815B93" w:rsidRDefault="006A48B1"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{"citationID":"kFnfScjv","properties":{"formattedCitation":"(Jato-Espino et al., 2025)","plainCitation":"(Jato-Espino et al., 2025)","noteIndex":0},"citationItems":[{"id":234,"uris":["http://zotero.org/users/15620616/items/TDDVKEX9"],"itemData":{"id":234,"type":"article-journal","abstract":"Increasing urbanization is leading to rising temperatures in cities, especially in their central areas, where artificial covers, street canyons and human-induced heat release are more common. This urban microclimate is especially critical in historical centers, as the protection of these areas' cultural assets hinders the introduction of adaptation measures. In this context, this study developed a methodology to characterize the microclimate in historical city centers, using the Mediterranean city of Málaga in southern Spain as a paradigmatic case study. To this end, field measurements were carried out by using a bicycle mobile station and a handheld thermal imaging camera along the so-called Picassian route, covering eleven different streets and eight historical buildings (eleven façades) where air and surface temperatures were collected. The results showed significant differences in the values of air and surface temperatures, so studies of urban microclimate should consider both types of temperatures together, and especially the temperature of building façades, which is often ignored due to the lack of open data about it but has notable different patterns. An analysis of the relationship between field data and a range of spatial factors related to the morphology and surface artificiality of urban areas revealed that shading and tree planting might provide a solution to heat mitigation. For historical centers with important space constraints, these solutions may consist of installing awnings and green façades.","container-title":"Urban Climate","DOI":"10.1016/j.uclim.2025.102490","ISSN":"2212-0955","journalAbbreviation":"Urban Climate","page":"102490","source":"ScienceDirect","title":"Street-level surface and air temperatures in the Urban Center of Málaga, Spain","volume":"61","author":[{"family":"Jato-Espino","given":"Daniel"},{"family":"Tomatis","given":"Francisco"},{"family":"Forestieri","given":"Giulia"},{"family":"Pena","given":"Monica"}],"issued":{"date-parts":[["2025",6,1]]}}}],"schema":"https://github.com/citation-style-language/schema/raw/master/csl-citation.json"} </w:instrText>
            </w:r>
            <w:r>
              <w:rPr>
                <w:rFonts w:ascii="Times New Roman" w:hAnsi="Times New Roman" w:cs="Times New Roman"/>
                <w:sz w:val="16"/>
                <w:szCs w:val="16"/>
                <w:lang w:val="en-US" w:eastAsia="zh-TW"/>
              </w:rPr>
              <w:fldChar w:fldCharType="separate"/>
            </w:r>
            <w:r w:rsidRPr="006A48B1">
              <w:rPr>
                <w:rFonts w:ascii="Times New Roman" w:hAnsi="Times New Roman" w:cs="Times New Roman"/>
                <w:sz w:val="16"/>
              </w:rPr>
              <w:t>Jato-Espino et al., 2025</w:t>
            </w:r>
            <w:r>
              <w:rPr>
                <w:rFonts w:ascii="Times New Roman" w:hAnsi="Times New Roman" w:cs="Times New Roman"/>
                <w:sz w:val="16"/>
                <w:szCs w:val="16"/>
                <w:lang w:val="en-US" w:eastAsia="zh-TW"/>
              </w:rPr>
              <w:fldChar w:fldCharType="end"/>
            </w:r>
          </w:p>
        </w:tc>
      </w:tr>
      <w:tr w:rsidR="001218B9" w:rsidRPr="008C19B8" w14:paraId="1CE9EFB2"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221CE486"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Backpack station (helper)</w:t>
            </w:r>
          </w:p>
        </w:tc>
        <w:tc>
          <w:tcPr>
            <w:tcW w:w="2326" w:type="dxa"/>
            <w:tcBorders>
              <w:top w:val="nil"/>
              <w:left w:val="nil"/>
              <w:bottom w:val="single" w:sz="8" w:space="0" w:color="CCCCCC"/>
              <w:right w:val="single" w:sz="8" w:space="0" w:color="CCCCCC"/>
            </w:tcBorders>
            <w:vAlign w:val="bottom"/>
            <w:hideMark/>
          </w:tcPr>
          <w:p w14:paraId="4977AF56" w14:textId="279A3989"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RH</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v</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T</w:t>
            </w:r>
            <w:r w:rsidR="009E3194">
              <w:rPr>
                <w:rFonts w:ascii="Times New Roman" w:hAnsi="Times New Roman" w:cs="Times New Roman"/>
                <w:sz w:val="16"/>
                <w:szCs w:val="16"/>
                <w:vertAlign w:val="subscript"/>
                <w:lang w:val="en-US" w:eastAsia="zh-TW"/>
              </w:rPr>
              <w:t>g</w:t>
            </w:r>
          </w:p>
        </w:tc>
        <w:tc>
          <w:tcPr>
            <w:tcW w:w="2112" w:type="dxa"/>
            <w:tcBorders>
              <w:top w:val="nil"/>
              <w:left w:val="nil"/>
              <w:bottom w:val="single" w:sz="8" w:space="0" w:color="CCCCCC"/>
              <w:right w:val="single" w:sz="8" w:space="0" w:color="CCCCCC"/>
            </w:tcBorders>
            <w:vAlign w:val="bottom"/>
            <w:hideMark/>
          </w:tcPr>
          <w:p w14:paraId="0F8E5B19"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Tailor-made globe (38 mm); Thermocouple wire</w:t>
            </w:r>
          </w:p>
        </w:tc>
        <w:tc>
          <w:tcPr>
            <w:tcW w:w="1822" w:type="dxa"/>
            <w:tcBorders>
              <w:top w:val="nil"/>
              <w:left w:val="nil"/>
              <w:bottom w:val="single" w:sz="8" w:space="0" w:color="CCCCCC"/>
              <w:right w:val="single" w:sz="8" w:space="0" w:color="CCCCCC"/>
            </w:tcBorders>
            <w:vAlign w:val="bottom"/>
            <w:hideMark/>
          </w:tcPr>
          <w:p w14:paraId="6349944A" w14:textId="7C89327A"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w:t>
            </w:r>
            <w:r w:rsidR="001218B9" w:rsidRPr="00815B93">
              <w:rPr>
                <w:rFonts w:ascii="Times New Roman" w:hAnsi="Times New Roman" w:cs="Times New Roman"/>
                <w:sz w:val="16"/>
                <w:szCs w:val="16"/>
                <w:lang w:val="en-US" w:eastAsia="zh-TW"/>
              </w:rPr>
              <w:t xml:space="preserve"> 0.2 °C; </w:t>
            </w:r>
            <w:r w:rsidR="001218B9">
              <w:rPr>
                <w:rFonts w:ascii="Times New Roman" w:hAnsi="Times New Roman" w:cs="Times New Roman"/>
                <w:sz w:val="16"/>
                <w:szCs w:val="16"/>
                <w:lang w:val="en-US" w:eastAsia="zh-TW"/>
              </w:rPr>
              <w:t>RH</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w:t>
            </w:r>
            <w:r w:rsidR="001218B9" w:rsidRPr="00815B93">
              <w:rPr>
                <w:rFonts w:ascii="Times New Roman" w:hAnsi="Times New Roman" w:cs="Times New Roman"/>
                <w:sz w:val="16"/>
                <w:szCs w:val="16"/>
                <w:lang w:val="en-US" w:eastAsia="zh-TW"/>
              </w:rPr>
              <w:t xml:space="preserve"> 1.0%; </w:t>
            </w:r>
            <w:r w:rsidR="001218B9">
              <w:rPr>
                <w:rFonts w:ascii="Times New Roman" w:hAnsi="Times New Roman" w:cs="Times New Roman"/>
                <w:sz w:val="16"/>
                <w:szCs w:val="16"/>
                <w:lang w:val="en-US" w:eastAsia="zh-TW"/>
              </w:rPr>
              <w:t>v</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w:t>
            </w:r>
            <w:r w:rsidR="001218B9" w:rsidRPr="00815B93">
              <w:rPr>
                <w:rFonts w:ascii="Times New Roman" w:hAnsi="Times New Roman" w:cs="Times New Roman"/>
                <w:sz w:val="16"/>
                <w:szCs w:val="16"/>
                <w:lang w:val="en-US" w:eastAsia="zh-TW"/>
              </w:rPr>
              <w:t xml:space="preserve"> 0.03 m/s; </w:t>
            </w:r>
            <w:r w:rsidR="009E3194">
              <w:rPr>
                <w:rFonts w:ascii="Times New Roman" w:hAnsi="Times New Roman" w:cs="Times New Roman"/>
                <w:sz w:val="16"/>
                <w:szCs w:val="16"/>
                <w:lang w:val="en-US" w:eastAsia="zh-TW"/>
              </w:rPr>
              <w:t>T</w:t>
            </w:r>
            <w:r w:rsidR="009E3194">
              <w:rPr>
                <w:rFonts w:ascii="Times New Roman" w:hAnsi="Times New Roman" w:cs="Times New Roman"/>
                <w:sz w:val="16"/>
                <w:szCs w:val="16"/>
                <w:vertAlign w:val="subscript"/>
                <w:lang w:val="en-US" w:eastAsia="zh-TW"/>
              </w:rPr>
              <w:t>g</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w:t>
            </w:r>
            <w:r w:rsidR="001218B9" w:rsidRPr="00815B93">
              <w:rPr>
                <w:rFonts w:ascii="Times New Roman" w:hAnsi="Times New Roman" w:cs="Times New Roman"/>
                <w:sz w:val="16"/>
                <w:szCs w:val="16"/>
                <w:lang w:val="en-US" w:eastAsia="zh-TW"/>
              </w:rPr>
              <w:t xml:space="preserve"> 1.1 °C</w:t>
            </w:r>
          </w:p>
        </w:tc>
        <w:tc>
          <w:tcPr>
            <w:tcW w:w="2006" w:type="dxa"/>
            <w:tcBorders>
              <w:top w:val="nil"/>
              <w:left w:val="nil"/>
              <w:bottom w:val="single" w:sz="8" w:space="0" w:color="CCCCCC"/>
              <w:right w:val="single" w:sz="8" w:space="0" w:color="CCCCCC"/>
            </w:tcBorders>
            <w:vAlign w:val="bottom"/>
            <w:hideMark/>
          </w:tcPr>
          <w:p w14:paraId="18CABC4B"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 s interval</w:t>
            </w:r>
          </w:p>
        </w:tc>
        <w:tc>
          <w:tcPr>
            <w:tcW w:w="1784" w:type="dxa"/>
            <w:tcBorders>
              <w:top w:val="nil"/>
              <w:left w:val="nil"/>
              <w:bottom w:val="single" w:sz="8" w:space="0" w:color="CCCCCC"/>
              <w:right w:val="single" w:sz="8" w:space="0" w:color="CCCCCC"/>
            </w:tcBorders>
            <w:vAlign w:val="bottom"/>
            <w:hideMark/>
          </w:tcPr>
          <w:p w14:paraId="34A641D1"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Backpack</w:t>
            </w:r>
          </w:p>
        </w:tc>
        <w:tc>
          <w:tcPr>
            <w:tcW w:w="2050" w:type="dxa"/>
            <w:tcBorders>
              <w:top w:val="nil"/>
              <w:left w:val="nil"/>
              <w:bottom w:val="single" w:sz="8" w:space="0" w:color="CCCCCC"/>
              <w:right w:val="single" w:sz="8" w:space="0" w:color="CCCCCC"/>
            </w:tcBorders>
            <w:vAlign w:val="bottom"/>
            <w:hideMark/>
          </w:tcPr>
          <w:p w14:paraId="6937CE15" w14:textId="64AF5A93" w:rsidR="001218B9" w:rsidRPr="00815B93" w:rsidRDefault="006A48B1"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{"citationID":"Z7HxcViF","properties":{"formattedCitation":"(Lau et al., 2019)","plainCitation":"(Lau et al., 2019)","noteIndex":0},"citationItems":[{"id":241,"uris":["http://zotero.org/users/15620616/items/J9HMFHPJ"],"itemData":{"id":241,"type":"article-journal","abstract":"Outdoor thermal comfort studies have proved that urban design has a great influence on pedestrians’ thermal comfort and that its assessment helps one to understand the quality and usage of the pedestrian environment. However, the majority of outdoor thermal comfort studies perceive pedestrian thermal comfort as “static”. The dynamic multiple uses of urban spaces and the highly inhomogeneous urban morphology in high-density cities of the tropics are seldom considered, which leads to a lack of understanding about how pedestrians respond to the changes of the outdoor environment. This study contributes to the understanding of the dynamic thermal comfort using a longitudinal survey that was conducted to obtain information about how thermal sensation changes throughout the walking route and how it is affected by micro-meteorological conditions and the urban geometry. The large variations in micro-meteorological conditions throughout the walking routes are predominantly influenced by the urban geometry. Additionally, the spatial pattern of thermal sensation varies based on the weather conditions, emphasizing the need to account for such variations in the assessment of pedestrian thermal comfort. The results also show that thermal sensation was associated with participants’ short-term thermal experience (2–3 min) and that the urban geometry plays an important role in the time-lag effect of meteorological variables on thermal sensation. The findings of this study contribute to improving urban geometry design in order to mitigate the thermal discomfort and create a better pedestrian environment in high-density cities.","container-title":"International Journal of Biometeorology","DOI":"10.1007/s00484-019-01712-2","ISSN":"1432-1254","issue":"7","journalAbbreviation":"Int J Biometeorol","language":"en","license":"2019 ISB","note":"Company: Springer\nDistributor: Springer\nInstitution: Springer\nLabel: Springer\npublisher: Springer Berlin Heidelberg","page":"979-989","source":"link-springer-com.proxy.lib.ltu.se","title":"Dynamic response of pedestrian thermal comfort under outdoor transient conditions","volume":"63","author":[{"family":"Lau","given":"Kevin Ka-Lun"},{"family":"Shi","given":"Yuan"},{"family":"Ng","given":"Edward Yan-Yung"}],"issued":{"date-parts":[["2019",7,1]]}}}],"schema":"https://github.com/citation-style-language/schema/raw/master/csl-citation.json"} </w:instrText>
            </w:r>
            <w:r>
              <w:rPr>
                <w:rFonts w:ascii="Times New Roman" w:hAnsi="Times New Roman" w:cs="Times New Roman"/>
                <w:sz w:val="16"/>
                <w:szCs w:val="16"/>
                <w:lang w:val="en-US" w:eastAsia="zh-TW"/>
              </w:rPr>
              <w:fldChar w:fldCharType="separate"/>
            </w:r>
            <w:r w:rsidRPr="006A48B1">
              <w:rPr>
                <w:rFonts w:ascii="Times New Roman" w:hAnsi="Times New Roman" w:cs="Times New Roman"/>
                <w:sz w:val="16"/>
              </w:rPr>
              <w:t>Lau et al., 2019</w:t>
            </w:r>
            <w:r>
              <w:rPr>
                <w:rFonts w:ascii="Times New Roman" w:hAnsi="Times New Roman" w:cs="Times New Roman"/>
                <w:sz w:val="16"/>
                <w:szCs w:val="16"/>
                <w:lang w:val="en-US" w:eastAsia="zh-TW"/>
              </w:rPr>
              <w:fldChar w:fldCharType="end"/>
            </w:r>
          </w:p>
        </w:tc>
      </w:tr>
      <w:tr w:rsidR="001218B9" w:rsidRPr="008C19B8" w14:paraId="76F17221"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559D4100"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Self-built device</w:t>
            </w:r>
          </w:p>
        </w:tc>
        <w:tc>
          <w:tcPr>
            <w:tcW w:w="2326" w:type="dxa"/>
            <w:tcBorders>
              <w:top w:val="nil"/>
              <w:left w:val="nil"/>
              <w:bottom w:val="single" w:sz="8" w:space="0" w:color="CCCCCC"/>
              <w:right w:val="single" w:sz="8" w:space="0" w:color="CCCCCC"/>
            </w:tcBorders>
            <w:vAlign w:val="bottom"/>
            <w:hideMark/>
          </w:tcPr>
          <w:p w14:paraId="0CD385D4" w14:textId="51DBB0CC" w:rsidR="001218B9" w:rsidRPr="008C19B8" w:rsidRDefault="003546A2" w:rsidP="00815B93">
            <w:pPr>
              <w:pStyle w:val="NoSpacing"/>
              <w:rPr>
                <w:rFonts w:ascii="Times New Roman" w:hAnsi="Times New Roman" w:cs="Times New Roman"/>
                <w:sz w:val="16"/>
                <w:szCs w:val="16"/>
                <w:lang w:val="en-US" w:eastAsia="zh-TW"/>
              </w:rPr>
            </w:pPr>
            <w:r w:rsidRPr="008C19B8">
              <w:rPr>
                <w:rFonts w:ascii="Times New Roman" w:hAnsi="Times New Roman" w:cs="Times New Roman"/>
                <w:sz w:val="16"/>
                <w:szCs w:val="16"/>
                <w:lang w:val="en-US" w:eastAsia="zh-TW"/>
              </w:rPr>
              <w:t>T</w:t>
            </w:r>
            <w:r w:rsidRPr="008C19B8">
              <w:rPr>
                <w:rFonts w:ascii="Times New Roman" w:hAnsi="Times New Roman" w:cs="Times New Roman"/>
                <w:sz w:val="16"/>
                <w:szCs w:val="16"/>
                <w:vertAlign w:val="subscript"/>
                <w:lang w:val="en-US" w:eastAsia="zh-TW"/>
              </w:rPr>
              <w:t>a</w:t>
            </w:r>
            <w:r w:rsidR="001218B9" w:rsidRPr="008C19B8">
              <w:rPr>
                <w:rFonts w:ascii="Times New Roman" w:hAnsi="Times New Roman" w:cs="Times New Roman"/>
                <w:sz w:val="16"/>
                <w:szCs w:val="16"/>
                <w:lang w:val="en-US" w:eastAsia="zh-TW"/>
              </w:rPr>
              <w:t xml:space="preserve">, </w:t>
            </w:r>
            <w:r w:rsidR="009E3194" w:rsidRPr="008C19B8">
              <w:rPr>
                <w:rFonts w:ascii="Times New Roman" w:hAnsi="Times New Roman" w:cs="Times New Roman"/>
                <w:sz w:val="16"/>
                <w:szCs w:val="16"/>
                <w:lang w:val="en-US" w:eastAsia="zh-TW"/>
              </w:rPr>
              <w:t>RH</w:t>
            </w:r>
            <w:r w:rsidR="001218B9" w:rsidRPr="008C19B8">
              <w:rPr>
                <w:rFonts w:ascii="Times New Roman" w:hAnsi="Times New Roman" w:cs="Times New Roman"/>
                <w:sz w:val="16"/>
                <w:szCs w:val="16"/>
                <w:lang w:val="en-US" w:eastAsia="zh-TW"/>
              </w:rPr>
              <w:t xml:space="preserve">, </w:t>
            </w:r>
            <w:r w:rsidR="009E3194" w:rsidRPr="00F40E85">
              <w:rPr>
                <w:rFonts w:ascii="Times New Roman" w:hAnsi="Times New Roman" w:cs="Times New Roman"/>
                <w:sz w:val="16"/>
                <w:szCs w:val="16"/>
                <w:lang w:val="en-US" w:eastAsia="zh-TW"/>
              </w:rPr>
              <w:t>P</w:t>
            </w:r>
            <w:r w:rsidR="001218B9" w:rsidRPr="008C19B8">
              <w:rPr>
                <w:rFonts w:ascii="Times New Roman" w:hAnsi="Times New Roman" w:cs="Times New Roman"/>
                <w:sz w:val="16"/>
                <w:szCs w:val="16"/>
                <w:lang w:val="en-US" w:eastAsia="zh-TW"/>
              </w:rPr>
              <w:t>, T</w:t>
            </w:r>
            <w:r w:rsidR="001218B9" w:rsidRPr="00F40E85">
              <w:rPr>
                <w:rFonts w:ascii="Times New Roman" w:hAnsi="Times New Roman" w:cs="Times New Roman"/>
                <w:sz w:val="16"/>
                <w:szCs w:val="16"/>
                <w:vertAlign w:val="subscript"/>
                <w:lang w:val="en-US" w:eastAsia="zh-TW"/>
              </w:rPr>
              <w:t>s</w:t>
            </w:r>
            <w:r w:rsidR="001218B9" w:rsidRPr="008C19B8">
              <w:rPr>
                <w:rFonts w:ascii="Times New Roman" w:hAnsi="Times New Roman" w:cs="Times New Roman"/>
                <w:sz w:val="16"/>
                <w:szCs w:val="16"/>
                <w:lang w:val="en-US" w:eastAsia="zh-TW"/>
              </w:rPr>
              <w:t xml:space="preserve">, G, </w:t>
            </w:r>
            <w:r w:rsidR="009E3194" w:rsidRPr="008C19B8">
              <w:rPr>
                <w:rFonts w:ascii="Times New Roman" w:hAnsi="Times New Roman" w:cs="Times New Roman"/>
                <w:sz w:val="16"/>
                <w:szCs w:val="16"/>
                <w:lang w:val="en-US" w:eastAsia="zh-TW"/>
              </w:rPr>
              <w:t>T</w:t>
            </w:r>
            <w:r w:rsidR="009E3194" w:rsidRPr="008C19B8">
              <w:rPr>
                <w:rFonts w:ascii="Times New Roman" w:hAnsi="Times New Roman" w:cs="Times New Roman"/>
                <w:sz w:val="16"/>
                <w:szCs w:val="16"/>
                <w:vertAlign w:val="subscript"/>
                <w:lang w:val="en-US" w:eastAsia="zh-TW"/>
              </w:rPr>
              <w:t>g</w:t>
            </w:r>
          </w:p>
        </w:tc>
        <w:tc>
          <w:tcPr>
            <w:tcW w:w="2112" w:type="dxa"/>
            <w:tcBorders>
              <w:top w:val="nil"/>
              <w:left w:val="nil"/>
              <w:bottom w:val="single" w:sz="8" w:space="0" w:color="CCCCCC"/>
              <w:right w:val="single" w:sz="8" w:space="0" w:color="CCCCCC"/>
            </w:tcBorders>
            <w:vAlign w:val="bottom"/>
            <w:hideMark/>
          </w:tcPr>
          <w:p w14:paraId="29C1CDEA"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Pyranometer; GNSS</w:t>
            </w:r>
          </w:p>
        </w:tc>
        <w:tc>
          <w:tcPr>
            <w:tcW w:w="1822" w:type="dxa"/>
            <w:tcBorders>
              <w:top w:val="nil"/>
              <w:left w:val="nil"/>
              <w:bottom w:val="single" w:sz="8" w:space="0" w:color="CCCCCC"/>
              <w:right w:val="single" w:sz="8" w:space="0" w:color="CCCCCC"/>
            </w:tcBorders>
            <w:vAlign w:val="bottom"/>
            <w:hideMark/>
          </w:tcPr>
          <w:p w14:paraId="0B0550D2"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VDI 2023 standards</w:t>
            </w:r>
          </w:p>
        </w:tc>
        <w:tc>
          <w:tcPr>
            <w:tcW w:w="2006" w:type="dxa"/>
            <w:tcBorders>
              <w:top w:val="nil"/>
              <w:left w:val="nil"/>
              <w:bottom w:val="single" w:sz="8" w:space="0" w:color="CCCCCC"/>
              <w:right w:val="single" w:sz="8" w:space="0" w:color="CCCCCC"/>
            </w:tcBorders>
            <w:vAlign w:val="bottom"/>
            <w:hideMark/>
          </w:tcPr>
          <w:p w14:paraId="65FA2E5A"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 s recording</w:t>
            </w:r>
          </w:p>
        </w:tc>
        <w:tc>
          <w:tcPr>
            <w:tcW w:w="1784" w:type="dxa"/>
            <w:tcBorders>
              <w:top w:val="nil"/>
              <w:left w:val="nil"/>
              <w:bottom w:val="single" w:sz="8" w:space="0" w:color="CCCCCC"/>
              <w:right w:val="single" w:sz="8" w:space="0" w:color="CCCCCC"/>
            </w:tcBorders>
            <w:vAlign w:val="bottom"/>
            <w:hideMark/>
          </w:tcPr>
          <w:p w14:paraId="49D11706"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Pedestrian (GoPro stick)</w:t>
            </w:r>
          </w:p>
        </w:tc>
        <w:tc>
          <w:tcPr>
            <w:tcW w:w="2050" w:type="dxa"/>
            <w:tcBorders>
              <w:top w:val="nil"/>
              <w:left w:val="nil"/>
              <w:bottom w:val="single" w:sz="8" w:space="0" w:color="CCCCCC"/>
              <w:right w:val="single" w:sz="8" w:space="0" w:color="CCCCCC"/>
            </w:tcBorders>
            <w:vAlign w:val="bottom"/>
            <w:hideMark/>
          </w:tcPr>
          <w:p w14:paraId="756D2355" w14:textId="4F278D99" w:rsidR="001218B9" w:rsidRPr="00815B93" w:rsidRDefault="006A48B1"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{"citationID":"cytvEv05","properties":{"formattedCitation":"(Gallacher &amp; Boehnke, 2025)","plainCitation":"(Gallacher &amp; Boehnke, 2025)","noteIndex":0},"citationItems":[{"id":245,"uris":["http://zotero.org/users/15620616/items/P5AG86QR"],"itemData":{"id":245,"type":"article-journal","abstract":"In the face of climate change and increasing urbanisation, ensuring outdoor thermal comfort is becoming an increasingly crucial consideration for sustainable urban planning. However, informed decision-making is limited by the challenge of obtaining high-resolution thermal comfort data. This study introduces an interdisciplinary, low-resource, and user-friendly methodology for thermal comfort mapping, employing a self-built low-cost meteorological device for mobile climate monitoring. This device was utilised in the city center of Dresden, Germany to collect air temperature, humidity, pressure, surface temperature, global radiation, and globe temperature data as key inputs for the calculation of thermal comfort indices. These measurements were then used to calculate the Universal Thermal Climate Index (UTCI) using the RayMan Pro urban climate modelling program. Due to the limited resource capacities of urban planning departments, clear priority areas must be identified. Therefore, an exemplary approach for the prioritisation of consistent hotspots using the highest 5% of UTCI values was developed. The spatial variances in UTCI were validated through mobile pedestrian thermal comfort questionnaires, which allowed for the comparison of objective and subjective estimates of thermal comfort and gave the basis on which to make holistic and practical suggestions for urban planning interventions. This paper demonstrates an accessible and interdisciplinary approach to thermal comfort mapping which can empower urban planning stakeholders with scientifically informed and cost-effective decision-making tools for climate-adapted urban development.","container-title":"International Journal of Biometeorology","DOI":"10.1007/s00484-024-02830-2","ISSN":"1432-1254","journalAbbreviation":"Int J Biometeorol","language":"en","license":"2025 The Author(s)","note":"Company: Springer\nDistributor: Springer\nInstitution: Springer\nLabel: Springer\npublisher: Springer Berlin Heidelberg","page":"1-18","source":"link-springer-com.proxy.lib.ltu.se","title":"Pedestrian thermal comfort mapping for evidence-based urban planning; an interdisciplinary and user-friendly mobile approach for the case study of Dresden, Germany","author":[{"family":"Gallacher","given":"Claire"},{"family":"Boehnke","given":"Denise"}],"issued":{"date-parts":[["2025",1,3]]}}}],"schema":"https://github.com/citation-style-language/schema/raw/master/csl-citation.json"} </w:instrText>
            </w:r>
            <w:r>
              <w:rPr>
                <w:rFonts w:ascii="Times New Roman" w:hAnsi="Times New Roman" w:cs="Times New Roman"/>
                <w:sz w:val="16"/>
                <w:szCs w:val="16"/>
                <w:lang w:val="en-US" w:eastAsia="zh-TW"/>
              </w:rPr>
              <w:fldChar w:fldCharType="separate"/>
            </w:r>
            <w:r w:rsidRPr="006A48B1">
              <w:rPr>
                <w:rFonts w:ascii="Times New Roman" w:hAnsi="Times New Roman" w:cs="Times New Roman"/>
                <w:sz w:val="16"/>
              </w:rPr>
              <w:t>Gallacher &amp; Boehnke, 2025</w:t>
            </w:r>
            <w:r>
              <w:rPr>
                <w:rFonts w:ascii="Times New Roman" w:hAnsi="Times New Roman" w:cs="Times New Roman"/>
                <w:sz w:val="16"/>
                <w:szCs w:val="16"/>
                <w:lang w:val="en-US" w:eastAsia="zh-TW"/>
              </w:rPr>
              <w:fldChar w:fldCharType="end"/>
            </w:r>
          </w:p>
        </w:tc>
      </w:tr>
      <w:tr w:rsidR="001218B9" w:rsidRPr="006A48B1" w14:paraId="28D893F8"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27B45EBD"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Campbell Scientific CR800</w:t>
            </w:r>
          </w:p>
        </w:tc>
        <w:tc>
          <w:tcPr>
            <w:tcW w:w="2326" w:type="dxa"/>
            <w:tcBorders>
              <w:top w:val="nil"/>
              <w:left w:val="nil"/>
              <w:bottom w:val="single" w:sz="8" w:space="0" w:color="CCCCCC"/>
              <w:right w:val="single" w:sz="8" w:space="0" w:color="CCCCCC"/>
            </w:tcBorders>
            <w:vAlign w:val="bottom"/>
            <w:hideMark/>
          </w:tcPr>
          <w:p w14:paraId="4DA35126" w14:textId="3DF9EA9F" w:rsidR="001218B9" w:rsidRPr="00815B93" w:rsidRDefault="003546A2"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sidRPr="00815B93">
              <w:rPr>
                <w:rFonts w:ascii="Times New Roman" w:hAnsi="Times New Roman" w:cs="Times New Roman"/>
                <w:sz w:val="16"/>
                <w:szCs w:val="16"/>
                <w:vertAlign w:val="subscript"/>
                <w:lang w:val="en-US" w:eastAsia="zh-TW"/>
              </w:rPr>
              <w:t>a</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RH</w:t>
            </w:r>
            <w:r w:rsidR="001218B9" w:rsidRPr="00815B93">
              <w:rPr>
                <w:rFonts w:ascii="Times New Roman" w:hAnsi="Times New Roman" w:cs="Times New Roman"/>
                <w:sz w:val="16"/>
                <w:szCs w:val="16"/>
                <w:lang w:val="en-US" w:eastAsia="zh-TW"/>
              </w:rPr>
              <w:t xml:space="preserve">, </w:t>
            </w:r>
            <w:r w:rsidR="009E3194">
              <w:rPr>
                <w:rFonts w:ascii="Times New Roman" w:hAnsi="Times New Roman" w:cs="Times New Roman"/>
                <w:sz w:val="16"/>
                <w:szCs w:val="16"/>
                <w:lang w:val="en-US" w:eastAsia="zh-TW"/>
              </w:rPr>
              <w:t>T</w:t>
            </w:r>
            <w:r w:rsidR="009E3194">
              <w:rPr>
                <w:rFonts w:ascii="Times New Roman" w:hAnsi="Times New Roman" w:cs="Times New Roman"/>
                <w:sz w:val="16"/>
                <w:szCs w:val="16"/>
                <w:vertAlign w:val="subscript"/>
                <w:lang w:val="en-US" w:eastAsia="zh-TW"/>
              </w:rPr>
              <w:t>g</w:t>
            </w:r>
            <w:r w:rsidR="001218B9" w:rsidRPr="00815B93">
              <w:rPr>
                <w:rFonts w:ascii="Times New Roman" w:hAnsi="Times New Roman" w:cs="Times New Roman"/>
                <w:sz w:val="16"/>
                <w:szCs w:val="16"/>
                <w:lang w:val="en-US" w:eastAsia="zh-TW"/>
              </w:rPr>
              <w:t xml:space="preserve">, </w:t>
            </w:r>
            <w:r w:rsidR="001218B9">
              <w:rPr>
                <w:rFonts w:ascii="Times New Roman" w:hAnsi="Times New Roman" w:cs="Times New Roman"/>
                <w:sz w:val="16"/>
                <w:szCs w:val="16"/>
                <w:lang w:val="en-US" w:eastAsia="zh-TW"/>
              </w:rPr>
              <w:t>v</w:t>
            </w:r>
            <w:r w:rsidR="001218B9" w:rsidRPr="00815B93">
              <w:rPr>
                <w:rFonts w:ascii="Times New Roman" w:hAnsi="Times New Roman" w:cs="Times New Roman"/>
                <w:sz w:val="16"/>
                <w:szCs w:val="16"/>
                <w:lang w:val="en-US" w:eastAsia="zh-TW"/>
              </w:rPr>
              <w:t>, Illuminance</w:t>
            </w:r>
          </w:p>
        </w:tc>
        <w:tc>
          <w:tcPr>
            <w:tcW w:w="2112" w:type="dxa"/>
            <w:tcBorders>
              <w:top w:val="nil"/>
              <w:left w:val="nil"/>
              <w:bottom w:val="single" w:sz="8" w:space="0" w:color="CCCCCC"/>
              <w:right w:val="single" w:sz="8" w:space="0" w:color="CCCCCC"/>
            </w:tcBorders>
            <w:vAlign w:val="bottom"/>
            <w:hideMark/>
          </w:tcPr>
          <w:p w14:paraId="0D6D0C81"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CS215, CT100, Ultrasonic 2D, Skye lux meter</w:t>
            </w:r>
          </w:p>
        </w:tc>
        <w:tc>
          <w:tcPr>
            <w:tcW w:w="1822" w:type="dxa"/>
            <w:tcBorders>
              <w:top w:val="nil"/>
              <w:left w:val="nil"/>
              <w:bottom w:val="single" w:sz="8" w:space="0" w:color="CCCCCC"/>
              <w:right w:val="single" w:sz="8" w:space="0" w:color="CCCCCC"/>
            </w:tcBorders>
            <w:vAlign w:val="bottom"/>
            <w:hideMark/>
          </w:tcPr>
          <w:p w14:paraId="2B856158"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Not in source</w:t>
            </w:r>
          </w:p>
        </w:tc>
        <w:tc>
          <w:tcPr>
            <w:tcW w:w="2006" w:type="dxa"/>
            <w:tcBorders>
              <w:top w:val="nil"/>
              <w:left w:val="nil"/>
              <w:bottom w:val="single" w:sz="8" w:space="0" w:color="CCCCCC"/>
              <w:right w:val="single" w:sz="8" w:space="0" w:color="CCCCCC"/>
            </w:tcBorders>
            <w:vAlign w:val="bottom"/>
            <w:hideMark/>
          </w:tcPr>
          <w:p w14:paraId="36F43474"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Not in source</w:t>
            </w:r>
          </w:p>
        </w:tc>
        <w:tc>
          <w:tcPr>
            <w:tcW w:w="1784" w:type="dxa"/>
            <w:tcBorders>
              <w:top w:val="nil"/>
              <w:left w:val="nil"/>
              <w:bottom w:val="single" w:sz="8" w:space="0" w:color="CCCCCC"/>
              <w:right w:val="single" w:sz="8" w:space="0" w:color="CCCCCC"/>
            </w:tcBorders>
            <w:vAlign w:val="bottom"/>
            <w:hideMark/>
          </w:tcPr>
          <w:p w14:paraId="518D048E" w14:textId="6526BA19" w:rsidR="001218B9" w:rsidRPr="00815B93" w:rsidRDefault="006A48B1"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Al</w:t>
            </w:r>
            <w:r>
              <w:rPr>
                <w:rFonts w:ascii="Times New Roman" w:hAnsi="Times New Roman" w:cs="Times New Roman"/>
                <w:sz w:val="16"/>
                <w:szCs w:val="16"/>
                <w:lang w:val="en-US" w:eastAsia="zh-TW"/>
              </w:rPr>
              <w:t>u</w:t>
            </w:r>
            <w:r w:rsidRPr="00815B93">
              <w:rPr>
                <w:rFonts w:ascii="Times New Roman" w:hAnsi="Times New Roman" w:cs="Times New Roman"/>
                <w:sz w:val="16"/>
                <w:szCs w:val="16"/>
                <w:lang w:val="en-US" w:eastAsia="zh-TW"/>
              </w:rPr>
              <w:t>minum</w:t>
            </w:r>
            <w:r w:rsidR="001218B9" w:rsidRPr="00815B93">
              <w:rPr>
                <w:rFonts w:ascii="Times New Roman" w:hAnsi="Times New Roman" w:cs="Times New Roman"/>
                <w:sz w:val="16"/>
                <w:szCs w:val="16"/>
                <w:lang w:val="en-US" w:eastAsia="zh-TW"/>
              </w:rPr>
              <w:t xml:space="preserve"> trolley (1.75 m)</w:t>
            </w:r>
          </w:p>
        </w:tc>
        <w:tc>
          <w:tcPr>
            <w:tcW w:w="2050" w:type="dxa"/>
            <w:tcBorders>
              <w:top w:val="nil"/>
              <w:left w:val="nil"/>
              <w:bottom w:val="single" w:sz="8" w:space="0" w:color="CCCCCC"/>
              <w:right w:val="single" w:sz="8" w:space="0" w:color="CCCCCC"/>
            </w:tcBorders>
            <w:vAlign w:val="bottom"/>
            <w:hideMark/>
          </w:tcPr>
          <w:p w14:paraId="29F4A131" w14:textId="5314DDAC" w:rsidR="001218B9" w:rsidRPr="00815B93" w:rsidRDefault="006A48B1"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{"citationID":"IsqZ4ib0","properties":{"formattedCitation":"(Vasilikou &amp; Nikolopoulou, 2020)","plainCitation":"(Vasilikou &amp; Nikolopoulou, 2020)","noteIndex":0},"citationItems":[{"id":237,"uris":["http://zotero.org/users/15620616/items/KQHNJUMX"],"itemData":{"id":237,"type":"article-journal","abstract":"In the discussion of designing for a healthier city, people in movement between interconnected spaces perform a non-sedentary activity enhancing sustainability and well-being. However, adverse weather conditions may create uncomfortable thermal sensations that change or ruin the experience of people walking outdoors. This paper is presenting the findings of a 3-year study on the perceptual variation of thermo-spatial conditions and comfort state for pedestrians moving between interconnected spaces. Thermal walks were organised in two European pedestrian routes of 500-m length. The structured walks were conducted with simultaneous microclimatic monitoring and field surveys of thermal perception based on 314 questionnaires, with a focus on the variation of comfort states. The findings suggest that spaces in sequence do not affect significantly microclimatic variation but have a large impact on the dynamic thermal perception of pedestrians. Interconnected spaces of high density result in a differentiation of thermal pleasantness between streets and squares. The aspect of movement along with complexity in urban morphology along a sequence enhances diversity in thermal sensation. This understanding opens possibilities in developing a multisensory-centred urbanism, where the experience of the thermal environment plays an integral role for perception-driven and healthier urban design.","container-title":"International Journal of Biometeorology","DOI":"10.1007/s00484-019-01782-2","ISSN":"1432-1254","issue":"2","journalAbbreviation":"Int J Biometeorol","language":"en","license":"2019 The Author(s)","note":"Company: Springer\nDistributor: Springer\nInstitution: Springer\nLabel: Springer\npublisher: Springer Berlin Heidelberg","page":"277-291","source":"link-springer-com.proxy.lib.ltu.se","title":"Outdoor thermal comfort for pedestrians in movement: thermal walks in complex urban morphology","title-short":"Outdoor thermal comfort for pedestrians in movement","volume":"64","author":[{"family":"Vasilikou","given":"Carolina"},{"family":"Nikolopoulou","given":"Marialena"}],"issued":{"date-parts":[["2020",2,1]]}}}],"schema":"https://github.com/citation-style-language/schema/raw/master/csl-citation.json"} </w:instrText>
            </w:r>
            <w:r>
              <w:rPr>
                <w:rFonts w:ascii="Times New Roman" w:hAnsi="Times New Roman" w:cs="Times New Roman"/>
                <w:sz w:val="16"/>
                <w:szCs w:val="16"/>
                <w:lang w:val="en-US" w:eastAsia="zh-TW"/>
              </w:rPr>
              <w:fldChar w:fldCharType="separate"/>
            </w:r>
            <w:r w:rsidRPr="006A48B1">
              <w:rPr>
                <w:rFonts w:ascii="Times New Roman" w:hAnsi="Times New Roman" w:cs="Times New Roman"/>
                <w:sz w:val="16"/>
              </w:rPr>
              <w:t>Vasilikou &amp; Nikolopoulou, 2020</w:t>
            </w:r>
            <w:r>
              <w:rPr>
                <w:rFonts w:ascii="Times New Roman" w:hAnsi="Times New Roman" w:cs="Times New Roman"/>
                <w:sz w:val="16"/>
                <w:szCs w:val="16"/>
                <w:lang w:val="en-US" w:eastAsia="zh-TW"/>
              </w:rPr>
              <w:fldChar w:fldCharType="end"/>
            </w:r>
          </w:p>
        </w:tc>
      </w:tr>
      <w:tr w:rsidR="001218B9" w:rsidRPr="006A48B1" w14:paraId="15150394"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17B1494B"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Gill GMX501 System</w:t>
            </w:r>
          </w:p>
        </w:tc>
        <w:tc>
          <w:tcPr>
            <w:tcW w:w="2326" w:type="dxa"/>
            <w:tcBorders>
              <w:top w:val="nil"/>
              <w:left w:val="nil"/>
              <w:bottom w:val="single" w:sz="8" w:space="0" w:color="CCCCCC"/>
              <w:right w:val="single" w:sz="8" w:space="0" w:color="CCCCCC"/>
            </w:tcBorders>
            <w:vAlign w:val="bottom"/>
            <w:hideMark/>
          </w:tcPr>
          <w:p w14:paraId="07557E91" w14:textId="1095DC93" w:rsidR="001218B9" w:rsidRPr="00815B93" w:rsidRDefault="009E3194"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T</w:t>
            </w:r>
            <w:r>
              <w:rPr>
                <w:rFonts w:ascii="Times New Roman" w:hAnsi="Times New Roman" w:cs="Times New Roman"/>
                <w:sz w:val="16"/>
                <w:szCs w:val="16"/>
                <w:vertAlign w:val="subscript"/>
                <w:lang w:val="en-US" w:eastAsia="zh-TW"/>
              </w:rPr>
              <w:t>a</w:t>
            </w:r>
            <w:r w:rsidRPr="00815B93">
              <w:rPr>
                <w:rFonts w:ascii="Times New Roman" w:hAnsi="Times New Roman" w:cs="Times New Roman"/>
                <w:sz w:val="16"/>
                <w:szCs w:val="16"/>
                <w:lang w:val="en-US" w:eastAsia="zh-TW"/>
              </w:rPr>
              <w:t xml:space="preserve">, </w:t>
            </w:r>
            <w:r>
              <w:rPr>
                <w:rFonts w:ascii="Times New Roman" w:hAnsi="Times New Roman" w:cs="Times New Roman"/>
                <w:sz w:val="16"/>
                <w:szCs w:val="16"/>
                <w:lang w:val="en-US" w:eastAsia="zh-TW"/>
              </w:rPr>
              <w:t>RH,</w:t>
            </w:r>
            <w:r w:rsidRPr="00815B93">
              <w:rPr>
                <w:rFonts w:ascii="Times New Roman" w:hAnsi="Times New Roman" w:cs="Times New Roman"/>
                <w:sz w:val="16"/>
                <w:szCs w:val="16"/>
                <w:lang w:val="en-US" w:eastAsia="zh-TW"/>
              </w:rPr>
              <w:t xml:space="preserve"> </w:t>
            </w:r>
            <w:r>
              <w:rPr>
                <w:rFonts w:ascii="Times New Roman" w:hAnsi="Times New Roman" w:cs="Times New Roman"/>
                <w:sz w:val="16"/>
                <w:szCs w:val="16"/>
                <w:lang w:val="en-US" w:eastAsia="zh-TW"/>
              </w:rPr>
              <w:t>v</w:t>
            </w:r>
            <w:r w:rsidR="001218B9" w:rsidRPr="00815B93">
              <w:rPr>
                <w:rFonts w:ascii="Times New Roman" w:hAnsi="Times New Roman" w:cs="Times New Roman"/>
                <w:sz w:val="16"/>
                <w:szCs w:val="16"/>
                <w:lang w:val="en-US" w:eastAsia="zh-TW"/>
              </w:rPr>
              <w:t xml:space="preserve">, </w:t>
            </w:r>
            <w:r>
              <w:rPr>
                <w:rFonts w:ascii="Times New Roman" w:hAnsi="Times New Roman" w:cs="Times New Roman"/>
                <w:sz w:val="16"/>
                <w:szCs w:val="16"/>
                <w:lang w:val="en-US" w:eastAsia="zh-TW"/>
              </w:rPr>
              <w:t xml:space="preserve">G </w:t>
            </w:r>
          </w:p>
        </w:tc>
        <w:tc>
          <w:tcPr>
            <w:tcW w:w="2112" w:type="dxa"/>
            <w:tcBorders>
              <w:top w:val="nil"/>
              <w:left w:val="nil"/>
              <w:bottom w:val="single" w:sz="8" w:space="0" w:color="CCCCCC"/>
              <w:right w:val="single" w:sz="8" w:space="0" w:color="CCCCCC"/>
            </w:tcBorders>
            <w:vAlign w:val="bottom"/>
            <w:hideMark/>
          </w:tcPr>
          <w:p w14:paraId="75E53C9E"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Sonic anemometer, CNR4 net-radiometer, Apogee thermistor</w:t>
            </w:r>
          </w:p>
        </w:tc>
        <w:tc>
          <w:tcPr>
            <w:tcW w:w="1822" w:type="dxa"/>
            <w:tcBorders>
              <w:top w:val="nil"/>
              <w:left w:val="nil"/>
              <w:bottom w:val="single" w:sz="8" w:space="0" w:color="CCCCCC"/>
              <w:right w:val="single" w:sz="8" w:space="0" w:color="CCCCCC"/>
            </w:tcBorders>
            <w:vAlign w:val="bottom"/>
            <w:hideMark/>
          </w:tcPr>
          <w:p w14:paraId="76535F39"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Not in source</w:t>
            </w:r>
          </w:p>
        </w:tc>
        <w:tc>
          <w:tcPr>
            <w:tcW w:w="2006" w:type="dxa"/>
            <w:tcBorders>
              <w:top w:val="nil"/>
              <w:left w:val="nil"/>
              <w:bottom w:val="single" w:sz="8" w:space="0" w:color="CCCCCC"/>
              <w:right w:val="single" w:sz="8" w:space="0" w:color="CCCCCC"/>
            </w:tcBorders>
            <w:vAlign w:val="bottom"/>
            <w:hideMark/>
          </w:tcPr>
          <w:p w14:paraId="77790836"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15 s to 5 min</w:t>
            </w:r>
          </w:p>
        </w:tc>
        <w:tc>
          <w:tcPr>
            <w:tcW w:w="1784" w:type="dxa"/>
            <w:tcBorders>
              <w:top w:val="nil"/>
              <w:left w:val="nil"/>
              <w:bottom w:val="single" w:sz="8" w:space="0" w:color="CCCCCC"/>
              <w:right w:val="single" w:sz="8" w:space="0" w:color="CCCCCC"/>
            </w:tcBorders>
            <w:vAlign w:val="bottom"/>
            <w:hideMark/>
          </w:tcPr>
          <w:p w14:paraId="793CFF38"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Stationary tripod or Cart</w:t>
            </w:r>
          </w:p>
        </w:tc>
        <w:tc>
          <w:tcPr>
            <w:tcW w:w="2050" w:type="dxa"/>
            <w:tcBorders>
              <w:top w:val="nil"/>
              <w:left w:val="nil"/>
              <w:bottom w:val="single" w:sz="8" w:space="0" w:color="CCCCCC"/>
              <w:right w:val="single" w:sz="8" w:space="0" w:color="CCCCCC"/>
            </w:tcBorders>
            <w:vAlign w:val="bottom"/>
            <w:hideMark/>
          </w:tcPr>
          <w:p w14:paraId="3417EE12" w14:textId="3B2972C7" w:rsidR="001218B9" w:rsidRPr="00815B93" w:rsidRDefault="006A48B1"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{"citationID":"4KVIMF5c","properties":{"formattedCitation":"(Aleksandrowicz &amp; Pearlmutter, 2023)","plainCitation":"(Aleksandrowicz &amp; Pearlmutter, 2023)","noteIndex":0},"citationItems":[{"id":218,"uris":["http://zotero.org/users/15620616/items/G6XBG2SD"],"itemData":{"id":218,"type":"article-journal","abstract":"The rise in air temperature in urban areas has been attracting the attention of urban climate researchers for years now, focusing on the intensity of the so-called Urban Heat Island (UHI) phenomenon. Recently, though, it has been rightly questioned whether the concept of UHI intensity is helpful in assessing mitigation of urban heat stress, especially since the concept does not reflect the spatial and temporal microscale climatic differences between adjacent intra-urban locations and the much lower magnitude of the UHI effect during daytime. Moreover, while UHI research is focused on near-surface air temperature levels, the existing evidence makes it clear that air temperature does not fully describe the intensity of street-level daytime heat stress during the hot season. This study attempted to evaluate the correlation between exposure to shortwave radiation and significant increases in heat stress under summer conditions through extensive monitoring. Using a mobile measurement setup we monitored summer daytime outdoor conditions in 148 unique locations in Tel Aviv-Yafo, a coastal city with a hot-summer Mediterranean climate. Analysis of the resulting dataset showed the decisive effect of solar exposure on significantly increased heat stress according to three common thermal comfort indices. A much weaker correlation was observed between comfort levels and air temperature, relative humidity, and wind speed levels. These findings support the conclusion that under summer daytime conditions in similarly hot climates the provision of shade has a far stronger positive effect on reducing heat stress than, for example, feasible reductions in air temperatures or increases in wind speed.","container-title":"Landscape and Urban Planning","DOI":"10.1016/j.landurbplan.2022.104588","ISSN":"0169-2046","journalAbbreviation":"Landscape and Urban Planning","page":"104588","source":"ScienceDirect","title":"The significance of shade provision in reducing street-level summer heat stress in a hot Mediterranean climate","volume":"229","author":[{"family":"Aleksandrowicz","given":"Or"},{"family":"Pearlmutter","given":"David"}],"issued":{"date-parts":[["2023",1,1]]}}}],"schema":"https://github.com/citation-style-language/schema/raw/master/csl-citation.json"} </w:instrText>
            </w:r>
            <w:r>
              <w:rPr>
                <w:rFonts w:ascii="Times New Roman" w:hAnsi="Times New Roman" w:cs="Times New Roman"/>
                <w:sz w:val="16"/>
                <w:szCs w:val="16"/>
                <w:lang w:val="en-US" w:eastAsia="zh-TW"/>
              </w:rPr>
              <w:fldChar w:fldCharType="separate"/>
            </w:r>
            <w:r w:rsidRPr="006A48B1">
              <w:rPr>
                <w:rFonts w:ascii="Times New Roman" w:hAnsi="Times New Roman" w:cs="Times New Roman"/>
                <w:sz w:val="16"/>
              </w:rPr>
              <w:t>Aleksandrowicz &amp; Pearlmutter, 2023</w:t>
            </w:r>
            <w:r>
              <w:rPr>
                <w:rFonts w:ascii="Times New Roman" w:hAnsi="Times New Roman" w:cs="Times New Roman"/>
                <w:sz w:val="16"/>
                <w:szCs w:val="16"/>
                <w:lang w:val="en-US" w:eastAsia="zh-TW"/>
              </w:rPr>
              <w:fldChar w:fldCharType="end"/>
            </w:r>
          </w:p>
        </w:tc>
      </w:tr>
      <w:tr w:rsidR="001218B9" w:rsidRPr="006A48B1" w14:paraId="02CA7833" w14:textId="77777777" w:rsidTr="00815B93">
        <w:trPr>
          <w:trHeight w:val="144"/>
        </w:trPr>
        <w:tc>
          <w:tcPr>
            <w:tcW w:w="1840" w:type="dxa"/>
            <w:tcBorders>
              <w:top w:val="nil"/>
              <w:left w:val="single" w:sz="8" w:space="0" w:color="CCCCCC"/>
              <w:bottom w:val="single" w:sz="8" w:space="0" w:color="CCCCCC"/>
              <w:right w:val="single" w:sz="8" w:space="0" w:color="CCCCCC"/>
            </w:tcBorders>
            <w:vAlign w:val="bottom"/>
            <w:hideMark/>
          </w:tcPr>
          <w:p w14:paraId="623712D7"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Sound Level Meters</w:t>
            </w:r>
          </w:p>
        </w:tc>
        <w:tc>
          <w:tcPr>
            <w:tcW w:w="2326" w:type="dxa"/>
            <w:tcBorders>
              <w:top w:val="nil"/>
              <w:left w:val="nil"/>
              <w:bottom w:val="single" w:sz="8" w:space="0" w:color="CCCCCC"/>
              <w:right w:val="single" w:sz="8" w:space="0" w:color="CCCCCC"/>
            </w:tcBorders>
            <w:vAlign w:val="bottom"/>
            <w:hideMark/>
          </w:tcPr>
          <w:p w14:paraId="75DAA648"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Sound pressure level / Decibel</w:t>
            </w:r>
          </w:p>
        </w:tc>
        <w:tc>
          <w:tcPr>
            <w:tcW w:w="2112" w:type="dxa"/>
            <w:tcBorders>
              <w:top w:val="nil"/>
              <w:left w:val="nil"/>
              <w:bottom w:val="single" w:sz="8" w:space="0" w:color="CCCCCC"/>
              <w:right w:val="single" w:sz="8" w:space="0" w:color="CCCCCC"/>
            </w:tcBorders>
            <w:vAlign w:val="bottom"/>
            <w:hideMark/>
          </w:tcPr>
          <w:p w14:paraId="602A12BD"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AS-K8; C.A. 832</w:t>
            </w:r>
          </w:p>
        </w:tc>
        <w:tc>
          <w:tcPr>
            <w:tcW w:w="1822" w:type="dxa"/>
            <w:tcBorders>
              <w:top w:val="nil"/>
              <w:left w:val="nil"/>
              <w:bottom w:val="single" w:sz="8" w:space="0" w:color="CCCCCC"/>
              <w:right w:val="single" w:sz="8" w:space="0" w:color="CCCCCC"/>
            </w:tcBorders>
            <w:vAlign w:val="bottom"/>
            <w:hideMark/>
          </w:tcPr>
          <w:p w14:paraId="491DBCCB" w14:textId="77777777" w:rsidR="001218B9" w:rsidRPr="00815B93" w:rsidRDefault="001218B9" w:rsidP="00815B93">
            <w:pPr>
              <w:pStyle w:val="NoSpacing"/>
              <w:rPr>
                <w:rFonts w:ascii="Times New Roman" w:hAnsi="Times New Roman" w:cs="Times New Roman"/>
                <w:sz w:val="16"/>
                <w:szCs w:val="16"/>
                <w:lang w:val="en-US" w:eastAsia="zh-TW"/>
              </w:rPr>
            </w:pPr>
            <w:r>
              <w:rPr>
                <w:rFonts w:ascii="Times New Roman" w:hAnsi="Times New Roman" w:cs="Times New Roman"/>
                <w:sz w:val="16"/>
                <w:szCs w:val="16"/>
                <w:lang w:val="en-US" w:eastAsia="zh-TW"/>
              </w:rPr>
              <w:t>±</w:t>
            </w:r>
            <w:r w:rsidRPr="00815B93">
              <w:rPr>
                <w:rFonts w:ascii="Times New Roman" w:hAnsi="Times New Roman" w:cs="Times New Roman"/>
                <w:sz w:val="16"/>
                <w:szCs w:val="16"/>
                <w:lang w:val="en-US" w:eastAsia="zh-TW"/>
              </w:rPr>
              <w:t xml:space="preserve"> 1.5 dB</w:t>
            </w:r>
          </w:p>
        </w:tc>
        <w:tc>
          <w:tcPr>
            <w:tcW w:w="2006" w:type="dxa"/>
            <w:tcBorders>
              <w:top w:val="nil"/>
              <w:left w:val="nil"/>
              <w:bottom w:val="single" w:sz="8" w:space="0" w:color="CCCCCC"/>
              <w:right w:val="single" w:sz="8" w:space="0" w:color="CCCCCC"/>
            </w:tcBorders>
            <w:vAlign w:val="bottom"/>
            <w:hideMark/>
          </w:tcPr>
          <w:p w14:paraId="14E09350"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1 s</w:t>
            </w:r>
          </w:p>
        </w:tc>
        <w:tc>
          <w:tcPr>
            <w:tcW w:w="1784" w:type="dxa"/>
            <w:tcBorders>
              <w:top w:val="nil"/>
              <w:left w:val="nil"/>
              <w:bottom w:val="single" w:sz="8" w:space="0" w:color="CCCCCC"/>
              <w:right w:val="single" w:sz="8" w:space="0" w:color="CCCCCC"/>
            </w:tcBorders>
            <w:vAlign w:val="bottom"/>
            <w:hideMark/>
          </w:tcPr>
          <w:p w14:paraId="06801632" w14:textId="77777777" w:rsidR="001218B9" w:rsidRPr="00815B93" w:rsidRDefault="001218B9" w:rsidP="00815B93">
            <w:pPr>
              <w:pStyle w:val="NoSpacing"/>
              <w:rPr>
                <w:rFonts w:ascii="Times New Roman" w:hAnsi="Times New Roman" w:cs="Times New Roman"/>
                <w:sz w:val="16"/>
                <w:szCs w:val="16"/>
                <w:lang w:val="en-US" w:eastAsia="zh-TW"/>
              </w:rPr>
            </w:pPr>
            <w:r w:rsidRPr="00815B93">
              <w:rPr>
                <w:rFonts w:ascii="Times New Roman" w:hAnsi="Times New Roman" w:cs="Times New Roman"/>
                <w:sz w:val="16"/>
                <w:szCs w:val="16"/>
                <w:lang w:val="en-US" w:eastAsia="zh-TW"/>
              </w:rPr>
              <w:t>Backpack</w:t>
            </w:r>
          </w:p>
        </w:tc>
        <w:tc>
          <w:tcPr>
            <w:tcW w:w="2050" w:type="dxa"/>
            <w:tcBorders>
              <w:top w:val="nil"/>
              <w:left w:val="nil"/>
              <w:bottom w:val="single" w:sz="8" w:space="0" w:color="CCCCCC"/>
              <w:right w:val="single" w:sz="8" w:space="0" w:color="CCCCCC"/>
            </w:tcBorders>
            <w:vAlign w:val="bottom"/>
            <w:hideMark/>
          </w:tcPr>
          <w:p w14:paraId="33661D6B" w14:textId="6BC031A6" w:rsidR="006A48B1" w:rsidRDefault="006A48B1" w:rsidP="00815B93">
            <w:pPr>
              <w:pStyle w:val="NoSpacing"/>
              <w:rPr>
                <w:rFonts w:ascii="Times New Roman" w:hAnsi="Times New Roman" w:cs="Times New Roman"/>
                <w:sz w:val="16"/>
              </w:rPr>
            </w:pPr>
            <w:r>
              <w:rPr>
                <w:rFonts w:ascii="Times New Roman" w:hAnsi="Times New Roman" w:cs="Times New Roman"/>
                <w:sz w:val="16"/>
                <w:szCs w:val="16"/>
                <w:lang w:val="en-US" w:eastAsia="zh-TW"/>
              </w:rPr>
              <w:fldChar w:fldCharType="begin"/>
            </w:r>
            <w:r>
              <w:rPr>
                <w:rFonts w:ascii="Times New Roman" w:hAnsi="Times New Roman" w:cs="Times New Roman"/>
                <w:sz w:val="16"/>
                <w:szCs w:val="16"/>
                <w:lang w:val="en-US" w:eastAsia="zh-TW"/>
              </w:rPr>
              <w:instrText xml:space="preserve"> ADDIN ZOTERO_ITEM CSL_CITATION {"citationID":"9STpvmlI","properties":{"formattedCitation":"(Cureau et al., 2022; Lam et al., 2024)","plainCitation":"(Cureau et al., 2022; Lam et al., 2024)","noteIndex":0},"citationItems":[{"id":219,"uris":["http://zotero.org/users/15620616/items/8XR5JSF9"],"itemData":{"id":219,"type":"article-journal","abstract":"Human comfort outdoors is widely investigated, but most studies explore the comfort domains singularly. This paper aimed to evaluate human comfort in parks, verifying the importance of using a multi-domain (simultaneously evaluating thermal, visual, acoustic, and air quality) and multi-disciplinary (combining environmental and social fields) approach. A walk through a pre-defined path from one park to another was repeated twice per day on four consecutive days in June, with three participants per walk. The two investigated parks are in central Italy and were chosen because they differ in their design and spatial characteristics. Environmental data were recorded with an innovative wearable device during the whole walk, and surveys were used to assess people’s perceptions of the parks. Despite observed differences in collected physical parameters, the survey’s responses were similar, and different comfort domains showed dependence on each other in the two parks. Logistic regression models were developed for each park, and they revealed that the qualitative information predicted the overall comfort level more accurately than the environmental data. In detail, the models based on environmental data resulted in R2 equal to 0.126 and 0.111 in Parks 1 and 2, respectively, whereas using the survey answers increased it up to 0.820 (Park 1) and 0.806 (Park 2). This study contributes to addressing the gap in multi-domain comfort studies outdoors and confirms the importance of using multi-disciplinary and multi-domain approaches for a complete comfort analysis, supporting holistic human-biometeorology-oriented models and forecasting opportunities that can promote improvements in urban environmental quality and liveability.","container-title":"International Journal of Biometeorology","DOI":"10.1007/s00484-022-02338-7","ISSN":"1432-1254","issue":"10","journalAbbreviation":"Int J Biometeorol","language":"en","license":"2022 The Author(s)","note":"Company: Springer\nDistributor: Springer\nInstitution: Springer\nLabel: Springer\npublisher: Springer Berlin Heidelberg","page":"2033-2045","source":"link-springer-com.proxy.lib.ltu.se","title":"Multi-domain human-oriented approach to evaluate human comfort in outdoor environments","volume":"66","author":[{"family":"Cureau","given":"Roberta Jacoby"},{"family":"Pigliautile","given":"Ilaria"},{"family":"Kousis","given":"Ioannis"},{"family":"Pisello","given":"Anna Laura"}],"issued":{"date-parts":[["2022",10,1]]}}},{"id":240,"uris":["http://zotero.org/users/15620616/items/BPR5GRR6"],"itemData":{"id":240,"type":"article-journal","abstract":"Urban residents are exposed to multiple environmental stimuli. Past studies have examined the influence of heat stress on outdoor thermal comfort, but the cross-modal effects of various sensory stimuli on outdoor thermal comfort remain unclear. This study used chi-square tests and logistic regression to examine the cross-modal effects of perceived environmental quality (acoustic, visual and air quality) and psychological status (irritability, perceived tiredness) on outdoor thermal comfort. We conducted thermal walk experiments in Guangzhou, China, in September and October 2022. This panel study consisted of mobile environmental sensors and thermal comfort surveys by fourteen university students on three walking routes, representing urban renewal sites, new urban areas, and urban blue-green spaces. The ‘very bright’ (OR=15.76, p&lt;0.001) and ‘glaring’ groups (OR=4.09, p&lt;0.001) were likelier to feel hotter than the ‘dark’ and ‘not glaring’ groups. People who found the noise level annoying were likelier to feel uncomfortable (OR=1.61, p=0.004). Moreover, people perceiving air quality as ‘very good’ were less likely to find the thermal environment unacceptable (OR=0.27, p=0.035). The irritated (OR=4.18, p&lt;0.001) and tired groups (OR=1.81, p=0.002) were likelier to find the thermal environment intolerable. Our findings highlight the need to consider multisensory comfort and psychological status to inform sustainable urban design.","container-title":"Sustainable Cities and Society","DOI":"10.1016/j.scs.2024.105578","ISSN":"2210-6707","journalAbbreviation":"Sustainable Cities and Society","page":"105578","source":"ScienceDirect","title":"Effects of perceived environmental quality and psychological status on outdoor thermal comfort: a panel study in Southern China","title-short":"Effects of perceived environmental quality and psychological status on outdoor thermal comfort","volume":"112","author":[{"family":"Lam","given":"Cho Kwong Charlie"},{"family":"Pan","given":"Haonan"},{"family":"Nie","given":"Weixiao"},{"family":"Li","given":"Xiaohui"},{"family":"Wu","given":"Jie"},{"family":"Yin","given":"Zhe"},{"family":"Han","given":"Jiejie"}],"issued":{"date-parts":[["2024",10,1]]}}}],"schema":"https://github.com/citation-style-language/schema/raw/master/csl-citation.json"} </w:instrText>
            </w:r>
            <w:r>
              <w:rPr>
                <w:rFonts w:ascii="Times New Roman" w:hAnsi="Times New Roman" w:cs="Times New Roman"/>
                <w:sz w:val="16"/>
                <w:szCs w:val="16"/>
                <w:lang w:val="en-US" w:eastAsia="zh-TW"/>
              </w:rPr>
              <w:fldChar w:fldCharType="separate"/>
            </w:r>
            <w:r w:rsidRPr="006A48B1">
              <w:rPr>
                <w:rFonts w:ascii="Times New Roman" w:hAnsi="Times New Roman" w:cs="Times New Roman"/>
                <w:sz w:val="16"/>
              </w:rPr>
              <w:t>Cureau et al., 2022</w:t>
            </w:r>
          </w:p>
          <w:p w14:paraId="7AE01D21" w14:textId="473D96A7" w:rsidR="001218B9" w:rsidRPr="00815B93" w:rsidRDefault="006A48B1" w:rsidP="00815B93">
            <w:pPr>
              <w:pStyle w:val="NoSpacing"/>
              <w:rPr>
                <w:rFonts w:ascii="Times New Roman" w:hAnsi="Times New Roman" w:cs="Times New Roman"/>
                <w:sz w:val="16"/>
                <w:szCs w:val="16"/>
                <w:lang w:val="en-US" w:eastAsia="zh-TW"/>
              </w:rPr>
            </w:pPr>
            <w:r w:rsidRPr="006A48B1">
              <w:rPr>
                <w:rFonts w:ascii="Times New Roman" w:hAnsi="Times New Roman" w:cs="Times New Roman"/>
                <w:sz w:val="16"/>
              </w:rPr>
              <w:t>Lam et al., 2024</w:t>
            </w:r>
            <w:r>
              <w:rPr>
                <w:rFonts w:ascii="Times New Roman" w:hAnsi="Times New Roman" w:cs="Times New Roman"/>
                <w:sz w:val="16"/>
                <w:szCs w:val="16"/>
                <w:lang w:val="en-US" w:eastAsia="zh-TW"/>
              </w:rPr>
              <w:fldChar w:fldCharType="end"/>
            </w:r>
          </w:p>
        </w:tc>
      </w:tr>
    </w:tbl>
    <w:p w14:paraId="3529F934" w14:textId="77777777" w:rsidR="001218B9" w:rsidRDefault="001218B9" w:rsidP="005B09FD">
      <w:pPr>
        <w:pStyle w:val="NoSpacing"/>
        <w:spacing w:line="360" w:lineRule="auto"/>
        <w:ind w:left="360" w:hanging="360"/>
        <w:rPr>
          <w:rFonts w:ascii="Times New Roman" w:hAnsi="Times New Roman" w:cs="Times New Roman"/>
          <w:sz w:val="20"/>
          <w:szCs w:val="20"/>
          <w:lang w:val="en-GB"/>
        </w:rPr>
      </w:pPr>
    </w:p>
    <w:p w14:paraId="5B0D8739" w14:textId="77777777" w:rsidR="001218B9" w:rsidRPr="00B74585" w:rsidRDefault="001218B9" w:rsidP="005B09FD">
      <w:pPr>
        <w:pStyle w:val="NoSpacing"/>
        <w:spacing w:line="360" w:lineRule="auto"/>
        <w:ind w:left="360" w:hanging="360"/>
        <w:rPr>
          <w:rFonts w:ascii="Times New Roman" w:hAnsi="Times New Roman" w:cs="Times New Roman"/>
          <w:sz w:val="20"/>
          <w:szCs w:val="20"/>
          <w:lang w:val="en-GB"/>
        </w:rPr>
      </w:pPr>
    </w:p>
    <w:sectPr w:rsidR="001218B9" w:rsidRPr="00B74585" w:rsidSect="00F40E85">
      <w:footerReference w:type="default" r:id="rId7"/>
      <w:type w:val="continuous"/>
      <w:pgSz w:w="16838" w:h="11906" w:orient="landscape"/>
      <w:pgMar w:top="1411" w:right="1411" w:bottom="1411" w:left="1411"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2AC0" w14:textId="77777777" w:rsidR="00B220A8" w:rsidRDefault="00B220A8" w:rsidP="00195AA2">
      <w:pPr>
        <w:spacing w:after="0" w:line="240" w:lineRule="auto"/>
      </w:pPr>
      <w:r>
        <w:separator/>
      </w:r>
    </w:p>
  </w:endnote>
  <w:endnote w:type="continuationSeparator" w:id="0">
    <w:p w14:paraId="2D6317BC" w14:textId="77777777" w:rsidR="00B220A8" w:rsidRDefault="00B220A8" w:rsidP="00195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7AC8" w14:textId="5145C92A" w:rsidR="00195AA2" w:rsidRPr="00F00185" w:rsidRDefault="00195AA2">
    <w:pPr>
      <w:pStyle w:val="Footer"/>
      <w:rPr>
        <w:rFonts w:ascii="Times New Roman" w:hAnsi="Times New Roman" w:cs="Times New Roman"/>
        <w:lang w:val="en-US"/>
      </w:rPr>
    </w:pPr>
    <w:r w:rsidRPr="00F00185">
      <w:rPr>
        <w:rFonts w:ascii="Times New Roman" w:hAnsi="Times New Roman" w:cs="Times New Roman"/>
        <w:lang w:val="en-US"/>
      </w:rPr>
      <w:tab/>
    </w:r>
    <w:r w:rsidRPr="00F00185">
      <w:rPr>
        <w:rFonts w:ascii="Times New Roman" w:hAnsi="Times New Roman" w:cs="Times New Roman"/>
        <w:lang w:val="en-US"/>
      </w:rPr>
      <w:tab/>
    </w:r>
    <w:r w:rsidR="00BE4B48">
      <w:rPr>
        <w:rFonts w:ascii="Times New Roman" w:hAnsi="Times New Roman" w:cs="Times New Roman"/>
        <w:lang w:val="en-US"/>
      </w:rPr>
      <w:tab/>
    </w:r>
    <w:r w:rsidR="00BE4B48">
      <w:rPr>
        <w:rFonts w:ascii="Times New Roman" w:hAnsi="Times New Roman" w:cs="Times New Roman"/>
        <w:lang w:val="en-US"/>
      </w:rPr>
      <w:tab/>
    </w:r>
    <w:r w:rsidR="00BE4B48">
      <w:rPr>
        <w:rFonts w:ascii="Times New Roman" w:hAnsi="Times New Roman" w:cs="Times New Roman"/>
        <w:lang w:val="en-US"/>
      </w:rPr>
      <w:tab/>
    </w:r>
    <w:r w:rsidRPr="00F00185">
      <w:rPr>
        <w:rFonts w:ascii="Times New Roman" w:hAnsi="Times New Roman" w:cs="Times New Roman"/>
        <w:lang w:val="en-US"/>
      </w:rPr>
      <w:fldChar w:fldCharType="begin"/>
    </w:r>
    <w:r w:rsidRPr="00F00185">
      <w:rPr>
        <w:rFonts w:ascii="Times New Roman" w:hAnsi="Times New Roman" w:cs="Times New Roman"/>
        <w:lang w:val="en-US"/>
      </w:rPr>
      <w:instrText xml:space="preserve"> PAGE   \* MERGEFORMAT </w:instrText>
    </w:r>
    <w:r w:rsidRPr="00F00185">
      <w:rPr>
        <w:rFonts w:ascii="Times New Roman" w:hAnsi="Times New Roman" w:cs="Times New Roman"/>
        <w:lang w:val="en-US"/>
      </w:rPr>
      <w:fldChar w:fldCharType="separate"/>
    </w:r>
    <w:r w:rsidRPr="00F00185">
      <w:rPr>
        <w:rFonts w:ascii="Times New Roman" w:hAnsi="Times New Roman" w:cs="Times New Roman"/>
        <w:noProof/>
        <w:lang w:val="en-US"/>
      </w:rPr>
      <w:t>1</w:t>
    </w:r>
    <w:r w:rsidRPr="00F00185">
      <w:rPr>
        <w:rFonts w:ascii="Times New Roman" w:hAnsi="Times New Roman" w:cs="Times New Roman"/>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1F81" w14:textId="77777777" w:rsidR="00B220A8" w:rsidRDefault="00B220A8" w:rsidP="00195AA2">
      <w:pPr>
        <w:spacing w:after="0" w:line="240" w:lineRule="auto"/>
      </w:pPr>
      <w:r>
        <w:separator/>
      </w:r>
    </w:p>
  </w:footnote>
  <w:footnote w:type="continuationSeparator" w:id="0">
    <w:p w14:paraId="4A9F7272" w14:textId="77777777" w:rsidR="00B220A8" w:rsidRDefault="00B220A8" w:rsidP="00195A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751E"/>
    <w:multiLevelType w:val="hybridMultilevel"/>
    <w:tmpl w:val="7F764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017CB3"/>
    <w:multiLevelType w:val="hybridMultilevel"/>
    <w:tmpl w:val="601208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3F69F1"/>
    <w:multiLevelType w:val="hybridMultilevel"/>
    <w:tmpl w:val="10D049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9561D2"/>
    <w:multiLevelType w:val="hybridMultilevel"/>
    <w:tmpl w:val="806AC36E"/>
    <w:lvl w:ilvl="0" w:tplc="25F8FA3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65C89"/>
    <w:multiLevelType w:val="hybridMultilevel"/>
    <w:tmpl w:val="969683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1BC3C1A"/>
    <w:multiLevelType w:val="hybridMultilevel"/>
    <w:tmpl w:val="E03052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7AA44D5"/>
    <w:multiLevelType w:val="hybridMultilevel"/>
    <w:tmpl w:val="D4CC39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9C46683"/>
    <w:multiLevelType w:val="hybridMultilevel"/>
    <w:tmpl w:val="D610C1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7D138A0"/>
    <w:multiLevelType w:val="hybridMultilevel"/>
    <w:tmpl w:val="4154C9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8FB5AF6"/>
    <w:multiLevelType w:val="multilevel"/>
    <w:tmpl w:val="B68C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5438861">
    <w:abstractNumId w:val="5"/>
  </w:num>
  <w:num w:numId="2" w16cid:durableId="1782647862">
    <w:abstractNumId w:val="1"/>
  </w:num>
  <w:num w:numId="3" w16cid:durableId="175509103">
    <w:abstractNumId w:val="8"/>
  </w:num>
  <w:num w:numId="4" w16cid:durableId="81874750">
    <w:abstractNumId w:val="7"/>
  </w:num>
  <w:num w:numId="5" w16cid:durableId="1560701019">
    <w:abstractNumId w:val="6"/>
  </w:num>
  <w:num w:numId="6" w16cid:durableId="2102792185">
    <w:abstractNumId w:val="0"/>
  </w:num>
  <w:num w:numId="7" w16cid:durableId="1471554472">
    <w:abstractNumId w:val="2"/>
  </w:num>
  <w:num w:numId="8" w16cid:durableId="750543432">
    <w:abstractNumId w:val="4"/>
  </w:num>
  <w:num w:numId="9" w16cid:durableId="1532690811">
    <w:abstractNumId w:val="9"/>
  </w:num>
  <w:num w:numId="10" w16cid:durableId="2050647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B0"/>
    <w:rsid w:val="0000655E"/>
    <w:rsid w:val="00013752"/>
    <w:rsid w:val="0002205C"/>
    <w:rsid w:val="000269B3"/>
    <w:rsid w:val="00030249"/>
    <w:rsid w:val="000327CD"/>
    <w:rsid w:val="00041E97"/>
    <w:rsid w:val="00053DA8"/>
    <w:rsid w:val="00071A15"/>
    <w:rsid w:val="000813E2"/>
    <w:rsid w:val="00082E88"/>
    <w:rsid w:val="00093B84"/>
    <w:rsid w:val="000956BA"/>
    <w:rsid w:val="000A0A32"/>
    <w:rsid w:val="000A4FC4"/>
    <w:rsid w:val="000A502E"/>
    <w:rsid w:val="000B17B3"/>
    <w:rsid w:val="000B2A62"/>
    <w:rsid w:val="000B78CF"/>
    <w:rsid w:val="000C6269"/>
    <w:rsid w:val="000D6261"/>
    <w:rsid w:val="000E1B72"/>
    <w:rsid w:val="000F2308"/>
    <w:rsid w:val="000F3C80"/>
    <w:rsid w:val="000F5C95"/>
    <w:rsid w:val="000F7A23"/>
    <w:rsid w:val="00116108"/>
    <w:rsid w:val="00121522"/>
    <w:rsid w:val="001218B9"/>
    <w:rsid w:val="001359B7"/>
    <w:rsid w:val="0016593C"/>
    <w:rsid w:val="00166323"/>
    <w:rsid w:val="00167D21"/>
    <w:rsid w:val="001734F5"/>
    <w:rsid w:val="0018057A"/>
    <w:rsid w:val="0019199E"/>
    <w:rsid w:val="0019356C"/>
    <w:rsid w:val="00193E15"/>
    <w:rsid w:val="00195AA2"/>
    <w:rsid w:val="001C096D"/>
    <w:rsid w:val="001C1E12"/>
    <w:rsid w:val="001D77F7"/>
    <w:rsid w:val="001E0923"/>
    <w:rsid w:val="001E3354"/>
    <w:rsid w:val="001E5EDE"/>
    <w:rsid w:val="001F537F"/>
    <w:rsid w:val="002062BA"/>
    <w:rsid w:val="00207C18"/>
    <w:rsid w:val="00212352"/>
    <w:rsid w:val="002142E9"/>
    <w:rsid w:val="00226F33"/>
    <w:rsid w:val="0023284A"/>
    <w:rsid w:val="0023326D"/>
    <w:rsid w:val="00235EA2"/>
    <w:rsid w:val="002368D8"/>
    <w:rsid w:val="00243E55"/>
    <w:rsid w:val="00243EE0"/>
    <w:rsid w:val="0024502E"/>
    <w:rsid w:val="00260D5A"/>
    <w:rsid w:val="002655A5"/>
    <w:rsid w:val="00265E9D"/>
    <w:rsid w:val="00277C27"/>
    <w:rsid w:val="00280D3D"/>
    <w:rsid w:val="002856E4"/>
    <w:rsid w:val="00296BA3"/>
    <w:rsid w:val="002A38F8"/>
    <w:rsid w:val="002B5F76"/>
    <w:rsid w:val="002C2E90"/>
    <w:rsid w:val="002C4544"/>
    <w:rsid w:val="002D4463"/>
    <w:rsid w:val="002E3349"/>
    <w:rsid w:val="002F5507"/>
    <w:rsid w:val="002F5DD1"/>
    <w:rsid w:val="003002D5"/>
    <w:rsid w:val="003049AC"/>
    <w:rsid w:val="0030738A"/>
    <w:rsid w:val="0032504F"/>
    <w:rsid w:val="00332C10"/>
    <w:rsid w:val="0033477F"/>
    <w:rsid w:val="003546A2"/>
    <w:rsid w:val="00363D05"/>
    <w:rsid w:val="003A1602"/>
    <w:rsid w:val="003A2329"/>
    <w:rsid w:val="003B68F5"/>
    <w:rsid w:val="003B7F33"/>
    <w:rsid w:val="003D02EB"/>
    <w:rsid w:val="003D23E1"/>
    <w:rsid w:val="003D2C0A"/>
    <w:rsid w:val="003D495D"/>
    <w:rsid w:val="003E0C4F"/>
    <w:rsid w:val="003E41F7"/>
    <w:rsid w:val="003F3474"/>
    <w:rsid w:val="00400F33"/>
    <w:rsid w:val="00404B1C"/>
    <w:rsid w:val="00407DED"/>
    <w:rsid w:val="00407FB0"/>
    <w:rsid w:val="00413D9F"/>
    <w:rsid w:val="004156A4"/>
    <w:rsid w:val="00421676"/>
    <w:rsid w:val="0044588C"/>
    <w:rsid w:val="00455695"/>
    <w:rsid w:val="00462C3F"/>
    <w:rsid w:val="00465566"/>
    <w:rsid w:val="00465E56"/>
    <w:rsid w:val="00483E08"/>
    <w:rsid w:val="00485F32"/>
    <w:rsid w:val="004921B3"/>
    <w:rsid w:val="004960D7"/>
    <w:rsid w:val="004A2500"/>
    <w:rsid w:val="004B0C3D"/>
    <w:rsid w:val="004C6AA4"/>
    <w:rsid w:val="004E0CC8"/>
    <w:rsid w:val="004E77B3"/>
    <w:rsid w:val="00501E09"/>
    <w:rsid w:val="005058C2"/>
    <w:rsid w:val="00507E14"/>
    <w:rsid w:val="00523E8C"/>
    <w:rsid w:val="00525E0A"/>
    <w:rsid w:val="00534762"/>
    <w:rsid w:val="005413A4"/>
    <w:rsid w:val="00542670"/>
    <w:rsid w:val="00552D52"/>
    <w:rsid w:val="005534E1"/>
    <w:rsid w:val="0055481C"/>
    <w:rsid w:val="00556993"/>
    <w:rsid w:val="005600E0"/>
    <w:rsid w:val="00570D52"/>
    <w:rsid w:val="0058545C"/>
    <w:rsid w:val="005B09FD"/>
    <w:rsid w:val="005B5CAC"/>
    <w:rsid w:val="005C23A9"/>
    <w:rsid w:val="005C400F"/>
    <w:rsid w:val="005D286B"/>
    <w:rsid w:val="005D2DD8"/>
    <w:rsid w:val="005D6060"/>
    <w:rsid w:val="005E0625"/>
    <w:rsid w:val="00607052"/>
    <w:rsid w:val="0061066C"/>
    <w:rsid w:val="0063268B"/>
    <w:rsid w:val="00641E7D"/>
    <w:rsid w:val="006468F7"/>
    <w:rsid w:val="00652B72"/>
    <w:rsid w:val="006536BB"/>
    <w:rsid w:val="0065693B"/>
    <w:rsid w:val="00662093"/>
    <w:rsid w:val="00673FFB"/>
    <w:rsid w:val="006777F0"/>
    <w:rsid w:val="00684174"/>
    <w:rsid w:val="006864F7"/>
    <w:rsid w:val="00687650"/>
    <w:rsid w:val="006A1661"/>
    <w:rsid w:val="006A48B1"/>
    <w:rsid w:val="006A49A0"/>
    <w:rsid w:val="006B66E4"/>
    <w:rsid w:val="006C5B4F"/>
    <w:rsid w:val="006E6A5B"/>
    <w:rsid w:val="006F6B69"/>
    <w:rsid w:val="00711184"/>
    <w:rsid w:val="00720865"/>
    <w:rsid w:val="0072143B"/>
    <w:rsid w:val="00721ED8"/>
    <w:rsid w:val="00724817"/>
    <w:rsid w:val="007463F2"/>
    <w:rsid w:val="007567E2"/>
    <w:rsid w:val="00763CBF"/>
    <w:rsid w:val="00774A06"/>
    <w:rsid w:val="00781CFE"/>
    <w:rsid w:val="00785152"/>
    <w:rsid w:val="00792609"/>
    <w:rsid w:val="007C14F1"/>
    <w:rsid w:val="007C4BF7"/>
    <w:rsid w:val="007D182F"/>
    <w:rsid w:val="007D5698"/>
    <w:rsid w:val="007E06AA"/>
    <w:rsid w:val="007F056C"/>
    <w:rsid w:val="007F4068"/>
    <w:rsid w:val="007F53EE"/>
    <w:rsid w:val="00801CBB"/>
    <w:rsid w:val="0080745D"/>
    <w:rsid w:val="00820F89"/>
    <w:rsid w:val="00830626"/>
    <w:rsid w:val="00831F5A"/>
    <w:rsid w:val="00837A9D"/>
    <w:rsid w:val="00840475"/>
    <w:rsid w:val="008435B4"/>
    <w:rsid w:val="0085084F"/>
    <w:rsid w:val="00853310"/>
    <w:rsid w:val="0085484E"/>
    <w:rsid w:val="0086445D"/>
    <w:rsid w:val="00864DDA"/>
    <w:rsid w:val="008767DD"/>
    <w:rsid w:val="00876FB8"/>
    <w:rsid w:val="00881A10"/>
    <w:rsid w:val="00890046"/>
    <w:rsid w:val="00892BF0"/>
    <w:rsid w:val="008A7A4E"/>
    <w:rsid w:val="008B345E"/>
    <w:rsid w:val="008B3EEB"/>
    <w:rsid w:val="008C19B8"/>
    <w:rsid w:val="008C521B"/>
    <w:rsid w:val="008E0B71"/>
    <w:rsid w:val="008F5F2B"/>
    <w:rsid w:val="008F6A43"/>
    <w:rsid w:val="00902F5F"/>
    <w:rsid w:val="00905E21"/>
    <w:rsid w:val="009205A3"/>
    <w:rsid w:val="009317BE"/>
    <w:rsid w:val="009375D6"/>
    <w:rsid w:val="00940822"/>
    <w:rsid w:val="009463F0"/>
    <w:rsid w:val="00946D7A"/>
    <w:rsid w:val="00966A35"/>
    <w:rsid w:val="00973E1E"/>
    <w:rsid w:val="009749B0"/>
    <w:rsid w:val="00983A14"/>
    <w:rsid w:val="00985BB1"/>
    <w:rsid w:val="009B6395"/>
    <w:rsid w:val="009C2D70"/>
    <w:rsid w:val="009D043F"/>
    <w:rsid w:val="009D1361"/>
    <w:rsid w:val="009D3EC0"/>
    <w:rsid w:val="009E3194"/>
    <w:rsid w:val="009E52B1"/>
    <w:rsid w:val="009E5E57"/>
    <w:rsid w:val="00A233FD"/>
    <w:rsid w:val="00A24BBA"/>
    <w:rsid w:val="00A26F82"/>
    <w:rsid w:val="00A322B8"/>
    <w:rsid w:val="00A41237"/>
    <w:rsid w:val="00A44A1C"/>
    <w:rsid w:val="00A47A6F"/>
    <w:rsid w:val="00A61F82"/>
    <w:rsid w:val="00A64198"/>
    <w:rsid w:val="00A6792F"/>
    <w:rsid w:val="00A74013"/>
    <w:rsid w:val="00A7741B"/>
    <w:rsid w:val="00A8139B"/>
    <w:rsid w:val="00A83222"/>
    <w:rsid w:val="00A9318F"/>
    <w:rsid w:val="00A943D2"/>
    <w:rsid w:val="00A955D2"/>
    <w:rsid w:val="00AA24C7"/>
    <w:rsid w:val="00AA57AD"/>
    <w:rsid w:val="00AA7E21"/>
    <w:rsid w:val="00AB72AC"/>
    <w:rsid w:val="00AC5667"/>
    <w:rsid w:val="00AD475B"/>
    <w:rsid w:val="00AD613B"/>
    <w:rsid w:val="00AE4665"/>
    <w:rsid w:val="00AF2AA1"/>
    <w:rsid w:val="00B02153"/>
    <w:rsid w:val="00B16389"/>
    <w:rsid w:val="00B220A8"/>
    <w:rsid w:val="00B227B2"/>
    <w:rsid w:val="00B35CE1"/>
    <w:rsid w:val="00B37B4F"/>
    <w:rsid w:val="00B43F5E"/>
    <w:rsid w:val="00B4453D"/>
    <w:rsid w:val="00B51024"/>
    <w:rsid w:val="00B60514"/>
    <w:rsid w:val="00B64856"/>
    <w:rsid w:val="00B71388"/>
    <w:rsid w:val="00B74585"/>
    <w:rsid w:val="00B84E65"/>
    <w:rsid w:val="00BA0C89"/>
    <w:rsid w:val="00BB049C"/>
    <w:rsid w:val="00BB7949"/>
    <w:rsid w:val="00BE3B21"/>
    <w:rsid w:val="00BE4B48"/>
    <w:rsid w:val="00BF5D1E"/>
    <w:rsid w:val="00BF5FED"/>
    <w:rsid w:val="00C01DFE"/>
    <w:rsid w:val="00C12D47"/>
    <w:rsid w:val="00C53136"/>
    <w:rsid w:val="00C7515E"/>
    <w:rsid w:val="00C85203"/>
    <w:rsid w:val="00C968A1"/>
    <w:rsid w:val="00CA798D"/>
    <w:rsid w:val="00CC5BFF"/>
    <w:rsid w:val="00CE093F"/>
    <w:rsid w:val="00CF61AB"/>
    <w:rsid w:val="00CF6D04"/>
    <w:rsid w:val="00D0155F"/>
    <w:rsid w:val="00D07047"/>
    <w:rsid w:val="00D16D8D"/>
    <w:rsid w:val="00D22BD4"/>
    <w:rsid w:val="00D241E5"/>
    <w:rsid w:val="00D25F10"/>
    <w:rsid w:val="00D27932"/>
    <w:rsid w:val="00D319E9"/>
    <w:rsid w:val="00D31D7C"/>
    <w:rsid w:val="00D42EC6"/>
    <w:rsid w:val="00D45B43"/>
    <w:rsid w:val="00D46A54"/>
    <w:rsid w:val="00D551B0"/>
    <w:rsid w:val="00D574AF"/>
    <w:rsid w:val="00D608E5"/>
    <w:rsid w:val="00D751FF"/>
    <w:rsid w:val="00D768CB"/>
    <w:rsid w:val="00D81491"/>
    <w:rsid w:val="00D85B29"/>
    <w:rsid w:val="00D90036"/>
    <w:rsid w:val="00D93FE6"/>
    <w:rsid w:val="00D9607F"/>
    <w:rsid w:val="00D96256"/>
    <w:rsid w:val="00DA1BE4"/>
    <w:rsid w:val="00DB2D0C"/>
    <w:rsid w:val="00DC2811"/>
    <w:rsid w:val="00DC39C2"/>
    <w:rsid w:val="00DE1B3C"/>
    <w:rsid w:val="00DE2078"/>
    <w:rsid w:val="00DF0702"/>
    <w:rsid w:val="00DF3486"/>
    <w:rsid w:val="00DF738D"/>
    <w:rsid w:val="00E03FA1"/>
    <w:rsid w:val="00E052A5"/>
    <w:rsid w:val="00E20283"/>
    <w:rsid w:val="00E40AD7"/>
    <w:rsid w:val="00E44F45"/>
    <w:rsid w:val="00E51404"/>
    <w:rsid w:val="00E52C8B"/>
    <w:rsid w:val="00E549CA"/>
    <w:rsid w:val="00E64E3F"/>
    <w:rsid w:val="00E755B6"/>
    <w:rsid w:val="00E770EB"/>
    <w:rsid w:val="00E8013B"/>
    <w:rsid w:val="00E871FB"/>
    <w:rsid w:val="00EA0016"/>
    <w:rsid w:val="00EA280D"/>
    <w:rsid w:val="00EA6079"/>
    <w:rsid w:val="00EA6406"/>
    <w:rsid w:val="00EB624C"/>
    <w:rsid w:val="00EC18D3"/>
    <w:rsid w:val="00EC1AF1"/>
    <w:rsid w:val="00EC56BA"/>
    <w:rsid w:val="00ED4973"/>
    <w:rsid w:val="00EE4E80"/>
    <w:rsid w:val="00EF6003"/>
    <w:rsid w:val="00F00185"/>
    <w:rsid w:val="00F02CBE"/>
    <w:rsid w:val="00F047CB"/>
    <w:rsid w:val="00F10B70"/>
    <w:rsid w:val="00F279D9"/>
    <w:rsid w:val="00F36699"/>
    <w:rsid w:val="00F40E85"/>
    <w:rsid w:val="00F419C6"/>
    <w:rsid w:val="00F449C0"/>
    <w:rsid w:val="00F5380F"/>
    <w:rsid w:val="00F62743"/>
    <w:rsid w:val="00F7281E"/>
    <w:rsid w:val="00F740AD"/>
    <w:rsid w:val="00F75753"/>
    <w:rsid w:val="00F85652"/>
    <w:rsid w:val="00F86143"/>
    <w:rsid w:val="00F90E93"/>
    <w:rsid w:val="00F915CF"/>
    <w:rsid w:val="00F91CC0"/>
    <w:rsid w:val="00F95253"/>
    <w:rsid w:val="00FA2ADA"/>
    <w:rsid w:val="00FA5174"/>
    <w:rsid w:val="00FA6D1F"/>
    <w:rsid w:val="00FB5E31"/>
    <w:rsid w:val="00FB61D4"/>
    <w:rsid w:val="00FC13C7"/>
    <w:rsid w:val="00FD04D6"/>
    <w:rsid w:val="00FD07F8"/>
    <w:rsid w:val="00FD3578"/>
    <w:rsid w:val="00FD38D1"/>
    <w:rsid w:val="00FF25D2"/>
    <w:rsid w:val="11F5C9B3"/>
    <w:rsid w:val="29247D55"/>
    <w:rsid w:val="42969B19"/>
    <w:rsid w:val="4CDF47AD"/>
    <w:rsid w:val="4E548429"/>
    <w:rsid w:val="581431B7"/>
    <w:rsid w:val="6378E831"/>
    <w:rsid w:val="69242B2C"/>
    <w:rsid w:val="694F575C"/>
    <w:rsid w:val="6DC71468"/>
    <w:rsid w:val="7E149BA5"/>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81983"/>
  <w15:chartTrackingRefBased/>
  <w15:docId w15:val="{63C08048-2859-4130-8905-369278FD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F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F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F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F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F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F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F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F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F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F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F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F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F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F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F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FB0"/>
    <w:rPr>
      <w:rFonts w:eastAsiaTheme="majorEastAsia" w:cstheme="majorBidi"/>
      <w:color w:val="272727" w:themeColor="text1" w:themeTint="D8"/>
    </w:rPr>
  </w:style>
  <w:style w:type="paragraph" w:styleId="Title">
    <w:name w:val="Title"/>
    <w:basedOn w:val="Normal"/>
    <w:next w:val="Normal"/>
    <w:link w:val="TitleChar"/>
    <w:uiPriority w:val="10"/>
    <w:qFormat/>
    <w:rsid w:val="00407F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F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F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F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FB0"/>
    <w:pPr>
      <w:spacing w:before="160"/>
      <w:jc w:val="center"/>
    </w:pPr>
    <w:rPr>
      <w:i/>
      <w:iCs/>
      <w:color w:val="404040" w:themeColor="text1" w:themeTint="BF"/>
    </w:rPr>
  </w:style>
  <w:style w:type="character" w:customStyle="1" w:styleId="QuoteChar">
    <w:name w:val="Quote Char"/>
    <w:basedOn w:val="DefaultParagraphFont"/>
    <w:link w:val="Quote"/>
    <w:uiPriority w:val="29"/>
    <w:rsid w:val="00407FB0"/>
    <w:rPr>
      <w:i/>
      <w:iCs/>
      <w:color w:val="404040" w:themeColor="text1" w:themeTint="BF"/>
    </w:rPr>
  </w:style>
  <w:style w:type="paragraph" w:styleId="ListParagraph">
    <w:name w:val="List Paragraph"/>
    <w:basedOn w:val="Normal"/>
    <w:uiPriority w:val="34"/>
    <w:qFormat/>
    <w:rsid w:val="00407FB0"/>
    <w:pPr>
      <w:ind w:left="720"/>
      <w:contextualSpacing/>
    </w:pPr>
  </w:style>
  <w:style w:type="character" w:styleId="IntenseEmphasis">
    <w:name w:val="Intense Emphasis"/>
    <w:basedOn w:val="DefaultParagraphFont"/>
    <w:uiPriority w:val="21"/>
    <w:qFormat/>
    <w:rsid w:val="00407FB0"/>
    <w:rPr>
      <w:i/>
      <w:iCs/>
      <w:color w:val="0F4761" w:themeColor="accent1" w:themeShade="BF"/>
    </w:rPr>
  </w:style>
  <w:style w:type="paragraph" w:styleId="IntenseQuote">
    <w:name w:val="Intense Quote"/>
    <w:basedOn w:val="Normal"/>
    <w:next w:val="Normal"/>
    <w:link w:val="IntenseQuoteChar"/>
    <w:uiPriority w:val="30"/>
    <w:qFormat/>
    <w:rsid w:val="00407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FB0"/>
    <w:rPr>
      <w:i/>
      <w:iCs/>
      <w:color w:val="0F4761" w:themeColor="accent1" w:themeShade="BF"/>
    </w:rPr>
  </w:style>
  <w:style w:type="character" w:styleId="IntenseReference">
    <w:name w:val="Intense Reference"/>
    <w:basedOn w:val="DefaultParagraphFont"/>
    <w:uiPriority w:val="32"/>
    <w:qFormat/>
    <w:rsid w:val="00407FB0"/>
    <w:rPr>
      <w:b/>
      <w:bCs/>
      <w:smallCaps/>
      <w:color w:val="0F4761" w:themeColor="accent1" w:themeShade="BF"/>
      <w:spacing w:val="5"/>
    </w:rPr>
  </w:style>
  <w:style w:type="paragraph" w:styleId="Bibliography">
    <w:name w:val="Bibliography"/>
    <w:basedOn w:val="Normal"/>
    <w:next w:val="Normal"/>
    <w:uiPriority w:val="37"/>
    <w:unhideWhenUsed/>
    <w:rsid w:val="00DF3486"/>
    <w:pPr>
      <w:spacing w:after="0" w:line="480" w:lineRule="auto"/>
      <w:ind w:left="720" w:hanging="720"/>
    </w:pPr>
  </w:style>
  <w:style w:type="character" w:styleId="CommentReference">
    <w:name w:val="annotation reference"/>
    <w:basedOn w:val="DefaultParagraphFont"/>
    <w:uiPriority w:val="99"/>
    <w:semiHidden/>
    <w:unhideWhenUsed/>
    <w:rsid w:val="00DC2811"/>
    <w:rPr>
      <w:sz w:val="16"/>
      <w:szCs w:val="16"/>
    </w:rPr>
  </w:style>
  <w:style w:type="paragraph" w:styleId="CommentText">
    <w:name w:val="annotation text"/>
    <w:basedOn w:val="Normal"/>
    <w:link w:val="CommentTextChar"/>
    <w:uiPriority w:val="99"/>
    <w:unhideWhenUsed/>
    <w:rsid w:val="00DC2811"/>
    <w:pPr>
      <w:spacing w:line="240" w:lineRule="auto"/>
    </w:pPr>
    <w:rPr>
      <w:sz w:val="20"/>
      <w:szCs w:val="20"/>
    </w:rPr>
  </w:style>
  <w:style w:type="character" w:customStyle="1" w:styleId="CommentTextChar">
    <w:name w:val="Comment Text Char"/>
    <w:basedOn w:val="DefaultParagraphFont"/>
    <w:link w:val="CommentText"/>
    <w:uiPriority w:val="99"/>
    <w:rsid w:val="00DC2811"/>
    <w:rPr>
      <w:sz w:val="20"/>
      <w:szCs w:val="20"/>
    </w:rPr>
  </w:style>
  <w:style w:type="paragraph" w:styleId="CommentSubject">
    <w:name w:val="annotation subject"/>
    <w:basedOn w:val="CommentText"/>
    <w:next w:val="CommentText"/>
    <w:link w:val="CommentSubjectChar"/>
    <w:uiPriority w:val="99"/>
    <w:semiHidden/>
    <w:unhideWhenUsed/>
    <w:rsid w:val="00DC2811"/>
    <w:rPr>
      <w:b/>
      <w:bCs/>
    </w:rPr>
  </w:style>
  <w:style w:type="character" w:customStyle="1" w:styleId="CommentSubjectChar">
    <w:name w:val="Comment Subject Char"/>
    <w:basedOn w:val="CommentTextChar"/>
    <w:link w:val="CommentSubject"/>
    <w:uiPriority w:val="99"/>
    <w:semiHidden/>
    <w:rsid w:val="00DC2811"/>
    <w:rPr>
      <w:b/>
      <w:bCs/>
      <w:sz w:val="20"/>
      <w:szCs w:val="20"/>
    </w:rPr>
  </w:style>
  <w:style w:type="paragraph" w:styleId="Revision">
    <w:name w:val="Revision"/>
    <w:hidden/>
    <w:uiPriority w:val="99"/>
    <w:semiHidden/>
    <w:rsid w:val="009749B0"/>
    <w:pPr>
      <w:spacing w:after="0" w:line="240" w:lineRule="auto"/>
    </w:pPr>
  </w:style>
  <w:style w:type="paragraph" w:styleId="NoSpacing">
    <w:name w:val="No Spacing"/>
    <w:uiPriority w:val="1"/>
    <w:qFormat/>
    <w:rsid w:val="009B6395"/>
    <w:pPr>
      <w:spacing w:after="0" w:line="240" w:lineRule="auto"/>
    </w:pPr>
  </w:style>
  <w:style w:type="paragraph" w:styleId="Header">
    <w:name w:val="header"/>
    <w:basedOn w:val="Normal"/>
    <w:link w:val="HeaderChar"/>
    <w:uiPriority w:val="99"/>
    <w:unhideWhenUsed/>
    <w:rsid w:val="00195A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AA2"/>
  </w:style>
  <w:style w:type="paragraph" w:styleId="Footer">
    <w:name w:val="footer"/>
    <w:basedOn w:val="Normal"/>
    <w:link w:val="FooterChar"/>
    <w:uiPriority w:val="99"/>
    <w:unhideWhenUsed/>
    <w:rsid w:val="00195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AA2"/>
  </w:style>
  <w:style w:type="character" w:styleId="LineNumber">
    <w:name w:val="line number"/>
    <w:basedOn w:val="DefaultParagraphFont"/>
    <w:uiPriority w:val="99"/>
    <w:semiHidden/>
    <w:unhideWhenUsed/>
    <w:rsid w:val="00AA24C7"/>
  </w:style>
  <w:style w:type="character" w:styleId="Hyperlink">
    <w:name w:val="Hyperlink"/>
    <w:basedOn w:val="DefaultParagraphFont"/>
    <w:uiPriority w:val="99"/>
    <w:unhideWhenUsed/>
    <w:rsid w:val="00F95253"/>
    <w:rPr>
      <w:color w:val="467886" w:themeColor="hyperlink"/>
      <w:u w:val="single"/>
    </w:rPr>
  </w:style>
  <w:style w:type="character" w:styleId="UnresolvedMention">
    <w:name w:val="Unresolved Mention"/>
    <w:basedOn w:val="DefaultParagraphFont"/>
    <w:uiPriority w:val="99"/>
    <w:semiHidden/>
    <w:unhideWhenUsed/>
    <w:rsid w:val="00F952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8914">
      <w:bodyDiv w:val="1"/>
      <w:marLeft w:val="0"/>
      <w:marRight w:val="0"/>
      <w:marTop w:val="0"/>
      <w:marBottom w:val="0"/>
      <w:divBdr>
        <w:top w:val="none" w:sz="0" w:space="0" w:color="auto"/>
        <w:left w:val="none" w:sz="0" w:space="0" w:color="auto"/>
        <w:bottom w:val="none" w:sz="0" w:space="0" w:color="auto"/>
        <w:right w:val="none" w:sz="0" w:space="0" w:color="auto"/>
      </w:divBdr>
    </w:div>
    <w:div w:id="122844350">
      <w:bodyDiv w:val="1"/>
      <w:marLeft w:val="0"/>
      <w:marRight w:val="0"/>
      <w:marTop w:val="0"/>
      <w:marBottom w:val="0"/>
      <w:divBdr>
        <w:top w:val="none" w:sz="0" w:space="0" w:color="auto"/>
        <w:left w:val="none" w:sz="0" w:space="0" w:color="auto"/>
        <w:bottom w:val="none" w:sz="0" w:space="0" w:color="auto"/>
        <w:right w:val="none" w:sz="0" w:space="0" w:color="auto"/>
      </w:divBdr>
    </w:div>
    <w:div w:id="217136102">
      <w:bodyDiv w:val="1"/>
      <w:marLeft w:val="0"/>
      <w:marRight w:val="0"/>
      <w:marTop w:val="0"/>
      <w:marBottom w:val="0"/>
      <w:divBdr>
        <w:top w:val="none" w:sz="0" w:space="0" w:color="auto"/>
        <w:left w:val="none" w:sz="0" w:space="0" w:color="auto"/>
        <w:bottom w:val="none" w:sz="0" w:space="0" w:color="auto"/>
        <w:right w:val="none" w:sz="0" w:space="0" w:color="auto"/>
      </w:divBdr>
    </w:div>
    <w:div w:id="532886276">
      <w:bodyDiv w:val="1"/>
      <w:marLeft w:val="0"/>
      <w:marRight w:val="0"/>
      <w:marTop w:val="0"/>
      <w:marBottom w:val="0"/>
      <w:divBdr>
        <w:top w:val="none" w:sz="0" w:space="0" w:color="auto"/>
        <w:left w:val="none" w:sz="0" w:space="0" w:color="auto"/>
        <w:bottom w:val="none" w:sz="0" w:space="0" w:color="auto"/>
        <w:right w:val="none" w:sz="0" w:space="0" w:color="auto"/>
      </w:divBdr>
    </w:div>
    <w:div w:id="602617931">
      <w:bodyDiv w:val="1"/>
      <w:marLeft w:val="0"/>
      <w:marRight w:val="0"/>
      <w:marTop w:val="0"/>
      <w:marBottom w:val="0"/>
      <w:divBdr>
        <w:top w:val="none" w:sz="0" w:space="0" w:color="auto"/>
        <w:left w:val="none" w:sz="0" w:space="0" w:color="auto"/>
        <w:bottom w:val="none" w:sz="0" w:space="0" w:color="auto"/>
        <w:right w:val="none" w:sz="0" w:space="0" w:color="auto"/>
      </w:divBdr>
    </w:div>
    <w:div w:id="718942907">
      <w:bodyDiv w:val="1"/>
      <w:marLeft w:val="0"/>
      <w:marRight w:val="0"/>
      <w:marTop w:val="0"/>
      <w:marBottom w:val="0"/>
      <w:divBdr>
        <w:top w:val="none" w:sz="0" w:space="0" w:color="auto"/>
        <w:left w:val="none" w:sz="0" w:space="0" w:color="auto"/>
        <w:bottom w:val="none" w:sz="0" w:space="0" w:color="auto"/>
        <w:right w:val="none" w:sz="0" w:space="0" w:color="auto"/>
      </w:divBdr>
    </w:div>
    <w:div w:id="941649912">
      <w:bodyDiv w:val="1"/>
      <w:marLeft w:val="0"/>
      <w:marRight w:val="0"/>
      <w:marTop w:val="0"/>
      <w:marBottom w:val="0"/>
      <w:divBdr>
        <w:top w:val="none" w:sz="0" w:space="0" w:color="auto"/>
        <w:left w:val="none" w:sz="0" w:space="0" w:color="auto"/>
        <w:bottom w:val="none" w:sz="0" w:space="0" w:color="auto"/>
        <w:right w:val="none" w:sz="0" w:space="0" w:color="auto"/>
      </w:divBdr>
    </w:div>
    <w:div w:id="973830348">
      <w:bodyDiv w:val="1"/>
      <w:marLeft w:val="0"/>
      <w:marRight w:val="0"/>
      <w:marTop w:val="0"/>
      <w:marBottom w:val="0"/>
      <w:divBdr>
        <w:top w:val="none" w:sz="0" w:space="0" w:color="auto"/>
        <w:left w:val="none" w:sz="0" w:space="0" w:color="auto"/>
        <w:bottom w:val="none" w:sz="0" w:space="0" w:color="auto"/>
        <w:right w:val="none" w:sz="0" w:space="0" w:color="auto"/>
      </w:divBdr>
    </w:div>
    <w:div w:id="977566774">
      <w:bodyDiv w:val="1"/>
      <w:marLeft w:val="0"/>
      <w:marRight w:val="0"/>
      <w:marTop w:val="0"/>
      <w:marBottom w:val="0"/>
      <w:divBdr>
        <w:top w:val="none" w:sz="0" w:space="0" w:color="auto"/>
        <w:left w:val="none" w:sz="0" w:space="0" w:color="auto"/>
        <w:bottom w:val="none" w:sz="0" w:space="0" w:color="auto"/>
        <w:right w:val="none" w:sz="0" w:space="0" w:color="auto"/>
      </w:divBdr>
    </w:div>
    <w:div w:id="1007634079">
      <w:bodyDiv w:val="1"/>
      <w:marLeft w:val="0"/>
      <w:marRight w:val="0"/>
      <w:marTop w:val="0"/>
      <w:marBottom w:val="0"/>
      <w:divBdr>
        <w:top w:val="none" w:sz="0" w:space="0" w:color="auto"/>
        <w:left w:val="none" w:sz="0" w:space="0" w:color="auto"/>
        <w:bottom w:val="none" w:sz="0" w:space="0" w:color="auto"/>
        <w:right w:val="none" w:sz="0" w:space="0" w:color="auto"/>
      </w:divBdr>
      <w:divsChild>
        <w:div w:id="69620019">
          <w:marLeft w:val="0"/>
          <w:marRight w:val="0"/>
          <w:marTop w:val="0"/>
          <w:marBottom w:val="0"/>
          <w:divBdr>
            <w:top w:val="none" w:sz="0" w:space="0" w:color="auto"/>
            <w:left w:val="none" w:sz="0" w:space="0" w:color="auto"/>
            <w:bottom w:val="none" w:sz="0" w:space="0" w:color="auto"/>
            <w:right w:val="none" w:sz="0" w:space="0" w:color="auto"/>
          </w:divBdr>
        </w:div>
        <w:div w:id="112984420">
          <w:marLeft w:val="0"/>
          <w:marRight w:val="0"/>
          <w:marTop w:val="0"/>
          <w:marBottom w:val="0"/>
          <w:divBdr>
            <w:top w:val="none" w:sz="0" w:space="0" w:color="auto"/>
            <w:left w:val="none" w:sz="0" w:space="0" w:color="auto"/>
            <w:bottom w:val="none" w:sz="0" w:space="0" w:color="auto"/>
            <w:right w:val="none" w:sz="0" w:space="0" w:color="auto"/>
          </w:divBdr>
        </w:div>
        <w:div w:id="361442883">
          <w:marLeft w:val="0"/>
          <w:marRight w:val="0"/>
          <w:marTop w:val="0"/>
          <w:marBottom w:val="0"/>
          <w:divBdr>
            <w:top w:val="none" w:sz="0" w:space="0" w:color="auto"/>
            <w:left w:val="none" w:sz="0" w:space="0" w:color="auto"/>
            <w:bottom w:val="none" w:sz="0" w:space="0" w:color="auto"/>
            <w:right w:val="none" w:sz="0" w:space="0" w:color="auto"/>
          </w:divBdr>
        </w:div>
        <w:div w:id="364330520">
          <w:marLeft w:val="0"/>
          <w:marRight w:val="0"/>
          <w:marTop w:val="0"/>
          <w:marBottom w:val="0"/>
          <w:divBdr>
            <w:top w:val="none" w:sz="0" w:space="0" w:color="auto"/>
            <w:left w:val="none" w:sz="0" w:space="0" w:color="auto"/>
            <w:bottom w:val="none" w:sz="0" w:space="0" w:color="auto"/>
            <w:right w:val="none" w:sz="0" w:space="0" w:color="auto"/>
          </w:divBdr>
        </w:div>
        <w:div w:id="387150767">
          <w:marLeft w:val="0"/>
          <w:marRight w:val="0"/>
          <w:marTop w:val="0"/>
          <w:marBottom w:val="0"/>
          <w:divBdr>
            <w:top w:val="none" w:sz="0" w:space="0" w:color="auto"/>
            <w:left w:val="none" w:sz="0" w:space="0" w:color="auto"/>
            <w:bottom w:val="none" w:sz="0" w:space="0" w:color="auto"/>
            <w:right w:val="none" w:sz="0" w:space="0" w:color="auto"/>
          </w:divBdr>
        </w:div>
        <w:div w:id="458425372">
          <w:marLeft w:val="0"/>
          <w:marRight w:val="0"/>
          <w:marTop w:val="0"/>
          <w:marBottom w:val="0"/>
          <w:divBdr>
            <w:top w:val="none" w:sz="0" w:space="0" w:color="auto"/>
            <w:left w:val="none" w:sz="0" w:space="0" w:color="auto"/>
            <w:bottom w:val="none" w:sz="0" w:space="0" w:color="auto"/>
            <w:right w:val="none" w:sz="0" w:space="0" w:color="auto"/>
          </w:divBdr>
        </w:div>
        <w:div w:id="465243044">
          <w:marLeft w:val="0"/>
          <w:marRight w:val="0"/>
          <w:marTop w:val="0"/>
          <w:marBottom w:val="0"/>
          <w:divBdr>
            <w:top w:val="none" w:sz="0" w:space="0" w:color="auto"/>
            <w:left w:val="none" w:sz="0" w:space="0" w:color="auto"/>
            <w:bottom w:val="none" w:sz="0" w:space="0" w:color="auto"/>
            <w:right w:val="none" w:sz="0" w:space="0" w:color="auto"/>
          </w:divBdr>
        </w:div>
        <w:div w:id="613293649">
          <w:marLeft w:val="0"/>
          <w:marRight w:val="0"/>
          <w:marTop w:val="0"/>
          <w:marBottom w:val="0"/>
          <w:divBdr>
            <w:top w:val="none" w:sz="0" w:space="0" w:color="auto"/>
            <w:left w:val="none" w:sz="0" w:space="0" w:color="auto"/>
            <w:bottom w:val="none" w:sz="0" w:space="0" w:color="auto"/>
            <w:right w:val="none" w:sz="0" w:space="0" w:color="auto"/>
          </w:divBdr>
        </w:div>
        <w:div w:id="614603071">
          <w:marLeft w:val="0"/>
          <w:marRight w:val="0"/>
          <w:marTop w:val="0"/>
          <w:marBottom w:val="0"/>
          <w:divBdr>
            <w:top w:val="none" w:sz="0" w:space="0" w:color="auto"/>
            <w:left w:val="none" w:sz="0" w:space="0" w:color="auto"/>
            <w:bottom w:val="none" w:sz="0" w:space="0" w:color="auto"/>
            <w:right w:val="none" w:sz="0" w:space="0" w:color="auto"/>
          </w:divBdr>
        </w:div>
        <w:div w:id="689530925">
          <w:marLeft w:val="0"/>
          <w:marRight w:val="0"/>
          <w:marTop w:val="0"/>
          <w:marBottom w:val="0"/>
          <w:divBdr>
            <w:top w:val="none" w:sz="0" w:space="0" w:color="auto"/>
            <w:left w:val="none" w:sz="0" w:space="0" w:color="auto"/>
            <w:bottom w:val="none" w:sz="0" w:space="0" w:color="auto"/>
            <w:right w:val="none" w:sz="0" w:space="0" w:color="auto"/>
          </w:divBdr>
        </w:div>
        <w:div w:id="702830887">
          <w:marLeft w:val="0"/>
          <w:marRight w:val="0"/>
          <w:marTop w:val="0"/>
          <w:marBottom w:val="0"/>
          <w:divBdr>
            <w:top w:val="none" w:sz="0" w:space="0" w:color="auto"/>
            <w:left w:val="none" w:sz="0" w:space="0" w:color="auto"/>
            <w:bottom w:val="none" w:sz="0" w:space="0" w:color="auto"/>
            <w:right w:val="none" w:sz="0" w:space="0" w:color="auto"/>
          </w:divBdr>
        </w:div>
        <w:div w:id="1034037751">
          <w:marLeft w:val="0"/>
          <w:marRight w:val="0"/>
          <w:marTop w:val="0"/>
          <w:marBottom w:val="0"/>
          <w:divBdr>
            <w:top w:val="none" w:sz="0" w:space="0" w:color="auto"/>
            <w:left w:val="none" w:sz="0" w:space="0" w:color="auto"/>
            <w:bottom w:val="none" w:sz="0" w:space="0" w:color="auto"/>
            <w:right w:val="none" w:sz="0" w:space="0" w:color="auto"/>
          </w:divBdr>
        </w:div>
        <w:div w:id="1163735742">
          <w:marLeft w:val="0"/>
          <w:marRight w:val="0"/>
          <w:marTop w:val="0"/>
          <w:marBottom w:val="0"/>
          <w:divBdr>
            <w:top w:val="none" w:sz="0" w:space="0" w:color="auto"/>
            <w:left w:val="none" w:sz="0" w:space="0" w:color="auto"/>
            <w:bottom w:val="none" w:sz="0" w:space="0" w:color="auto"/>
            <w:right w:val="none" w:sz="0" w:space="0" w:color="auto"/>
          </w:divBdr>
        </w:div>
        <w:div w:id="1385637809">
          <w:marLeft w:val="0"/>
          <w:marRight w:val="0"/>
          <w:marTop w:val="0"/>
          <w:marBottom w:val="0"/>
          <w:divBdr>
            <w:top w:val="none" w:sz="0" w:space="0" w:color="auto"/>
            <w:left w:val="none" w:sz="0" w:space="0" w:color="auto"/>
            <w:bottom w:val="none" w:sz="0" w:space="0" w:color="auto"/>
            <w:right w:val="none" w:sz="0" w:space="0" w:color="auto"/>
          </w:divBdr>
        </w:div>
        <w:div w:id="1541698635">
          <w:marLeft w:val="0"/>
          <w:marRight w:val="0"/>
          <w:marTop w:val="0"/>
          <w:marBottom w:val="0"/>
          <w:divBdr>
            <w:top w:val="none" w:sz="0" w:space="0" w:color="auto"/>
            <w:left w:val="none" w:sz="0" w:space="0" w:color="auto"/>
            <w:bottom w:val="none" w:sz="0" w:space="0" w:color="auto"/>
            <w:right w:val="none" w:sz="0" w:space="0" w:color="auto"/>
          </w:divBdr>
        </w:div>
        <w:div w:id="1890651280">
          <w:marLeft w:val="0"/>
          <w:marRight w:val="0"/>
          <w:marTop w:val="0"/>
          <w:marBottom w:val="0"/>
          <w:divBdr>
            <w:top w:val="none" w:sz="0" w:space="0" w:color="auto"/>
            <w:left w:val="none" w:sz="0" w:space="0" w:color="auto"/>
            <w:bottom w:val="none" w:sz="0" w:space="0" w:color="auto"/>
            <w:right w:val="none" w:sz="0" w:space="0" w:color="auto"/>
          </w:divBdr>
        </w:div>
        <w:div w:id="1927884888">
          <w:marLeft w:val="0"/>
          <w:marRight w:val="0"/>
          <w:marTop w:val="0"/>
          <w:marBottom w:val="0"/>
          <w:divBdr>
            <w:top w:val="none" w:sz="0" w:space="0" w:color="auto"/>
            <w:left w:val="none" w:sz="0" w:space="0" w:color="auto"/>
            <w:bottom w:val="none" w:sz="0" w:space="0" w:color="auto"/>
            <w:right w:val="none" w:sz="0" w:space="0" w:color="auto"/>
          </w:divBdr>
        </w:div>
        <w:div w:id="2111922859">
          <w:marLeft w:val="0"/>
          <w:marRight w:val="0"/>
          <w:marTop w:val="0"/>
          <w:marBottom w:val="0"/>
          <w:divBdr>
            <w:top w:val="none" w:sz="0" w:space="0" w:color="auto"/>
            <w:left w:val="none" w:sz="0" w:space="0" w:color="auto"/>
            <w:bottom w:val="none" w:sz="0" w:space="0" w:color="auto"/>
            <w:right w:val="none" w:sz="0" w:space="0" w:color="auto"/>
          </w:divBdr>
        </w:div>
      </w:divsChild>
    </w:div>
    <w:div w:id="1058818568">
      <w:bodyDiv w:val="1"/>
      <w:marLeft w:val="0"/>
      <w:marRight w:val="0"/>
      <w:marTop w:val="0"/>
      <w:marBottom w:val="0"/>
      <w:divBdr>
        <w:top w:val="none" w:sz="0" w:space="0" w:color="auto"/>
        <w:left w:val="none" w:sz="0" w:space="0" w:color="auto"/>
        <w:bottom w:val="none" w:sz="0" w:space="0" w:color="auto"/>
        <w:right w:val="none" w:sz="0" w:space="0" w:color="auto"/>
      </w:divBdr>
    </w:div>
    <w:div w:id="1142968309">
      <w:bodyDiv w:val="1"/>
      <w:marLeft w:val="0"/>
      <w:marRight w:val="0"/>
      <w:marTop w:val="0"/>
      <w:marBottom w:val="0"/>
      <w:divBdr>
        <w:top w:val="none" w:sz="0" w:space="0" w:color="auto"/>
        <w:left w:val="none" w:sz="0" w:space="0" w:color="auto"/>
        <w:bottom w:val="none" w:sz="0" w:space="0" w:color="auto"/>
        <w:right w:val="none" w:sz="0" w:space="0" w:color="auto"/>
      </w:divBdr>
    </w:div>
    <w:div w:id="1356152987">
      <w:bodyDiv w:val="1"/>
      <w:marLeft w:val="0"/>
      <w:marRight w:val="0"/>
      <w:marTop w:val="0"/>
      <w:marBottom w:val="0"/>
      <w:divBdr>
        <w:top w:val="none" w:sz="0" w:space="0" w:color="auto"/>
        <w:left w:val="none" w:sz="0" w:space="0" w:color="auto"/>
        <w:bottom w:val="none" w:sz="0" w:space="0" w:color="auto"/>
        <w:right w:val="none" w:sz="0" w:space="0" w:color="auto"/>
      </w:divBdr>
      <w:divsChild>
        <w:div w:id="63725291">
          <w:marLeft w:val="0"/>
          <w:marRight w:val="0"/>
          <w:marTop w:val="0"/>
          <w:marBottom w:val="0"/>
          <w:divBdr>
            <w:top w:val="none" w:sz="0" w:space="0" w:color="auto"/>
            <w:left w:val="none" w:sz="0" w:space="0" w:color="auto"/>
            <w:bottom w:val="none" w:sz="0" w:space="0" w:color="auto"/>
            <w:right w:val="none" w:sz="0" w:space="0" w:color="auto"/>
          </w:divBdr>
        </w:div>
        <w:div w:id="87163342">
          <w:marLeft w:val="0"/>
          <w:marRight w:val="0"/>
          <w:marTop w:val="0"/>
          <w:marBottom w:val="0"/>
          <w:divBdr>
            <w:top w:val="none" w:sz="0" w:space="0" w:color="auto"/>
            <w:left w:val="none" w:sz="0" w:space="0" w:color="auto"/>
            <w:bottom w:val="none" w:sz="0" w:space="0" w:color="auto"/>
            <w:right w:val="none" w:sz="0" w:space="0" w:color="auto"/>
          </w:divBdr>
        </w:div>
        <w:div w:id="272984914">
          <w:marLeft w:val="0"/>
          <w:marRight w:val="0"/>
          <w:marTop w:val="0"/>
          <w:marBottom w:val="0"/>
          <w:divBdr>
            <w:top w:val="none" w:sz="0" w:space="0" w:color="auto"/>
            <w:left w:val="none" w:sz="0" w:space="0" w:color="auto"/>
            <w:bottom w:val="none" w:sz="0" w:space="0" w:color="auto"/>
            <w:right w:val="none" w:sz="0" w:space="0" w:color="auto"/>
          </w:divBdr>
        </w:div>
        <w:div w:id="294873317">
          <w:marLeft w:val="0"/>
          <w:marRight w:val="0"/>
          <w:marTop w:val="0"/>
          <w:marBottom w:val="0"/>
          <w:divBdr>
            <w:top w:val="none" w:sz="0" w:space="0" w:color="auto"/>
            <w:left w:val="none" w:sz="0" w:space="0" w:color="auto"/>
            <w:bottom w:val="none" w:sz="0" w:space="0" w:color="auto"/>
            <w:right w:val="none" w:sz="0" w:space="0" w:color="auto"/>
          </w:divBdr>
        </w:div>
        <w:div w:id="300038658">
          <w:marLeft w:val="0"/>
          <w:marRight w:val="0"/>
          <w:marTop w:val="0"/>
          <w:marBottom w:val="0"/>
          <w:divBdr>
            <w:top w:val="none" w:sz="0" w:space="0" w:color="auto"/>
            <w:left w:val="none" w:sz="0" w:space="0" w:color="auto"/>
            <w:bottom w:val="none" w:sz="0" w:space="0" w:color="auto"/>
            <w:right w:val="none" w:sz="0" w:space="0" w:color="auto"/>
          </w:divBdr>
        </w:div>
        <w:div w:id="468934106">
          <w:marLeft w:val="0"/>
          <w:marRight w:val="0"/>
          <w:marTop w:val="0"/>
          <w:marBottom w:val="0"/>
          <w:divBdr>
            <w:top w:val="none" w:sz="0" w:space="0" w:color="auto"/>
            <w:left w:val="none" w:sz="0" w:space="0" w:color="auto"/>
            <w:bottom w:val="none" w:sz="0" w:space="0" w:color="auto"/>
            <w:right w:val="none" w:sz="0" w:space="0" w:color="auto"/>
          </w:divBdr>
        </w:div>
        <w:div w:id="520896610">
          <w:marLeft w:val="0"/>
          <w:marRight w:val="0"/>
          <w:marTop w:val="0"/>
          <w:marBottom w:val="0"/>
          <w:divBdr>
            <w:top w:val="none" w:sz="0" w:space="0" w:color="auto"/>
            <w:left w:val="none" w:sz="0" w:space="0" w:color="auto"/>
            <w:bottom w:val="none" w:sz="0" w:space="0" w:color="auto"/>
            <w:right w:val="none" w:sz="0" w:space="0" w:color="auto"/>
          </w:divBdr>
        </w:div>
        <w:div w:id="577255971">
          <w:marLeft w:val="0"/>
          <w:marRight w:val="0"/>
          <w:marTop w:val="0"/>
          <w:marBottom w:val="0"/>
          <w:divBdr>
            <w:top w:val="none" w:sz="0" w:space="0" w:color="auto"/>
            <w:left w:val="none" w:sz="0" w:space="0" w:color="auto"/>
            <w:bottom w:val="none" w:sz="0" w:space="0" w:color="auto"/>
            <w:right w:val="none" w:sz="0" w:space="0" w:color="auto"/>
          </w:divBdr>
        </w:div>
        <w:div w:id="957832167">
          <w:marLeft w:val="0"/>
          <w:marRight w:val="0"/>
          <w:marTop w:val="0"/>
          <w:marBottom w:val="0"/>
          <w:divBdr>
            <w:top w:val="none" w:sz="0" w:space="0" w:color="auto"/>
            <w:left w:val="none" w:sz="0" w:space="0" w:color="auto"/>
            <w:bottom w:val="none" w:sz="0" w:space="0" w:color="auto"/>
            <w:right w:val="none" w:sz="0" w:space="0" w:color="auto"/>
          </w:divBdr>
        </w:div>
        <w:div w:id="1162889901">
          <w:marLeft w:val="0"/>
          <w:marRight w:val="0"/>
          <w:marTop w:val="0"/>
          <w:marBottom w:val="0"/>
          <w:divBdr>
            <w:top w:val="none" w:sz="0" w:space="0" w:color="auto"/>
            <w:left w:val="none" w:sz="0" w:space="0" w:color="auto"/>
            <w:bottom w:val="none" w:sz="0" w:space="0" w:color="auto"/>
            <w:right w:val="none" w:sz="0" w:space="0" w:color="auto"/>
          </w:divBdr>
        </w:div>
        <w:div w:id="1274945558">
          <w:marLeft w:val="0"/>
          <w:marRight w:val="0"/>
          <w:marTop w:val="0"/>
          <w:marBottom w:val="0"/>
          <w:divBdr>
            <w:top w:val="none" w:sz="0" w:space="0" w:color="auto"/>
            <w:left w:val="none" w:sz="0" w:space="0" w:color="auto"/>
            <w:bottom w:val="none" w:sz="0" w:space="0" w:color="auto"/>
            <w:right w:val="none" w:sz="0" w:space="0" w:color="auto"/>
          </w:divBdr>
        </w:div>
        <w:div w:id="1293709027">
          <w:marLeft w:val="0"/>
          <w:marRight w:val="0"/>
          <w:marTop w:val="0"/>
          <w:marBottom w:val="0"/>
          <w:divBdr>
            <w:top w:val="none" w:sz="0" w:space="0" w:color="auto"/>
            <w:left w:val="none" w:sz="0" w:space="0" w:color="auto"/>
            <w:bottom w:val="none" w:sz="0" w:space="0" w:color="auto"/>
            <w:right w:val="none" w:sz="0" w:space="0" w:color="auto"/>
          </w:divBdr>
        </w:div>
        <w:div w:id="1300766313">
          <w:marLeft w:val="0"/>
          <w:marRight w:val="0"/>
          <w:marTop w:val="0"/>
          <w:marBottom w:val="0"/>
          <w:divBdr>
            <w:top w:val="none" w:sz="0" w:space="0" w:color="auto"/>
            <w:left w:val="none" w:sz="0" w:space="0" w:color="auto"/>
            <w:bottom w:val="none" w:sz="0" w:space="0" w:color="auto"/>
            <w:right w:val="none" w:sz="0" w:space="0" w:color="auto"/>
          </w:divBdr>
        </w:div>
        <w:div w:id="1352561871">
          <w:marLeft w:val="0"/>
          <w:marRight w:val="0"/>
          <w:marTop w:val="0"/>
          <w:marBottom w:val="0"/>
          <w:divBdr>
            <w:top w:val="none" w:sz="0" w:space="0" w:color="auto"/>
            <w:left w:val="none" w:sz="0" w:space="0" w:color="auto"/>
            <w:bottom w:val="none" w:sz="0" w:space="0" w:color="auto"/>
            <w:right w:val="none" w:sz="0" w:space="0" w:color="auto"/>
          </w:divBdr>
        </w:div>
        <w:div w:id="1615944902">
          <w:marLeft w:val="0"/>
          <w:marRight w:val="0"/>
          <w:marTop w:val="0"/>
          <w:marBottom w:val="0"/>
          <w:divBdr>
            <w:top w:val="none" w:sz="0" w:space="0" w:color="auto"/>
            <w:left w:val="none" w:sz="0" w:space="0" w:color="auto"/>
            <w:bottom w:val="none" w:sz="0" w:space="0" w:color="auto"/>
            <w:right w:val="none" w:sz="0" w:space="0" w:color="auto"/>
          </w:divBdr>
        </w:div>
        <w:div w:id="1637753559">
          <w:marLeft w:val="0"/>
          <w:marRight w:val="0"/>
          <w:marTop w:val="0"/>
          <w:marBottom w:val="0"/>
          <w:divBdr>
            <w:top w:val="none" w:sz="0" w:space="0" w:color="auto"/>
            <w:left w:val="none" w:sz="0" w:space="0" w:color="auto"/>
            <w:bottom w:val="none" w:sz="0" w:space="0" w:color="auto"/>
            <w:right w:val="none" w:sz="0" w:space="0" w:color="auto"/>
          </w:divBdr>
        </w:div>
        <w:div w:id="1663661603">
          <w:marLeft w:val="0"/>
          <w:marRight w:val="0"/>
          <w:marTop w:val="0"/>
          <w:marBottom w:val="0"/>
          <w:divBdr>
            <w:top w:val="none" w:sz="0" w:space="0" w:color="auto"/>
            <w:left w:val="none" w:sz="0" w:space="0" w:color="auto"/>
            <w:bottom w:val="none" w:sz="0" w:space="0" w:color="auto"/>
            <w:right w:val="none" w:sz="0" w:space="0" w:color="auto"/>
          </w:divBdr>
        </w:div>
        <w:div w:id="1823232448">
          <w:marLeft w:val="0"/>
          <w:marRight w:val="0"/>
          <w:marTop w:val="0"/>
          <w:marBottom w:val="0"/>
          <w:divBdr>
            <w:top w:val="none" w:sz="0" w:space="0" w:color="auto"/>
            <w:left w:val="none" w:sz="0" w:space="0" w:color="auto"/>
            <w:bottom w:val="none" w:sz="0" w:space="0" w:color="auto"/>
            <w:right w:val="none" w:sz="0" w:space="0" w:color="auto"/>
          </w:divBdr>
        </w:div>
      </w:divsChild>
    </w:div>
    <w:div w:id="1540362234">
      <w:bodyDiv w:val="1"/>
      <w:marLeft w:val="0"/>
      <w:marRight w:val="0"/>
      <w:marTop w:val="0"/>
      <w:marBottom w:val="0"/>
      <w:divBdr>
        <w:top w:val="none" w:sz="0" w:space="0" w:color="auto"/>
        <w:left w:val="none" w:sz="0" w:space="0" w:color="auto"/>
        <w:bottom w:val="none" w:sz="0" w:space="0" w:color="auto"/>
        <w:right w:val="none" w:sz="0" w:space="0" w:color="auto"/>
      </w:divBdr>
    </w:div>
    <w:div w:id="1669823030">
      <w:bodyDiv w:val="1"/>
      <w:marLeft w:val="0"/>
      <w:marRight w:val="0"/>
      <w:marTop w:val="0"/>
      <w:marBottom w:val="0"/>
      <w:divBdr>
        <w:top w:val="none" w:sz="0" w:space="0" w:color="auto"/>
        <w:left w:val="none" w:sz="0" w:space="0" w:color="auto"/>
        <w:bottom w:val="none" w:sz="0" w:space="0" w:color="auto"/>
        <w:right w:val="none" w:sz="0" w:space="0" w:color="auto"/>
      </w:divBdr>
    </w:div>
    <w:div w:id="1698504478">
      <w:bodyDiv w:val="1"/>
      <w:marLeft w:val="0"/>
      <w:marRight w:val="0"/>
      <w:marTop w:val="0"/>
      <w:marBottom w:val="0"/>
      <w:divBdr>
        <w:top w:val="none" w:sz="0" w:space="0" w:color="auto"/>
        <w:left w:val="none" w:sz="0" w:space="0" w:color="auto"/>
        <w:bottom w:val="none" w:sz="0" w:space="0" w:color="auto"/>
        <w:right w:val="none" w:sz="0" w:space="0" w:color="auto"/>
      </w:divBdr>
    </w:div>
    <w:div w:id="1930383671">
      <w:bodyDiv w:val="1"/>
      <w:marLeft w:val="0"/>
      <w:marRight w:val="0"/>
      <w:marTop w:val="0"/>
      <w:marBottom w:val="0"/>
      <w:divBdr>
        <w:top w:val="none" w:sz="0" w:space="0" w:color="auto"/>
        <w:left w:val="none" w:sz="0" w:space="0" w:color="auto"/>
        <w:bottom w:val="none" w:sz="0" w:space="0" w:color="auto"/>
        <w:right w:val="none" w:sz="0" w:space="0" w:color="auto"/>
      </w:divBdr>
    </w:div>
    <w:div w:id="2000964185">
      <w:bodyDiv w:val="1"/>
      <w:marLeft w:val="0"/>
      <w:marRight w:val="0"/>
      <w:marTop w:val="0"/>
      <w:marBottom w:val="0"/>
      <w:divBdr>
        <w:top w:val="none" w:sz="0" w:space="0" w:color="auto"/>
        <w:left w:val="none" w:sz="0" w:space="0" w:color="auto"/>
        <w:bottom w:val="none" w:sz="0" w:space="0" w:color="auto"/>
        <w:right w:val="none" w:sz="0" w:space="0" w:color="auto"/>
      </w:divBdr>
    </w:div>
    <w:div w:id="206636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453408b-a6cd-4c1e-8b10-18b500fb544e}" enabled="0" method="" siteId="{5453408b-a6cd-4c1e-8b10-18b500fb544e}" removed="1"/>
</clbl:labelList>
</file>

<file path=docProps/app.xml><?xml version="1.0" encoding="utf-8"?>
<Properties xmlns="http://schemas.openxmlformats.org/officeDocument/2006/extended-properties" xmlns:vt="http://schemas.openxmlformats.org/officeDocument/2006/docPropsVTypes">
  <Template>Normal.dotm</Template>
  <TotalTime>1290</TotalTime>
  <Pages>2</Pages>
  <Words>16977</Words>
  <Characters>96770</Characters>
  <Application>Microsoft Office Word</Application>
  <DocSecurity>0</DocSecurity>
  <Lines>806</Lines>
  <Paragraphs>227</Paragraphs>
  <ScaleCrop>false</ScaleCrop>
  <Company/>
  <LinksUpToDate>false</LinksUpToDate>
  <CharactersWithSpaces>113520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Lau</dc:creator>
  <cp:keywords/>
  <dc:description/>
  <cp:lastModifiedBy>Kevin Lau</cp:lastModifiedBy>
  <cp:revision>26</cp:revision>
  <cp:lastPrinted>2026-01-19T10:29:00Z</cp:lastPrinted>
  <dcterms:created xsi:type="dcterms:W3CDTF">2026-01-19T09:28:00Z</dcterms:created>
  <dcterms:modified xsi:type="dcterms:W3CDTF">2026-01-20T07:22:00Z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id="V3FYJkC6"/&gt;&lt;style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