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52B" w:rsidRPr="00EA252B" w:rsidRDefault="00EA252B" w:rsidP="00EA252B">
      <w:pPr>
        <w:pStyle w:val="Caption"/>
        <w:keepNext/>
        <w:rPr>
          <w:rFonts w:ascii="Times New Roman" w:hAnsi="Times New Roman" w:cs="Times New Roman"/>
          <w:i w:val="0"/>
          <w:color w:val="auto"/>
          <w:lang w:val="en-GB"/>
        </w:rPr>
      </w:pPr>
      <w:r w:rsidRPr="00EA252B">
        <w:rPr>
          <w:rFonts w:ascii="Times New Roman" w:hAnsi="Times New Roman" w:cs="Times New Roman"/>
          <w:i w:val="0"/>
          <w:color w:val="auto"/>
          <w:lang w:val="en-GB"/>
        </w:rPr>
        <w:t>Table S</w:t>
      </w:r>
      <w:r w:rsidRPr="00EA252B">
        <w:rPr>
          <w:rFonts w:ascii="Times New Roman" w:hAnsi="Times New Roman" w:cs="Times New Roman"/>
          <w:i w:val="0"/>
          <w:color w:val="auto"/>
        </w:rPr>
        <w:fldChar w:fldCharType="begin"/>
      </w:r>
      <w:r w:rsidRPr="00EA252B">
        <w:rPr>
          <w:rFonts w:ascii="Times New Roman" w:hAnsi="Times New Roman" w:cs="Times New Roman"/>
          <w:i w:val="0"/>
          <w:color w:val="auto"/>
          <w:lang w:val="en-GB"/>
        </w:rPr>
        <w:instrText xml:space="preserve"> SEQ Table \* ARABIC </w:instrText>
      </w:r>
      <w:r w:rsidRPr="00EA252B">
        <w:rPr>
          <w:rFonts w:ascii="Times New Roman" w:hAnsi="Times New Roman" w:cs="Times New Roman"/>
          <w:i w:val="0"/>
          <w:color w:val="auto"/>
        </w:rPr>
        <w:fldChar w:fldCharType="separate"/>
      </w:r>
      <w:r w:rsidRPr="00EA252B">
        <w:rPr>
          <w:rFonts w:ascii="Times New Roman" w:hAnsi="Times New Roman" w:cs="Times New Roman"/>
          <w:i w:val="0"/>
          <w:noProof/>
          <w:color w:val="auto"/>
          <w:lang w:val="en-GB"/>
        </w:rPr>
        <w:t>1</w:t>
      </w:r>
      <w:r w:rsidRPr="00EA252B">
        <w:rPr>
          <w:rFonts w:ascii="Times New Roman" w:hAnsi="Times New Roman" w:cs="Times New Roman"/>
          <w:i w:val="0"/>
          <w:color w:val="auto"/>
        </w:rPr>
        <w:fldChar w:fldCharType="end"/>
      </w:r>
      <w:r w:rsidRPr="00EA252B">
        <w:rPr>
          <w:rFonts w:ascii="Times New Roman" w:hAnsi="Times New Roman" w:cs="Times New Roman"/>
          <w:i w:val="0"/>
          <w:color w:val="auto"/>
          <w:lang w:val="en-GB"/>
        </w:rPr>
        <w:t xml:space="preserve">. </w:t>
      </w:r>
      <w:r w:rsidRPr="00EA252B">
        <w:rPr>
          <w:rFonts w:ascii="Times New Roman" w:hAnsi="Times New Roman" w:cs="Times New Roman"/>
          <w:i w:val="0"/>
          <w:color w:val="auto"/>
          <w:lang w:val="en-GB"/>
        </w:rPr>
        <w:t>Per taxon total number of counted pollen grains</w:t>
      </w:r>
      <w:r>
        <w:rPr>
          <w:rFonts w:ascii="Times New Roman" w:hAnsi="Times New Roman" w:cs="Times New Roman"/>
          <w:i w:val="0"/>
          <w:color w:val="auto"/>
          <w:lang w:val="en-GB"/>
        </w:rPr>
        <w:t xml:space="preserve"> and analysed images (in brackets)</w:t>
      </w:r>
      <w:r w:rsidRPr="00EA252B">
        <w:rPr>
          <w:rFonts w:ascii="Times New Roman" w:hAnsi="Times New Roman" w:cs="Times New Roman"/>
          <w:i w:val="0"/>
          <w:color w:val="auto"/>
          <w:lang w:val="en-GB"/>
        </w:rPr>
        <w:t xml:space="preserve"> </w:t>
      </w:r>
      <w:r>
        <w:rPr>
          <w:rFonts w:ascii="Times New Roman" w:hAnsi="Times New Roman" w:cs="Times New Roman"/>
          <w:i w:val="0"/>
          <w:color w:val="auto"/>
          <w:lang w:val="en-GB"/>
        </w:rPr>
        <w:t>for</w:t>
      </w:r>
      <w:r w:rsidRPr="00EA252B">
        <w:rPr>
          <w:rFonts w:ascii="Times New Roman" w:hAnsi="Times New Roman" w:cs="Times New Roman"/>
          <w:i w:val="0"/>
          <w:color w:val="auto"/>
          <w:lang w:val="en-GB"/>
        </w:rPr>
        <w:t xml:space="preserve"> the manual procedure (MC), </w:t>
      </w:r>
      <w:proofErr w:type="spellStart"/>
      <w:r w:rsidRPr="00EA252B">
        <w:rPr>
          <w:rFonts w:ascii="Times New Roman" w:hAnsi="Times New Roman" w:cs="Times New Roman"/>
          <w:i w:val="0"/>
          <w:color w:val="auto"/>
          <w:lang w:val="en-GB"/>
        </w:rPr>
        <w:t>CellProfiler</w:t>
      </w:r>
      <w:proofErr w:type="spellEnd"/>
      <w:r w:rsidRPr="00EA252B">
        <w:rPr>
          <w:rFonts w:ascii="Times New Roman" w:hAnsi="Times New Roman" w:cs="Times New Roman"/>
          <w:i w:val="0"/>
          <w:color w:val="auto"/>
          <w:lang w:val="en-GB"/>
        </w:rPr>
        <w:t xml:space="preserve"> and Fiji software.</w:t>
      </w:r>
      <w:r>
        <w:rPr>
          <w:rFonts w:ascii="Times New Roman" w:hAnsi="Times New Roman" w:cs="Times New Roman"/>
          <w:i w:val="0"/>
          <w:color w:val="auto"/>
          <w:lang w:val="en-GB"/>
        </w:rPr>
        <w:t xml:space="preserve"> In the last two columns, only the images used for manual counting were considered for the comparison and in </w:t>
      </w:r>
      <w:proofErr w:type="gramStart"/>
      <w:r>
        <w:rPr>
          <w:rFonts w:ascii="Times New Roman" w:hAnsi="Times New Roman" w:cs="Times New Roman"/>
          <w:i w:val="0"/>
          <w:color w:val="auto"/>
          <w:lang w:val="en-GB"/>
        </w:rPr>
        <w:t>brackets</w:t>
      </w:r>
      <w:proofErr w:type="gramEnd"/>
      <w:r>
        <w:rPr>
          <w:rFonts w:ascii="Times New Roman" w:hAnsi="Times New Roman" w:cs="Times New Roman"/>
          <w:i w:val="0"/>
          <w:color w:val="auto"/>
          <w:lang w:val="en-GB"/>
        </w:rPr>
        <w:t xml:space="preserve"> the shift from the manual counting was computed.</w:t>
      </w:r>
      <w:bookmarkStart w:id="0" w:name="_GoBack"/>
      <w:bookmarkEnd w:id="0"/>
    </w:p>
    <w:tbl>
      <w:tblPr>
        <w:tblStyle w:val="PlainTable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1779"/>
        <w:gridCol w:w="1560"/>
        <w:gridCol w:w="1585"/>
        <w:gridCol w:w="1300"/>
        <w:gridCol w:w="1300"/>
      </w:tblGrid>
      <w:tr w:rsidR="00EA252B" w:rsidRPr="00EA252B" w:rsidTr="00185C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85C33" w:rsidRPr="00EA252B" w:rsidRDefault="00185C33" w:rsidP="00185C3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Taxon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85C33" w:rsidRPr="00EA252B" w:rsidRDefault="00185C33" w:rsidP="00185C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MC (n° of images)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:rsidR="00185C33" w:rsidRPr="00EA252B" w:rsidRDefault="00185C33" w:rsidP="00185C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CP (n° of images)</w:t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</w:tcPr>
          <w:p w:rsidR="00185C33" w:rsidRPr="00EA252B" w:rsidRDefault="00185C33" w:rsidP="00185C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Fiji (n° of images)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85C33" w:rsidRPr="00EA252B" w:rsidRDefault="00185C33" w:rsidP="00185C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CP (-MC)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85C33" w:rsidRPr="00EA252B" w:rsidRDefault="00185C33" w:rsidP="00185C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Fiji (-MC)</w:t>
            </w:r>
          </w:p>
        </w:tc>
      </w:tr>
      <w:tr w:rsidR="00EA252B" w:rsidRPr="00EA252B" w:rsidTr="00185C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pct"/>
            <w:tcBorders>
              <w:top w:val="single" w:sz="4" w:space="0" w:color="auto"/>
            </w:tcBorders>
            <w:noWrap/>
            <w:hideMark/>
          </w:tcPr>
          <w:p w:rsidR="00185C33" w:rsidRPr="00EA252B" w:rsidRDefault="00185C33" w:rsidP="00185C33">
            <w:pPr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i/>
                <w:sz w:val="16"/>
                <w:szCs w:val="20"/>
              </w:rPr>
              <w:t>Clivia miniata</w:t>
            </w:r>
          </w:p>
        </w:tc>
        <w:tc>
          <w:tcPr>
            <w:tcW w:w="924" w:type="pct"/>
            <w:tcBorders>
              <w:top w:val="single" w:sz="4" w:space="0" w:color="auto"/>
            </w:tcBorders>
            <w:noWrap/>
            <w:hideMark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1564 (76)</w:t>
            </w:r>
          </w:p>
        </w:tc>
        <w:tc>
          <w:tcPr>
            <w:tcW w:w="810" w:type="pct"/>
            <w:tcBorders>
              <w:top w:val="single" w:sz="4" w:space="0" w:color="auto"/>
            </w:tcBorders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2011 (120)</w:t>
            </w:r>
          </w:p>
        </w:tc>
        <w:tc>
          <w:tcPr>
            <w:tcW w:w="823" w:type="pct"/>
            <w:tcBorders>
              <w:top w:val="single" w:sz="4" w:space="0" w:color="auto"/>
            </w:tcBorders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2062 (120)</w:t>
            </w:r>
          </w:p>
        </w:tc>
        <w:tc>
          <w:tcPr>
            <w:tcW w:w="675" w:type="pct"/>
            <w:tcBorders>
              <w:top w:val="single" w:sz="4" w:space="0" w:color="auto"/>
            </w:tcBorders>
            <w:noWrap/>
            <w:hideMark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1441 (-123)</w:t>
            </w:r>
          </w:p>
        </w:tc>
        <w:tc>
          <w:tcPr>
            <w:tcW w:w="675" w:type="pct"/>
            <w:tcBorders>
              <w:top w:val="single" w:sz="4" w:space="0" w:color="auto"/>
            </w:tcBorders>
            <w:noWrap/>
            <w:hideMark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1467 (-97)</w:t>
            </w:r>
          </w:p>
        </w:tc>
      </w:tr>
      <w:tr w:rsidR="00EA252B" w:rsidRPr="00EA252B" w:rsidTr="00185C3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pct"/>
            <w:noWrap/>
            <w:hideMark/>
          </w:tcPr>
          <w:p w:rsidR="00185C33" w:rsidRPr="00EA252B" w:rsidRDefault="00185C33" w:rsidP="00185C3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i/>
                <w:sz w:val="16"/>
                <w:szCs w:val="20"/>
              </w:rPr>
              <w:t>Corylus avellana</w:t>
            </w: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 xml:space="preserve"> (TG)</w:t>
            </w:r>
          </w:p>
        </w:tc>
        <w:tc>
          <w:tcPr>
            <w:tcW w:w="924" w:type="pct"/>
            <w:noWrap/>
            <w:hideMark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1528 (27)</w:t>
            </w:r>
          </w:p>
        </w:tc>
        <w:tc>
          <w:tcPr>
            <w:tcW w:w="810" w:type="pct"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7757 (151)</w:t>
            </w:r>
          </w:p>
        </w:tc>
        <w:tc>
          <w:tcPr>
            <w:tcW w:w="823" w:type="pct"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7621 (151)</w:t>
            </w:r>
          </w:p>
        </w:tc>
        <w:tc>
          <w:tcPr>
            <w:tcW w:w="675" w:type="pct"/>
            <w:noWrap/>
            <w:hideMark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1482 (-46)</w:t>
            </w:r>
          </w:p>
        </w:tc>
        <w:tc>
          <w:tcPr>
            <w:tcW w:w="675" w:type="pct"/>
            <w:noWrap/>
            <w:hideMark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1462 (-66)</w:t>
            </w:r>
          </w:p>
        </w:tc>
      </w:tr>
      <w:tr w:rsidR="00EA252B" w:rsidRPr="00EA252B" w:rsidTr="00185C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pct"/>
            <w:noWrap/>
            <w:hideMark/>
          </w:tcPr>
          <w:p w:rsidR="00185C33" w:rsidRPr="00EA252B" w:rsidRDefault="00185C33" w:rsidP="00185C3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i/>
                <w:sz w:val="16"/>
                <w:szCs w:val="20"/>
              </w:rPr>
              <w:t>Corylus avellana</w:t>
            </w: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 xml:space="preserve"> (wt1)</w:t>
            </w:r>
          </w:p>
        </w:tc>
        <w:tc>
          <w:tcPr>
            <w:tcW w:w="924" w:type="pct"/>
            <w:noWrap/>
            <w:hideMark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1531 (15)</w:t>
            </w:r>
          </w:p>
        </w:tc>
        <w:tc>
          <w:tcPr>
            <w:tcW w:w="810" w:type="pct"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13251 (123)</w:t>
            </w:r>
          </w:p>
        </w:tc>
        <w:tc>
          <w:tcPr>
            <w:tcW w:w="823" w:type="pct"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13074 (123)</w:t>
            </w:r>
          </w:p>
        </w:tc>
        <w:tc>
          <w:tcPr>
            <w:tcW w:w="675" w:type="pct"/>
            <w:noWrap/>
            <w:hideMark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1444 (-87)</w:t>
            </w:r>
          </w:p>
        </w:tc>
        <w:tc>
          <w:tcPr>
            <w:tcW w:w="675" w:type="pct"/>
            <w:noWrap/>
            <w:hideMark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1479 (-52)</w:t>
            </w:r>
          </w:p>
        </w:tc>
      </w:tr>
      <w:tr w:rsidR="00EA252B" w:rsidRPr="00EA252B" w:rsidTr="00185C3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pct"/>
            <w:noWrap/>
            <w:hideMark/>
          </w:tcPr>
          <w:p w:rsidR="00185C33" w:rsidRPr="00EA252B" w:rsidRDefault="00185C33" w:rsidP="00185C3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i/>
                <w:sz w:val="16"/>
                <w:szCs w:val="20"/>
              </w:rPr>
              <w:t>Corylus avellana</w:t>
            </w: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 xml:space="preserve"> (wt2)</w:t>
            </w:r>
          </w:p>
        </w:tc>
        <w:tc>
          <w:tcPr>
            <w:tcW w:w="924" w:type="pct"/>
            <w:noWrap/>
            <w:hideMark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1574 (15)</w:t>
            </w:r>
          </w:p>
        </w:tc>
        <w:tc>
          <w:tcPr>
            <w:tcW w:w="810" w:type="pct"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17531 (150)</w:t>
            </w:r>
          </w:p>
        </w:tc>
        <w:tc>
          <w:tcPr>
            <w:tcW w:w="823" w:type="pct"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17478 (150)</w:t>
            </w:r>
          </w:p>
        </w:tc>
        <w:tc>
          <w:tcPr>
            <w:tcW w:w="675" w:type="pct"/>
            <w:noWrap/>
            <w:hideMark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1521 (-53)</w:t>
            </w:r>
          </w:p>
        </w:tc>
        <w:tc>
          <w:tcPr>
            <w:tcW w:w="675" w:type="pct"/>
            <w:noWrap/>
            <w:hideMark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1518 (-56)</w:t>
            </w:r>
          </w:p>
        </w:tc>
      </w:tr>
      <w:tr w:rsidR="00EA252B" w:rsidRPr="00EA252B" w:rsidTr="00185C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pct"/>
            <w:noWrap/>
            <w:hideMark/>
          </w:tcPr>
          <w:p w:rsidR="00185C33" w:rsidRPr="00EA252B" w:rsidRDefault="00185C33" w:rsidP="00185C33">
            <w:pPr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i/>
                <w:sz w:val="16"/>
                <w:szCs w:val="20"/>
              </w:rPr>
              <w:t>Actinidia deliciosa</w:t>
            </w:r>
          </w:p>
        </w:tc>
        <w:tc>
          <w:tcPr>
            <w:tcW w:w="924" w:type="pct"/>
            <w:noWrap/>
            <w:hideMark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1502 (19)</w:t>
            </w:r>
          </w:p>
        </w:tc>
        <w:tc>
          <w:tcPr>
            <w:tcW w:w="810" w:type="pct"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 xml:space="preserve">9856 (119)  </w:t>
            </w:r>
          </w:p>
        </w:tc>
        <w:tc>
          <w:tcPr>
            <w:tcW w:w="823" w:type="pct"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 xml:space="preserve">9477 (119)  </w:t>
            </w:r>
          </w:p>
        </w:tc>
        <w:tc>
          <w:tcPr>
            <w:tcW w:w="675" w:type="pct"/>
            <w:noWrap/>
            <w:hideMark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1596 (94)</w:t>
            </w:r>
          </w:p>
        </w:tc>
        <w:tc>
          <w:tcPr>
            <w:tcW w:w="675" w:type="pct"/>
            <w:noWrap/>
            <w:hideMark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1396 (-106)</w:t>
            </w:r>
          </w:p>
        </w:tc>
      </w:tr>
      <w:tr w:rsidR="00EA252B" w:rsidRPr="00EA252B" w:rsidTr="00185C3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pct"/>
            <w:noWrap/>
            <w:hideMark/>
          </w:tcPr>
          <w:p w:rsidR="00185C33" w:rsidRPr="00EA252B" w:rsidRDefault="00185C33" w:rsidP="00185C33">
            <w:pPr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i/>
                <w:sz w:val="16"/>
                <w:szCs w:val="20"/>
              </w:rPr>
              <w:t>Magnolia stellata</w:t>
            </w:r>
          </w:p>
        </w:tc>
        <w:tc>
          <w:tcPr>
            <w:tcW w:w="924" w:type="pct"/>
            <w:noWrap/>
            <w:hideMark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1519 (46)</w:t>
            </w:r>
          </w:p>
        </w:tc>
        <w:tc>
          <w:tcPr>
            <w:tcW w:w="810" w:type="pct"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2759 (108)</w:t>
            </w:r>
          </w:p>
        </w:tc>
        <w:tc>
          <w:tcPr>
            <w:tcW w:w="823" w:type="pct"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2701 (108)</w:t>
            </w:r>
          </w:p>
        </w:tc>
        <w:tc>
          <w:tcPr>
            <w:tcW w:w="675" w:type="pct"/>
            <w:noWrap/>
            <w:hideMark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1530 (11)</w:t>
            </w:r>
          </w:p>
        </w:tc>
        <w:tc>
          <w:tcPr>
            <w:tcW w:w="675" w:type="pct"/>
            <w:noWrap/>
            <w:hideMark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1504 (-15)</w:t>
            </w:r>
          </w:p>
        </w:tc>
      </w:tr>
      <w:tr w:rsidR="00EA252B" w:rsidRPr="00EA252B" w:rsidTr="00185C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pct"/>
            <w:noWrap/>
            <w:hideMark/>
          </w:tcPr>
          <w:p w:rsidR="00185C33" w:rsidRPr="00EA252B" w:rsidRDefault="00185C33" w:rsidP="00185C33">
            <w:pPr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i/>
                <w:sz w:val="16"/>
                <w:szCs w:val="20"/>
              </w:rPr>
              <w:t>Malus domestica</w:t>
            </w:r>
          </w:p>
        </w:tc>
        <w:tc>
          <w:tcPr>
            <w:tcW w:w="924" w:type="pct"/>
            <w:noWrap/>
            <w:hideMark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1539 (31)</w:t>
            </w:r>
          </w:p>
        </w:tc>
        <w:tc>
          <w:tcPr>
            <w:tcW w:w="810" w:type="pct"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4724 (107)</w:t>
            </w:r>
          </w:p>
        </w:tc>
        <w:tc>
          <w:tcPr>
            <w:tcW w:w="823" w:type="pct"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4552 (107)</w:t>
            </w:r>
          </w:p>
        </w:tc>
        <w:tc>
          <w:tcPr>
            <w:tcW w:w="675" w:type="pct"/>
            <w:noWrap/>
            <w:hideMark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1404 (-135)</w:t>
            </w:r>
          </w:p>
        </w:tc>
        <w:tc>
          <w:tcPr>
            <w:tcW w:w="675" w:type="pct"/>
            <w:noWrap/>
            <w:hideMark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1534 (-5)</w:t>
            </w:r>
          </w:p>
        </w:tc>
      </w:tr>
      <w:tr w:rsidR="00EA252B" w:rsidRPr="00EA252B" w:rsidTr="00185C3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pct"/>
            <w:noWrap/>
            <w:hideMark/>
          </w:tcPr>
          <w:p w:rsidR="00185C33" w:rsidRPr="00EA252B" w:rsidRDefault="00185C33" w:rsidP="00185C33">
            <w:pPr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i/>
                <w:sz w:val="16"/>
                <w:szCs w:val="20"/>
              </w:rPr>
              <w:t>Olea europea</w:t>
            </w:r>
          </w:p>
        </w:tc>
        <w:tc>
          <w:tcPr>
            <w:tcW w:w="924" w:type="pct"/>
            <w:noWrap/>
            <w:hideMark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1527 (19)</w:t>
            </w:r>
          </w:p>
        </w:tc>
        <w:tc>
          <w:tcPr>
            <w:tcW w:w="810" w:type="pct"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6642 (90)</w:t>
            </w:r>
          </w:p>
        </w:tc>
        <w:tc>
          <w:tcPr>
            <w:tcW w:w="823" w:type="pct"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6601 (90)</w:t>
            </w:r>
          </w:p>
        </w:tc>
        <w:tc>
          <w:tcPr>
            <w:tcW w:w="675" w:type="pct"/>
            <w:noWrap/>
            <w:hideMark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1489 (-38)</w:t>
            </w:r>
          </w:p>
        </w:tc>
        <w:tc>
          <w:tcPr>
            <w:tcW w:w="675" w:type="pct"/>
            <w:noWrap/>
            <w:hideMark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1542 (15)</w:t>
            </w:r>
          </w:p>
        </w:tc>
      </w:tr>
      <w:tr w:rsidR="00EA252B" w:rsidRPr="00EA252B" w:rsidTr="00185C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pct"/>
            <w:noWrap/>
            <w:hideMark/>
          </w:tcPr>
          <w:p w:rsidR="00185C33" w:rsidRPr="00EA252B" w:rsidRDefault="00185C33" w:rsidP="00185C33">
            <w:pPr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i/>
                <w:sz w:val="16"/>
                <w:szCs w:val="20"/>
              </w:rPr>
              <w:t>Quercus suber</w:t>
            </w:r>
          </w:p>
        </w:tc>
        <w:tc>
          <w:tcPr>
            <w:tcW w:w="924" w:type="pct"/>
            <w:noWrap/>
            <w:hideMark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1510 (34)</w:t>
            </w:r>
          </w:p>
        </w:tc>
        <w:tc>
          <w:tcPr>
            <w:tcW w:w="810" w:type="pct"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4422 (128)</w:t>
            </w:r>
          </w:p>
        </w:tc>
        <w:tc>
          <w:tcPr>
            <w:tcW w:w="823" w:type="pct"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4615 (128)</w:t>
            </w:r>
          </w:p>
        </w:tc>
        <w:tc>
          <w:tcPr>
            <w:tcW w:w="675" w:type="pct"/>
            <w:noWrap/>
            <w:hideMark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1524 (14)</w:t>
            </w:r>
          </w:p>
        </w:tc>
        <w:tc>
          <w:tcPr>
            <w:tcW w:w="675" w:type="pct"/>
            <w:noWrap/>
            <w:hideMark/>
          </w:tcPr>
          <w:p w:rsidR="00185C33" w:rsidRPr="00EA252B" w:rsidRDefault="00185C33" w:rsidP="0018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1469 (-41)</w:t>
            </w:r>
          </w:p>
        </w:tc>
      </w:tr>
      <w:tr w:rsidR="00EA252B" w:rsidRPr="00EA252B" w:rsidTr="00185C3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pct"/>
            <w:noWrap/>
            <w:hideMark/>
          </w:tcPr>
          <w:p w:rsidR="00185C33" w:rsidRPr="00EA252B" w:rsidRDefault="00185C33" w:rsidP="00185C33">
            <w:pPr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i/>
                <w:sz w:val="16"/>
                <w:szCs w:val="20"/>
              </w:rPr>
              <w:t>Solanum lycopersicum</w:t>
            </w:r>
          </w:p>
        </w:tc>
        <w:tc>
          <w:tcPr>
            <w:tcW w:w="924" w:type="pct"/>
            <w:noWrap/>
            <w:hideMark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1546 (23)</w:t>
            </w:r>
          </w:p>
        </w:tc>
        <w:tc>
          <w:tcPr>
            <w:tcW w:w="810" w:type="pct"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7167 (91)</w:t>
            </w:r>
          </w:p>
        </w:tc>
        <w:tc>
          <w:tcPr>
            <w:tcW w:w="823" w:type="pct"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7148 (91)</w:t>
            </w:r>
          </w:p>
        </w:tc>
        <w:tc>
          <w:tcPr>
            <w:tcW w:w="675" w:type="pct"/>
            <w:noWrap/>
            <w:hideMark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1551 (5)</w:t>
            </w:r>
          </w:p>
        </w:tc>
        <w:tc>
          <w:tcPr>
            <w:tcW w:w="675" w:type="pct"/>
            <w:noWrap/>
            <w:hideMark/>
          </w:tcPr>
          <w:p w:rsidR="00185C33" w:rsidRPr="00EA252B" w:rsidRDefault="00185C33" w:rsidP="0018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1549 (3)</w:t>
            </w:r>
          </w:p>
        </w:tc>
      </w:tr>
      <w:tr w:rsidR="00EA252B" w:rsidRPr="00EA252B" w:rsidTr="00185C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pct"/>
            <w:noWrap/>
          </w:tcPr>
          <w:p w:rsidR="00EA252B" w:rsidRPr="00EA252B" w:rsidRDefault="00EA252B" w:rsidP="00EA252B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Total</w:t>
            </w:r>
          </w:p>
        </w:tc>
        <w:tc>
          <w:tcPr>
            <w:tcW w:w="924" w:type="pct"/>
            <w:noWrap/>
          </w:tcPr>
          <w:p w:rsidR="00EA252B" w:rsidRPr="00EA252B" w:rsidRDefault="00EA252B" w:rsidP="00EA25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15340 (305)</w:t>
            </w:r>
          </w:p>
        </w:tc>
        <w:tc>
          <w:tcPr>
            <w:tcW w:w="810" w:type="pct"/>
          </w:tcPr>
          <w:p w:rsidR="00EA252B" w:rsidRPr="00EA252B" w:rsidRDefault="00EA252B" w:rsidP="00EA25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76120 (1187)</w:t>
            </w:r>
          </w:p>
        </w:tc>
        <w:tc>
          <w:tcPr>
            <w:tcW w:w="823" w:type="pct"/>
          </w:tcPr>
          <w:p w:rsidR="00EA252B" w:rsidRPr="00EA252B" w:rsidRDefault="00EA252B" w:rsidP="00EA25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75329 (1187)</w:t>
            </w:r>
          </w:p>
        </w:tc>
        <w:tc>
          <w:tcPr>
            <w:tcW w:w="675" w:type="pct"/>
            <w:noWrap/>
          </w:tcPr>
          <w:p w:rsidR="00EA252B" w:rsidRPr="00EA252B" w:rsidRDefault="00EA252B" w:rsidP="00EA25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14982 (-358)</w:t>
            </w:r>
          </w:p>
        </w:tc>
        <w:tc>
          <w:tcPr>
            <w:tcW w:w="675" w:type="pct"/>
            <w:noWrap/>
          </w:tcPr>
          <w:p w:rsidR="00EA252B" w:rsidRPr="00EA252B" w:rsidRDefault="00EA252B" w:rsidP="00EA25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EA252B">
              <w:rPr>
                <w:rFonts w:ascii="Times New Roman" w:hAnsi="Times New Roman" w:cs="Times New Roman"/>
                <w:sz w:val="16"/>
                <w:szCs w:val="20"/>
              </w:rPr>
              <w:t>14920 (-420)</w:t>
            </w:r>
          </w:p>
        </w:tc>
      </w:tr>
    </w:tbl>
    <w:p w:rsidR="00BD0D90" w:rsidRPr="00185C33" w:rsidRDefault="00BD0D90">
      <w:pPr>
        <w:rPr>
          <w:rFonts w:ascii="Times New Roman" w:hAnsi="Times New Roman" w:cs="Times New Roman"/>
          <w:sz w:val="20"/>
          <w:szCs w:val="20"/>
        </w:rPr>
      </w:pPr>
    </w:p>
    <w:sectPr w:rsidR="00BD0D90" w:rsidRPr="00185C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D16"/>
    <w:rsid w:val="00035C6A"/>
    <w:rsid w:val="00116302"/>
    <w:rsid w:val="00185C33"/>
    <w:rsid w:val="00465977"/>
    <w:rsid w:val="00717610"/>
    <w:rsid w:val="00A542E4"/>
    <w:rsid w:val="00AF30A5"/>
    <w:rsid w:val="00BD0D90"/>
    <w:rsid w:val="00E358F7"/>
    <w:rsid w:val="00EA252B"/>
    <w:rsid w:val="00F5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7D5E00"/>
  <w15:chartTrackingRefBased/>
  <w15:docId w15:val="{44E31879-21B4-46E6-BE4D-BBAE9463C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3">
    <w:name w:val="Grid Table 5 Dark Accent 3"/>
    <w:basedOn w:val="TableNormal"/>
    <w:uiPriority w:val="50"/>
    <w:rsid w:val="00F50D1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PlainTable4">
    <w:name w:val="Plain Table 4"/>
    <w:basedOn w:val="TableNormal"/>
    <w:uiPriority w:val="44"/>
    <w:rsid w:val="00F50D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EA252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7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  <w:targetScreenSz w:val="1152x88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09698-C956-4C51-AA80-72F1D6317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Ascari</dc:creator>
  <cp:keywords/>
  <dc:description/>
  <cp:lastModifiedBy>Lorenzo Ascari</cp:lastModifiedBy>
  <cp:revision>2</cp:revision>
  <dcterms:created xsi:type="dcterms:W3CDTF">2020-07-27T16:05:00Z</dcterms:created>
  <dcterms:modified xsi:type="dcterms:W3CDTF">2020-07-28T14:42:00Z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http://www.zotero.org/styles/annals-of-botany</vt:lpwstr>
  </property>
  <property fmtid="{D5CDD505-2E9C-101B-9397-08002B2CF9AE}" pid="9" name="Mendeley Recent Style Name 3_1">
    <vt:lpwstr>Annals of Botany</vt:lpwstr>
  </property>
  <property fmtid="{D5CDD505-2E9C-101B-9397-08002B2CF9AE}" pid="10" name="Mendeley Recent Style Id 4_1">
    <vt:lpwstr>http://csl.mendeley.com/styles/21643061/cell</vt:lpwstr>
  </property>
  <property fmtid="{D5CDD505-2E9C-101B-9397-08002B2CF9AE}" pid="11" name="Mendeley Recent Style Name 4_1">
    <vt:lpwstr>Cell - Lorenzo Ascari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